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Lucero-Deras v. Warden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Decided; July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3:23-0817</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123701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5089700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LUCERO-DERAS, Petitioner v. WARDEN, FCI-ALLENWOOD,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time credit, recidivism, habeas corpus, writ petition, eligible, final order, removal, Alien, supervised release, deportation, pre-release, programming, MEMORANDUM, assessing, sentence, custody, earn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Jose Lucero-Deras, Petitioner, Pro se, White Deer,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of FCI-Allenwood Medium, Respondent: George Michael Thiel, LEAD ATTORNEY, U.S. Attorney's Office, Scranton, PA; Joseph J Terz, LEAD ATTORNEY, Melissa Swauger, U.S. Attorney's Office, Harrisburg,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MALACHY E. MANNION,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MALACHY E. MANNION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Petitioner, Jose Lucero-Deras, an inmate confined in the Federal Correctional Institution, White Deer, Pennsylvania, filed the above captioned petition for writ of habeas corpus, pursuant to </w:t>
      </w:r>
      <w:hyperlink r:id="rId10" w:history="1">
        <w:r>
          <w:rPr>
            <w:rFonts w:ascii="arial" w:eastAsia="arial" w:hAnsi="arial" w:cs="arial"/>
            <w:b w:val="0"/>
            <w:i/>
            <w:strike w:val="0"/>
            <w:noProof w:val="0"/>
            <w:color w:val="0077CC"/>
            <w:position w:val="0"/>
            <w:sz w:val="20"/>
            <w:u w:val="single"/>
            <w:vertAlign w:val="baseline"/>
          </w:rPr>
          <w:t>28 U.S.C. §2241</w:t>
        </w:r>
      </w:hyperlink>
      <w:r>
        <w:rPr>
          <w:rFonts w:ascii="arial" w:eastAsia="arial" w:hAnsi="arial" w:cs="arial"/>
          <w:b w:val="0"/>
          <w:i w:val="0"/>
          <w:strike w:val="0"/>
          <w:noProof w:val="0"/>
          <w:color w:val="000000"/>
          <w:position w:val="0"/>
          <w:sz w:val="20"/>
          <w:u w:val="none"/>
          <w:vertAlign w:val="baseline"/>
        </w:rPr>
        <w:t>. (Doc. 1, petition).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Lucero-Deras claims the Bureau of Prisons (BOP) has unlawfully denied him Earned Time Credits under the First Step Act (FSA).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For relief, Petitioner seeks "the Court to order the respondent to apply FSA time credits."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response was filed on June 28, 2023, indicating that Petitioner has a final order of removal against him and is not eligible for earned credits. (Doc. </w:t>
      </w:r>
      <w:r>
        <w:rPr>
          <w:rFonts w:ascii="arial" w:eastAsia="arial" w:hAnsi="arial" w:cs="arial"/>
          <w:b w:val="0"/>
          <w:i w:val="0"/>
          <w:strike w:val="0"/>
          <w:noProof w:val="0"/>
          <w:color w:val="000000"/>
          <w:position w:val="0"/>
          <w:sz w:val="20"/>
          <w:u w:val="single"/>
          <w:vertAlign w:val="baseline"/>
        </w:rPr>
        <w:t>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For the reasons set forth below, the instant petition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August 18, 2021, the United States District Court for the Northern District of New York sentenced Lucero-Deras to a forty-six month sentence following his conviction for Conspiracy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Commit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(Doc. 6-1 at 6). He has a projected release date of December 27, 2023, via good conduct time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June 16, 2023, a Detainer Action Letter was issued based on "a final Order of Removal against the alien." (Doc. </w:t>
      </w:r>
      <w:r>
        <w:rPr>
          <w:rFonts w:ascii="arial" w:eastAsia="arial" w:hAnsi="arial" w:cs="arial"/>
          <w:b w:val="0"/>
          <w:i w:val="0"/>
          <w:strike w:val="0"/>
          <w:noProof w:val="0"/>
          <w:color w:val="000000"/>
          <w:position w:val="0"/>
          <w:sz w:val="20"/>
          <w:u w:val="single"/>
          <w:vertAlign w:val="baseline"/>
        </w:rPr>
        <w:t>6-1</w:t>
      </w:r>
      <w:r>
        <w:rPr>
          <w:rFonts w:ascii="arial" w:eastAsia="arial" w:hAnsi="arial" w:cs="arial"/>
          <w:b w:val="0"/>
          <w:i w:val="0"/>
          <w:strike w:val="0"/>
          <w:noProof w:val="0"/>
          <w:color w:val="000000"/>
          <w:position w:val="0"/>
          <w:sz w:val="20"/>
          <w:u w:val="none"/>
          <w:vertAlign w:val="baseline"/>
        </w:rPr>
        <w:t xml:space="preserve">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Under the FSA, the Attorney General was charged with the development and release of a Risk and Needs Assessment System within 210 days of December 21, 2018, the date on which the FSA was enacted.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§3632</w:t>
        </w:r>
      </w:hyperlink>
      <w:r>
        <w:rPr>
          <w:rFonts w:ascii="arial" w:eastAsia="arial" w:hAnsi="arial" w:cs="arial"/>
          <w:b w:val="0"/>
          <w:i w:val="0"/>
          <w:strike w:val="0"/>
          <w:noProof w:val="0"/>
          <w:color w:val="000000"/>
          <w:position w:val="0"/>
          <w:sz w:val="20"/>
          <w:u w:val="none"/>
          <w:vertAlign w:val="baseline"/>
        </w:rPr>
        <w:t xml:space="preserve">. </w:t>
      </w:r>
      <w:bookmarkStart w:id="12" w:name="Bookmark_I68RM43D2SF80B0020000400"/>
      <w:bookmarkEnd w:id="12"/>
      <w:r>
        <w:rPr>
          <w:rFonts w:ascii="arial" w:eastAsia="arial" w:hAnsi="arial" w:cs="arial"/>
          <w:b w:val="0"/>
          <w:i w:val="0"/>
          <w:strike w:val="0"/>
          <w:noProof w:val="0"/>
          <w:color w:val="000000"/>
          <w:position w:val="0"/>
          <w:sz w:val="20"/>
          <w:u w:val="none"/>
          <w:vertAlign w:val="baseline"/>
        </w:rPr>
        <w:t xml:space="preserve">This System is to be used for: (1) determining an inmate's recidivism risk; (2) assessing an inmate's risk of violent or serious misconduct; (3) determining the type and amount of evidence-based recidivism reduction ("EBRR") programming appropriate for each inmate; (4) periodically assessing an inmate's recidivism risk; (5) reassigning an inmate to appropriate EBRRs and productive activities ("PA"); (6) determining when to provide incentives and rewards for successful participation in EBRRs and PAs; and (7) determining when the inmate is ready to transfer to pre-release custody or supervised release.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§3632(a)</w:t>
        </w:r>
      </w:hyperlink>
      <w:r>
        <w:rPr>
          <w:rFonts w:ascii="arial" w:eastAsia="arial" w:hAnsi="arial" w:cs="arial"/>
          <w:b w:val="0"/>
          <w:i w:val="0"/>
          <w:strike w:val="0"/>
          <w:noProof w:val="0"/>
          <w:color w:val="000000"/>
          <w:position w:val="0"/>
          <w:sz w:val="20"/>
          <w:u w:val="none"/>
          <w:vertAlign w:val="baseline"/>
        </w:rPr>
        <w:t>. Moreover, this system provides guidance on the "type, amount, and intensity of EBRR programs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PAs to be assigned to each inmate based on the inmate's specific criminogenic needs." </w:t>
      </w:r>
      <w:r>
        <w:rPr>
          <w:rFonts w:ascii="arial" w:eastAsia="arial" w:hAnsi="arial" w:cs="arial"/>
          <w:b w:val="0"/>
          <w:i w:val="0"/>
          <w:strike w:val="0"/>
          <w:noProof w:val="0"/>
          <w:color w:val="000000"/>
          <w:position w:val="0"/>
          <w:sz w:val="20"/>
          <w:u w:val="single"/>
          <w:vertAlign w:val="baseline"/>
        </w:rPr>
        <w:t xml:space="preserve">See </w:t>
      </w:r>
      <w:bookmarkStart w:id="13" w:name="Bookmark_I68RM43D2SF80B0010000400"/>
      <w:bookmarkEnd w:id="13"/>
      <w:hyperlink r:id="rId12" w:history="1">
        <w:r>
          <w:rPr>
            <w:rFonts w:ascii="arial" w:eastAsia="arial" w:hAnsi="arial" w:cs="arial"/>
            <w:b w:val="0"/>
            <w:i/>
            <w:strike w:val="0"/>
            <w:noProof w:val="0"/>
            <w:color w:val="0077CC"/>
            <w:position w:val="0"/>
            <w:sz w:val="20"/>
            <w:u w:val="single"/>
            <w:vertAlign w:val="baseline"/>
          </w:rPr>
          <w:t>Kurti v. White</w:t>
        </w:r>
      </w:hyperlink>
      <w:hyperlink r:id="rId12" w:history="1">
        <w:r>
          <w:rPr>
            <w:rFonts w:ascii="arial" w:eastAsia="arial" w:hAnsi="arial" w:cs="arial"/>
            <w:b w:val="0"/>
            <w:i/>
            <w:strike w:val="0"/>
            <w:noProof w:val="0"/>
            <w:color w:val="0077CC"/>
            <w:position w:val="0"/>
            <w:sz w:val="20"/>
            <w:u w:val="single"/>
            <w:vertAlign w:val="baseline"/>
          </w:rPr>
          <w:t>, No. 1:19-2019, 2020 U.S. Dist. LEXIS 74981, 2020 WL 2063871, at *4 (M.D. Pa. Apr. 29, 2020)</w:t>
        </w:r>
      </w:hyperlink>
      <w:r>
        <w:rPr>
          <w:rFonts w:ascii="arial" w:eastAsia="arial" w:hAnsi="arial" w:cs="arial"/>
          <w:b w:val="0"/>
          <w:i w:val="0"/>
          <w:strike w:val="0"/>
          <w:noProof w:val="0"/>
          <w:color w:val="000000"/>
          <w:position w:val="0"/>
          <w:sz w:val="20"/>
          <w:u w:val="none"/>
          <w:vertAlign w:val="baseline"/>
        </w:rPr>
        <w:t xml:space="preserve">(citing </w:t>
      </w:r>
      <w:hyperlink r:id="rId11" w:history="1">
        <w:r>
          <w:rPr>
            <w:rFonts w:ascii="arial" w:eastAsia="arial" w:hAnsi="arial" w:cs="arial"/>
            <w:b w:val="0"/>
            <w:i/>
            <w:strike w:val="0"/>
            <w:noProof w:val="0"/>
            <w:color w:val="0077CC"/>
            <w:position w:val="0"/>
            <w:sz w:val="20"/>
            <w:u w:val="single"/>
            <w:vertAlign w:val="baseline"/>
          </w:rPr>
          <w:t>18 U.S.C. §3632(b)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FSA allows eligible inmates who successfully complete EBRRs or PAs to receive earned time credits to be applied toward time in pre-release custody or supervised release.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§3632(d)(4)(A)</w:t>
        </w:r>
      </w:hyperlink>
      <w:r>
        <w:rPr>
          <w:rFonts w:ascii="arial" w:eastAsia="arial" w:hAnsi="arial" w:cs="arial"/>
          <w:b w:val="0"/>
          <w:i w:val="0"/>
          <w:strike w:val="0"/>
          <w:noProof w:val="0"/>
          <w:color w:val="000000"/>
          <w:position w:val="0"/>
          <w:sz w:val="20"/>
          <w:u w:val="none"/>
          <w:vertAlign w:val="baseline"/>
        </w:rPr>
        <w:t xml:space="preserve">. An inmate may earn ten (10) days of credit for every thirty (30) days of successful participation.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Moreover, eligible inmates who have been assessed at a minimum or low risk of recidivism who do not increase their risk of recidivism over two (2) consecutive assessments may earn five (5) days of time credit for every thirty (30) days of successful participation.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However, an inmate is ineligible to apply ECTs if the inmate is "the subject of a final order of removal under any provision of the immigration laws." </w:t>
      </w:r>
      <w:hyperlink r:id="rId11" w:history="1">
        <w:r>
          <w:rPr>
            <w:rFonts w:ascii="arial" w:eastAsia="arial" w:hAnsi="arial" w:cs="arial"/>
            <w:b w:val="0"/>
            <w:i/>
            <w:strike w:val="0"/>
            <w:noProof w:val="0"/>
            <w:color w:val="0077CC"/>
            <w:position w:val="0"/>
            <w:sz w:val="20"/>
            <w:u w:val="single"/>
            <w:vertAlign w:val="baseline"/>
          </w:rPr>
          <w:t>18 U.S.C. §3632(d)(4)(E)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8" w:name="Bookmark_para_9"/>
      <w:bookmarkEnd w:id="18"/>
      <w:bookmarkStart w:id="19" w:name="Bookmark_I68RM43D2SF80B0040000400"/>
      <w:bookmarkEnd w:id="19"/>
      <w:r>
        <w:rPr>
          <w:rFonts w:ascii="arial" w:eastAsia="arial" w:hAnsi="arial" w:cs="arial"/>
          <w:b w:val="0"/>
          <w:i w:val="0"/>
          <w:strike w:val="0"/>
          <w:noProof w:val="0"/>
          <w:color w:val="000000"/>
          <w:position w:val="0"/>
          <w:sz w:val="20"/>
          <w:u w:val="none"/>
          <w:vertAlign w:val="baseline"/>
        </w:rPr>
        <w:t>Here, Respondent presented evidence that Petitioner is subject to a deportation order and that the BOP properly determined that Petitioner is not eligible for application of FSA time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credits. </w:t>
      </w:r>
      <w:hyperlink r:id="rId11" w:history="1">
        <w:r>
          <w:rPr>
            <w:rFonts w:ascii="arial" w:eastAsia="arial" w:hAnsi="arial" w:cs="arial"/>
            <w:b w:val="0"/>
            <w:i/>
            <w:strike w:val="0"/>
            <w:noProof w:val="0"/>
            <w:color w:val="0077CC"/>
            <w:position w:val="0"/>
            <w:sz w:val="20"/>
            <w:u w:val="single"/>
            <w:vertAlign w:val="baseline"/>
          </w:rPr>
          <w:t>18 U.S.C. §3632(d)(4)(E)(i)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0" w:name="Bookmark_I68RM43D2SF80B0030000400"/>
      <w:bookmarkEnd w:id="20"/>
      <w:hyperlink r:id="rId13" w:history="1">
        <w:r>
          <w:rPr>
            <w:rFonts w:ascii="arial" w:eastAsia="arial" w:hAnsi="arial" w:cs="arial"/>
            <w:b w:val="0"/>
            <w:i/>
            <w:strike w:val="0"/>
            <w:noProof w:val="0"/>
            <w:color w:val="0077CC"/>
            <w:position w:val="0"/>
            <w:sz w:val="20"/>
            <w:u w:val="single"/>
            <w:vertAlign w:val="baseline"/>
          </w:rPr>
          <w:t>Ramirez v. Sage</w:t>
        </w:r>
      </w:hyperlink>
      <w:hyperlink r:id="rId13" w:history="1">
        <w:r>
          <w:rPr>
            <w:rFonts w:ascii="arial" w:eastAsia="arial" w:hAnsi="arial" w:cs="arial"/>
            <w:b w:val="0"/>
            <w:i/>
            <w:strike w:val="0"/>
            <w:noProof w:val="0"/>
            <w:color w:val="0077CC"/>
            <w:position w:val="0"/>
            <w:sz w:val="20"/>
            <w:u w:val="single"/>
            <w:vertAlign w:val="baseline"/>
          </w:rPr>
          <w:t>, 2022 U.S. Dist. LEXIS 114453, 2022 WL 2318693 (M.D. Pa. June 28, 2022)</w:t>
        </w:r>
      </w:hyperlink>
      <w:r>
        <w:rPr>
          <w:rFonts w:ascii="arial" w:eastAsia="arial" w:hAnsi="arial" w:cs="arial"/>
          <w:b w:val="0"/>
          <w:i w:val="0"/>
          <w:strike w:val="0"/>
          <w:noProof w:val="0"/>
          <w:color w:val="000000"/>
          <w:position w:val="0"/>
          <w:sz w:val="20"/>
          <w:u w:val="none"/>
          <w:vertAlign w:val="baseline"/>
        </w:rPr>
        <w:t xml:space="preserve"> (denying habeas relief to inmate pursuant to </w:t>
      </w:r>
      <w:hyperlink r:id="rId11" w:history="1">
        <w:r>
          <w:rPr>
            <w:rFonts w:ascii="arial" w:eastAsia="arial" w:hAnsi="arial" w:cs="arial"/>
            <w:b w:val="0"/>
            <w:i/>
            <w:strike w:val="0"/>
            <w:noProof w:val="0"/>
            <w:color w:val="0077CC"/>
            <w:position w:val="0"/>
            <w:sz w:val="20"/>
            <w:u w:val="single"/>
            <w:vertAlign w:val="baseline"/>
          </w:rPr>
          <w:t>18 U.S.C. §3632(d)(4)(E)</w:t>
        </w:r>
      </w:hyperlink>
      <w:r>
        <w:rPr>
          <w:rFonts w:ascii="arial" w:eastAsia="arial" w:hAnsi="arial" w:cs="arial"/>
          <w:b w:val="0"/>
          <w:i w:val="0"/>
          <w:strike w:val="0"/>
          <w:noProof w:val="0"/>
          <w:color w:val="000000"/>
          <w:position w:val="0"/>
          <w:sz w:val="20"/>
          <w:u w:val="none"/>
          <w:vertAlign w:val="baseline"/>
        </w:rPr>
        <w:t xml:space="preserve"> based on evidence of a deportation order). As such, the Court will deny Lucero-Deras' petition for writ of habeas corpus.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For the reasons stated above, the petition for a writ of habeas corpus will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Dated: July 14, 2023</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/s/ Malachy E. Mannion</w:t>
      </w:r>
    </w:p>
    <w:p>
      <w:pPr>
        <w:keepNext w:val="0"/>
        <w:spacing w:before="200" w:after="0" w:line="260" w:lineRule="atLeast"/>
        <w:ind w:left="0" w:right="0" w:firstLine="0"/>
        <w:jc w:val="both"/>
      </w:pPr>
      <w:bookmarkStart w:id="24" w:name="Bookmark_para_13"/>
      <w:bookmarkEnd w:id="24"/>
      <w:r>
        <w:rPr>
          <w:rFonts w:ascii="arial" w:eastAsia="arial" w:hAnsi="arial" w:cs="arial"/>
          <w:b/>
          <w:i w:val="0"/>
          <w:strike w:val="0"/>
          <w:noProof w:val="0"/>
          <w:color w:val="000000"/>
          <w:position w:val="0"/>
          <w:sz w:val="20"/>
          <w:u w:val="none"/>
          <w:vertAlign w:val="baseline"/>
        </w:rPr>
        <w:t>MALACHY E. MANNION</w:t>
      </w:r>
    </w:p>
    <w:p>
      <w:pPr>
        <w:keepNext w:val="0"/>
        <w:spacing w:before="200" w:after="0" w:line="260" w:lineRule="atLeast"/>
        <w:ind w:left="0" w:right="0" w:firstLine="0"/>
        <w:jc w:val="both"/>
      </w:pPr>
      <w:bookmarkStart w:id="25" w:name="Bookmark_para_14"/>
      <w:bookmarkEnd w:id="25"/>
      <w:r>
        <w:rPr>
          <w:rFonts w:ascii="arial" w:eastAsia="arial" w:hAnsi="arial" w:cs="arial"/>
          <w:b/>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In accordance with this Court's memorandum issued this same day, </w:t>
      </w:r>
      <w:r>
        <w:rPr>
          <w:rFonts w:ascii="arial" w:eastAsia="arial" w:hAnsi="arial" w:cs="arial"/>
          <w:b/>
          <w:i w:val="0"/>
          <w:strike w:val="0"/>
          <w:noProof w:val="0"/>
          <w:color w:val="000000"/>
          <w:position w:val="0"/>
          <w:sz w:val="20"/>
          <w:u w:val="none"/>
          <w:vertAlign w:val="baseline"/>
        </w:rPr>
        <w:t>IT IS HEREBY ORDERED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xml:space="preserve">1. The petition for writ of habeas corpus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2. The Clerk of Court is directed to CLOSE </w:t>
      </w:r>
      <w:r>
        <w:rPr>
          <w:rFonts w:ascii="arial" w:eastAsia="arial" w:hAnsi="arial" w:cs="arial"/>
          <w:b/>
          <w:i w:val="0"/>
          <w:strike w:val="0"/>
          <w:noProof w:val="0"/>
          <w:color w:val="000000"/>
          <w:position w:val="0"/>
          <w:sz w:val="20"/>
          <w:u w:val="none"/>
          <w:vertAlign w:val="baseline"/>
        </w:rPr>
        <w:t>THIS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/s/ Malachy E. Mannion</w:t>
      </w:r>
    </w:p>
    <w:p>
      <w:pPr>
        <w:keepNext w:val="0"/>
        <w:spacing w:before="200" w:after="0" w:line="260" w:lineRule="atLeast"/>
        <w:ind w:left="0" w:right="0" w:firstLine="0"/>
        <w:jc w:val="both"/>
      </w:pPr>
      <w:bookmarkStart w:id="30" w:name="Bookmark_para_19"/>
      <w:bookmarkEnd w:id="30"/>
      <w:r>
        <w:rPr>
          <w:rFonts w:ascii="arial" w:eastAsia="arial" w:hAnsi="arial" w:cs="arial"/>
          <w:b/>
          <w:i w:val="0"/>
          <w:strike w:val="0"/>
          <w:noProof w:val="0"/>
          <w:color w:val="000000"/>
          <w:position w:val="0"/>
          <w:sz w:val="20"/>
          <w:u w:val="none"/>
          <w:vertAlign w:val="baseline"/>
        </w:rPr>
        <w:t>MALACHY E. MANNION</w:t>
      </w:r>
    </w:p>
    <w:p>
      <w:pPr>
        <w:keepNext w:val="0"/>
        <w:spacing w:before="200" w:after="0" w:line="260" w:lineRule="atLeast"/>
        <w:ind w:left="0" w:right="0" w:firstLine="0"/>
        <w:jc w:val="both"/>
      </w:pPr>
      <w:bookmarkStart w:id="31" w:name="Bookmark_para_20"/>
      <w:bookmarkEnd w:id="31"/>
      <w:r>
        <w:rPr>
          <w:rFonts w:ascii="arial" w:eastAsia="arial" w:hAnsi="arial" w:cs="arial"/>
          <w:b/>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Dated: July 14,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 xml:space="preserve">Pursuant to </w:t>
      </w:r>
      <w:hyperlink r:id="rId1" w:history="1">
        <w:r>
          <w:rPr>
            <w:rFonts w:ascii="arial" w:eastAsia="arial" w:hAnsi="arial" w:cs="arial"/>
            <w:b w:val="0"/>
            <w:i/>
            <w:strike w:val="0"/>
            <w:noProof w:val="0"/>
            <w:color w:val="0077CC"/>
            <w:position w:val="0"/>
            <w:sz w:val="18"/>
            <w:u w:val="single"/>
            <w:vertAlign w:val="baseline"/>
          </w:rPr>
          <w:t>18 U.S.C. §3632(d)(4)(E)(i)</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18"/>
          <w:u w:val="none"/>
          <w:vertAlign w:val="baseline"/>
        </w:rPr>
        <w:t xml:space="preserve">In general.—A prisoner is ineligible to apply time credits under subparagraph (C) if the prisoner is the subject of a final order of removal under any provision of the immigration laws (as such term is defined in </w:t>
      </w:r>
      <w:hyperlink r:id="rId2" w:history="1">
        <w:r>
          <w:rPr>
            <w:rFonts w:ascii="arial" w:eastAsia="arial" w:hAnsi="arial" w:cs="arial"/>
            <w:b w:val="0"/>
            <w:i/>
            <w:strike w:val="0"/>
            <w:noProof w:val="0"/>
            <w:color w:val="0077CC"/>
            <w:position w:val="0"/>
            <w:sz w:val="18"/>
            <w:u w:val="single"/>
            <w:vertAlign w:val="baseline"/>
          </w:rPr>
          <w:t>section 101(a)(17) of the Immigration and Nationality Act</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8 U.S.C. 1101(a)(17)</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400" w:right="0" w:firstLine="0"/>
        <w:jc w:val="both"/>
      </w:pPr>
      <w:bookmarkStart w:id="17" w:name="Bookmark_para_8"/>
      <w:bookmarkEnd w:id="17"/>
      <w:hyperlink r:id="rId1" w:history="1">
        <w:r>
          <w:rPr>
            <w:rFonts w:ascii="arial" w:eastAsia="arial" w:hAnsi="arial" w:cs="arial"/>
            <w:b w:val="0"/>
            <w:i/>
            <w:strike w:val="0"/>
            <w:color w:val="0077CC"/>
            <w:sz w:val="18"/>
            <w:u w:val="single"/>
            <w:vertAlign w:val="baseline"/>
          </w:rPr>
          <w:t>18 U.S.C. §3632(d)(4)(E)(i)</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Lucero-Deras v. Warden, 2023 U.S. Dist. LEXIS 123701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2-00000-00&amp;context=1519360" TargetMode="External" /><Relationship Id="rId11" Type="http://schemas.openxmlformats.org/officeDocument/2006/relationships/hyperlink" Target="https://advance.lexis.com/api/document?collection=statutes-legislation&amp;id=urn:contentItem:8TV7-NW02-D6RV-H15T-00000-00&amp;context=1519360" TargetMode="External" /><Relationship Id="rId12" Type="http://schemas.openxmlformats.org/officeDocument/2006/relationships/hyperlink" Target="https://advance.lexis.com/api/document?collection=cases&amp;id=urn:contentItem:5YST-SF41-JSJC-X49G-00000-00&amp;context=1519360" TargetMode="External" /><Relationship Id="rId13" Type="http://schemas.openxmlformats.org/officeDocument/2006/relationships/hyperlink" Target="https://advance.lexis.com/api/document?collection=cases&amp;id=urn:contentItem:65TB-C201-JP4G-64N1-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9-6K61-JB7K-20X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7-NW02-D6RV-H15T-00000-00&amp;context=1519360" TargetMode="External" /><Relationship Id="rId2" Type="http://schemas.openxmlformats.org/officeDocument/2006/relationships/hyperlink" Target="https://advance.lexis.com/api/document?collection=statutes-legislation&amp;id=urn:contentItem:67TN-3M73-GXF6-837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Lucero-Deras v. Warden, 2023 U.S. Dist. LEXIS 123701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urn:user:PA186186283</vt:lpwstr>
  </property>
</Properties>
</file>