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Smith v. Smith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Alabama, Jasper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2023, Decided; February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6:23-00060-LCB-SGC</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56576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2733417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HOLLIS CHADWICK SMITH, Petitioner, v. SHERIFF NICK SMITH,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of habeas corpus dismissed, Without prejudice, Objection overruled by, Motion denied by, As moot </w:t>
      </w:r>
      <w:hyperlink r:id="rId10" w:history="1">
        <w:r>
          <w:rPr>
            <w:rFonts w:ascii="arial" w:eastAsia="arial" w:hAnsi="arial" w:cs="arial"/>
            <w:b w:val="0"/>
            <w:i/>
            <w:strike w:val="0"/>
            <w:noProof w:val="0"/>
            <w:color w:val="0077CC"/>
            <w:position w:val="0"/>
            <w:sz w:val="20"/>
            <w:u w:val="single"/>
            <w:vertAlign w:val="baseline"/>
          </w:rPr>
          <w:t>Smith v. Smith, 2023 U.S. Dist. LEXIS 55055 (N.D. Ala., Mar. 30,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report and recommendation, prison, RECOMMENDATION, allegations, challenges, custody, confinement, reasons, conditions of confinement, execution of a sentence, constitutional right, lack of jurisdiction, legal conclusion, habeas petition, state prisoner, habeas corpus, fact finding, incarcerated, asserting, duration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Hollis Chadwick Smith, Petitioner, Pro se, Jasper, AL.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STACI G. CORNELIUS,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STACI G. CORNELIUS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petitioner, Hollis Chadwick Smith, filed this matter on the form used to assert habeas claims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(Doc.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Smith states he is an Alabama state prisoner, presently detained in the Walker County Jail.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Smith alleges Walker County Jail officers have punched and kicked him in the genital area, prevented him from making phone calls, and confiscated his property, all because Smith discovered they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2-s3). Smith explains the petition challenges the cruel and unusual punishment—which he describes as torture—handed out by these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As relief, Smith seeks to be transferred to another county "while awaiting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As explained below, Smith's federal habeas claims are due to be dismissed for lack of jurisdiction.</w:t>
      </w:r>
    </w:p>
    <w:p>
      <w:pPr>
        <w:keepNext w:val="0"/>
        <w:spacing w:before="240" w:after="0" w:line="260" w:lineRule="atLeast"/>
        <w:ind w:left="0" w:right="0" w:firstLine="0"/>
        <w:jc w:val="both"/>
      </w:pPr>
      <w:bookmarkStart w:id="11" w:name="Bookmark_para_2"/>
      <w:bookmarkEnd w:id="11"/>
      <w:bookmarkStart w:id="12" w:name="Bookmark_I67XT7HG2N1RD50020000400"/>
      <w:bookmarkEnd w:id="12"/>
      <w:bookmarkStart w:id="13" w:name="Bookmark_I67XT7HG2N1RD50040000400"/>
      <w:bookmarkEnd w:id="13"/>
      <w:hyperlink r:id="rId11" w:history="1">
        <w:r>
          <w:rPr>
            <w:rFonts w:ascii="arial" w:eastAsia="arial" w:hAnsi="arial" w:cs="arial"/>
            <w:b w:val="0"/>
            <w:i/>
            <w:strike w:val="0"/>
            <w:color w:val="0077CC"/>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grants federal district courts jurisdiction over writs of habeas corpus for state prisoners only where they allege they are "in custody in violation of the Constitution or laws or treaties of the United States." </w:t>
      </w:r>
      <w:hyperlink r:id="rId11" w:history="1">
        <w:r>
          <w:rPr>
            <w:rFonts w:ascii="arial" w:eastAsia="arial" w:hAnsi="arial" w:cs="arial"/>
            <w:b w:val="0"/>
            <w:i/>
            <w:strike w:val="0"/>
            <w:noProof w:val="0"/>
            <w:color w:val="0077CC"/>
            <w:position w:val="0"/>
            <w:sz w:val="20"/>
            <w:u w:val="single"/>
            <w:vertAlign w:val="baseline"/>
          </w:rPr>
          <w:t>28 U.S.C. 2241(c)(3)</w:t>
        </w:r>
      </w:hyperlink>
      <w:r>
        <w:rPr>
          <w:rFonts w:ascii="arial" w:eastAsia="arial" w:hAnsi="arial" w:cs="arial"/>
          <w:b w:val="0"/>
          <w:i w:val="0"/>
          <w:strike w:val="0"/>
          <w:noProof w:val="0"/>
          <w:color w:val="000000"/>
          <w:position w:val="0"/>
          <w:sz w:val="20"/>
          <w:u w:val="none"/>
          <w:vertAlign w:val="baseline"/>
        </w:rPr>
        <w:t>. The essence 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core of habeas corpus is "an attack by a person in custody upon the legality of that custody, and . . . the traditional function of the writ is to secure release from illegal custody." </w:t>
      </w:r>
      <w:bookmarkStart w:id="14" w:name="Bookmark_I67XT7HG2N1RD50010000400"/>
      <w:bookmarkEnd w:id="14"/>
      <w:hyperlink r:id="rId12" w:history="1">
        <w:r>
          <w:rPr>
            <w:rFonts w:ascii="arial" w:eastAsia="arial" w:hAnsi="arial" w:cs="arial"/>
            <w:b w:val="0"/>
            <w:i/>
            <w:strike w:val="0"/>
            <w:noProof w:val="0"/>
            <w:color w:val="0077CC"/>
            <w:position w:val="0"/>
            <w:sz w:val="20"/>
            <w:u w:val="single"/>
            <w:vertAlign w:val="baseline"/>
          </w:rPr>
          <w:t>Preiser v. Rodriguez</w:t>
        </w:r>
      </w:hyperlink>
      <w:hyperlink r:id="rId12" w:history="1">
        <w:r>
          <w:rPr>
            <w:rFonts w:ascii="arial" w:eastAsia="arial" w:hAnsi="arial" w:cs="arial"/>
            <w:b w:val="0"/>
            <w:i/>
            <w:strike w:val="0"/>
            <w:noProof w:val="0"/>
            <w:color w:val="0077CC"/>
            <w:position w:val="0"/>
            <w:sz w:val="20"/>
            <w:u w:val="single"/>
            <w:vertAlign w:val="baseline"/>
          </w:rPr>
          <w:t>, 411 U.S. 475, 484, 93 S. Ct. 1827, 36 L. Ed. 2d 439 (1973)</w:t>
        </w:r>
      </w:hyperlink>
      <w:r>
        <w:rPr>
          <w:rFonts w:ascii="arial" w:eastAsia="arial" w:hAnsi="arial" w:cs="arial"/>
          <w:b w:val="0"/>
          <w:i w:val="0"/>
          <w:strike w:val="0"/>
          <w:noProof w:val="0"/>
          <w:color w:val="000000"/>
          <w:position w:val="0"/>
          <w:sz w:val="20"/>
          <w:u w:val="none"/>
          <w:vertAlign w:val="baseline"/>
        </w:rPr>
        <w:t xml:space="preserve">. A habeas petition challenges the "fact or duration" of confinement or "the execution of the sentence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5" w:name="Bookmark_I67XT7HG2N1RD50030000400"/>
      <w:bookmarkEnd w:id="15"/>
      <w:hyperlink r:id="rId13" w:history="1">
        <w:r>
          <w:rPr>
            <w:rFonts w:ascii="arial" w:eastAsia="arial" w:hAnsi="arial" w:cs="arial"/>
            <w:b w:val="0"/>
            <w:i/>
            <w:strike w:val="0"/>
            <w:noProof w:val="0"/>
            <w:color w:val="0077CC"/>
            <w:position w:val="0"/>
            <w:sz w:val="20"/>
            <w:u w:val="single"/>
            <w:vertAlign w:val="baseline"/>
          </w:rPr>
          <w:t>Antonelli v. Warden, U.S.P. Atlanta</w:t>
        </w:r>
      </w:hyperlink>
      <w:hyperlink r:id="rId13" w:history="1">
        <w:r>
          <w:rPr>
            <w:rFonts w:ascii="arial" w:eastAsia="arial" w:hAnsi="arial" w:cs="arial"/>
            <w:b w:val="0"/>
            <w:i/>
            <w:strike w:val="0"/>
            <w:noProof w:val="0"/>
            <w:color w:val="0077CC"/>
            <w:position w:val="0"/>
            <w:sz w:val="20"/>
            <w:u w:val="single"/>
            <w:vertAlign w:val="baseline"/>
          </w:rPr>
          <w:t>, 542 F.3d 1348, 1352 (11th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3"/>
      <w:bookmarkEnd w:id="16"/>
      <w:bookmarkStart w:id="17" w:name="Bookmark_I67XT7HG2HM6J80010000400"/>
      <w:bookmarkEnd w:id="17"/>
      <w:r>
        <w:rPr>
          <w:rFonts w:ascii="arial" w:eastAsia="arial" w:hAnsi="arial" w:cs="arial"/>
          <w:b w:val="0"/>
          <w:i w:val="0"/>
          <w:strike w:val="0"/>
          <w:noProof w:val="0"/>
          <w:color w:val="000000"/>
          <w:position w:val="0"/>
          <w:sz w:val="20"/>
          <w:u w:val="none"/>
          <w:vertAlign w:val="baseline"/>
        </w:rPr>
        <w:t xml:space="preserve">Here, Smith does not challenge the fact or duration of his confinement; neither does he challenge the execution of a sentence. Rather, the petition is based on alleged abuse at the hands of officers at the Walker County Jail. These assertions concern the conditions of Smith's confinement and thus are not proper grounds for habeas relief. </w:t>
      </w:r>
      <w:bookmarkStart w:id="18" w:name="Bookmark_I67XT7HG2HM6J80050000400"/>
      <w:bookmarkEnd w:id="18"/>
      <w:r>
        <w:rPr>
          <w:rFonts w:ascii="arial" w:eastAsia="arial" w:hAnsi="arial" w:cs="arial"/>
          <w:b w:val="0"/>
          <w:i/>
          <w:strike w:val="0"/>
          <w:noProof w:val="0"/>
          <w:color w:val="000000"/>
          <w:position w:val="0"/>
          <w:sz w:val="20"/>
          <w:u w:val="none"/>
          <w:vertAlign w:val="baseline"/>
        </w:rPr>
        <w:t xml:space="preserve">See </w:t>
      </w:r>
      <w:bookmarkStart w:id="19" w:name="Bookmark_I67XT7HG2N1RD50050000400"/>
      <w:bookmarkEnd w:id="19"/>
      <w:hyperlink r:id="rId14" w:history="1">
        <w:r>
          <w:rPr>
            <w:rFonts w:ascii="arial" w:eastAsia="arial" w:hAnsi="arial" w:cs="arial"/>
            <w:b w:val="0"/>
            <w:i/>
            <w:strike w:val="0"/>
            <w:noProof w:val="0"/>
            <w:color w:val="0077CC"/>
            <w:position w:val="0"/>
            <w:sz w:val="20"/>
            <w:u w:val="single"/>
            <w:vertAlign w:val="baseline"/>
          </w:rPr>
          <w:t>Castelli v. Garrett</w:t>
        </w:r>
      </w:hyperlink>
      <w:hyperlink r:id="rId14" w:history="1">
        <w:r>
          <w:rPr>
            <w:rFonts w:ascii="arial" w:eastAsia="arial" w:hAnsi="arial" w:cs="arial"/>
            <w:b w:val="0"/>
            <w:i/>
            <w:strike w:val="0"/>
            <w:noProof w:val="0"/>
            <w:color w:val="0077CC"/>
            <w:position w:val="0"/>
            <w:sz w:val="20"/>
            <w:u w:val="single"/>
            <w:vertAlign w:val="baseline"/>
          </w:rPr>
          <w:t>, No. 19-1332-KOB-HNJ, 2021 U.S. Dist. LEXIS 258979, 2021 WL 9059760, at *2 (N.D. Ala. Dec. 30,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R&amp;R adopted</w:t>
      </w:r>
      <w:r>
        <w:rPr>
          <w:rFonts w:ascii="arial" w:eastAsia="arial" w:hAnsi="arial" w:cs="arial"/>
          <w:b w:val="0"/>
          <w:i w:val="0"/>
          <w:strike w:val="0"/>
          <w:noProof w:val="0"/>
          <w:color w:val="000000"/>
          <w:position w:val="0"/>
          <w:sz w:val="20"/>
          <w:u w:val="none"/>
          <w:vertAlign w:val="baseline"/>
        </w:rPr>
        <w:t xml:space="preserve">, </w:t>
      </w:r>
      <w:bookmarkStart w:id="20" w:name="Bookmark_I67XT7HG2HM6J80020000400"/>
      <w:bookmarkEnd w:id="20"/>
      <w:hyperlink r:id="rId15" w:history="1">
        <w:r>
          <w:rPr>
            <w:rFonts w:ascii="arial" w:eastAsia="arial" w:hAnsi="arial" w:cs="arial"/>
            <w:b w:val="0"/>
            <w:i/>
            <w:strike w:val="0"/>
            <w:noProof w:val="0"/>
            <w:color w:val="0077CC"/>
            <w:position w:val="0"/>
            <w:sz w:val="20"/>
            <w:u w:val="single"/>
            <w:vertAlign w:val="baseline"/>
          </w:rPr>
          <w:t>2022 U.S. Dist. LEXIS 105943, 2022 WL 2132847</w:t>
        </w:r>
      </w:hyperlink>
      <w:r>
        <w:rPr>
          <w:rFonts w:ascii="arial" w:eastAsia="arial" w:hAnsi="arial" w:cs="arial"/>
          <w:b w:val="0"/>
          <w:i w:val="0"/>
          <w:strike w:val="0"/>
          <w:noProof w:val="0"/>
          <w:color w:val="000000"/>
          <w:position w:val="0"/>
          <w:sz w:val="20"/>
          <w:u w:val="none"/>
          <w:vertAlign w:val="baseline"/>
        </w:rPr>
        <w:t xml:space="preserve">. </w:t>
      </w:r>
      <w:bookmarkStart w:id="21" w:name="Bookmark_I67XT7HG2HM6J80050000400_2"/>
      <w:bookmarkEnd w:id="21"/>
      <w:r>
        <w:rPr>
          <w:rFonts w:ascii="arial" w:eastAsia="arial" w:hAnsi="arial" w:cs="arial"/>
          <w:b w:val="0"/>
          <w:i w:val="0"/>
          <w:strike w:val="0"/>
          <w:noProof w:val="0"/>
          <w:color w:val="000000"/>
          <w:position w:val="0"/>
          <w:sz w:val="20"/>
          <w:u w:val="none"/>
          <w:vertAlign w:val="baseline"/>
        </w:rPr>
        <w:t xml:space="preserve">If a federal court can provide a remedy for Smith's allegations, it would lie in a civil rights complaint pursuant to </w:t>
      </w:r>
      <w:hyperlink r:id="rId16"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22" w:name="Bookmark_I67XT7HH28T4PG0030000400"/>
      <w:bookmarkEnd w:id="22"/>
      <w:r>
        <w:rPr>
          <w:rFonts w:ascii="arial" w:eastAsia="arial" w:hAnsi="arial" w:cs="arial"/>
          <w:b w:val="0"/>
          <w:i/>
          <w:strike w:val="0"/>
          <w:noProof w:val="0"/>
          <w:color w:val="000000"/>
          <w:position w:val="0"/>
          <w:sz w:val="20"/>
          <w:u w:val="none"/>
          <w:vertAlign w:val="baseline"/>
        </w:rPr>
        <w:t xml:space="preserve">See </w:t>
      </w:r>
      <w:bookmarkStart w:id="23" w:name="Bookmark_I67XT7HG2HM6J80040000400"/>
      <w:bookmarkEnd w:id="23"/>
      <w:hyperlink r:id="rId17" w:history="1">
        <w:r>
          <w:rPr>
            <w:rFonts w:ascii="arial" w:eastAsia="arial" w:hAnsi="arial" w:cs="arial"/>
            <w:b w:val="0"/>
            <w:i/>
            <w:strike w:val="0"/>
            <w:noProof w:val="0"/>
            <w:color w:val="0077CC"/>
            <w:position w:val="0"/>
            <w:sz w:val="20"/>
            <w:u w:val="single"/>
            <w:vertAlign w:val="baseline"/>
          </w:rPr>
          <w:t>Nelson v. Campbell</w:t>
        </w:r>
      </w:hyperlink>
      <w:hyperlink r:id="rId17" w:history="1">
        <w:r>
          <w:rPr>
            <w:rFonts w:ascii="arial" w:eastAsia="arial" w:hAnsi="arial" w:cs="arial"/>
            <w:b w:val="0"/>
            <w:i/>
            <w:strike w:val="0"/>
            <w:noProof w:val="0"/>
            <w:color w:val="0077CC"/>
            <w:position w:val="0"/>
            <w:sz w:val="20"/>
            <w:u w:val="single"/>
            <w:vertAlign w:val="baseline"/>
          </w:rPr>
          <w:t>, 541 U.S. 637, 643, 124 S. Ct. 2117, 158 L. Ed. 2d 924 (2004)</w:t>
        </w:r>
      </w:hyperlink>
      <w:r>
        <w:rPr>
          <w:rFonts w:ascii="arial" w:eastAsia="arial" w:hAnsi="arial" w:cs="arial"/>
          <w:b w:val="0"/>
          <w:i w:val="0"/>
          <w:strike w:val="0"/>
          <w:noProof w:val="0"/>
          <w:color w:val="000000"/>
          <w:position w:val="0"/>
          <w:sz w:val="20"/>
          <w:u w:val="none"/>
          <w:vertAlign w:val="baseline"/>
        </w:rPr>
        <w:t xml:space="preserve"> (citing </w:t>
      </w:r>
      <w:bookmarkStart w:id="24" w:name="Bookmark_I67XT7HH28T4PF0010000400"/>
      <w:bookmarkEnd w:id="24"/>
      <w:hyperlink r:id="rId18" w:history="1">
        <w:r>
          <w:rPr>
            <w:rFonts w:ascii="arial" w:eastAsia="arial" w:hAnsi="arial" w:cs="arial"/>
            <w:b w:val="0"/>
            <w:i/>
            <w:strike w:val="0"/>
            <w:noProof w:val="0"/>
            <w:color w:val="0077CC"/>
            <w:position w:val="0"/>
            <w:sz w:val="20"/>
            <w:u w:val="single"/>
            <w:vertAlign w:val="baseline"/>
          </w:rPr>
          <w:t>Muhammad v. Close</w:t>
        </w:r>
      </w:hyperlink>
      <w:hyperlink r:id="rId18" w:history="1">
        <w:r>
          <w:rPr>
            <w:rFonts w:ascii="arial" w:eastAsia="arial" w:hAnsi="arial" w:cs="arial"/>
            <w:b w:val="0"/>
            <w:i/>
            <w:strike w:val="0"/>
            <w:noProof w:val="0"/>
            <w:color w:val="0077CC"/>
            <w:position w:val="0"/>
            <w:sz w:val="20"/>
            <w:u w:val="single"/>
            <w:vertAlign w:val="baseline"/>
          </w:rPr>
          <w:t>, 540 U.S. 749, 750, 124 S. Ct. 1303, 158 L. Ed. 2d 32 (2004)</w:t>
        </w:r>
      </w:hyperlink>
      <w:r>
        <w:rPr>
          <w:rFonts w:ascii="arial" w:eastAsia="arial" w:hAnsi="arial" w:cs="arial"/>
          <w:b w:val="0"/>
          <w:i w:val="0"/>
          <w:strike w:val="0"/>
          <w:noProof w:val="0"/>
          <w:color w:val="000000"/>
          <w:position w:val="0"/>
          <w:sz w:val="20"/>
          <w:u w:val="none"/>
          <w:vertAlign w:val="baseline"/>
        </w:rPr>
        <w:t xml:space="preserve">, and </w:t>
      </w:r>
      <w:bookmarkStart w:id="25" w:name="Bookmark_I67XT7HH28T4PF0030000400"/>
      <w:bookmarkEnd w:id="25"/>
      <w:hyperlink r:id="rId12" w:history="1">
        <w:r>
          <w:rPr>
            <w:rFonts w:ascii="arial" w:eastAsia="arial" w:hAnsi="arial" w:cs="arial"/>
            <w:b w:val="0"/>
            <w:i/>
            <w:strike w:val="0"/>
            <w:noProof w:val="0"/>
            <w:color w:val="0077CC"/>
            <w:position w:val="0"/>
            <w:sz w:val="20"/>
            <w:u w:val="single"/>
            <w:vertAlign w:val="baseline"/>
          </w:rPr>
          <w:t>Preiser</w:t>
        </w:r>
      </w:hyperlink>
      <w:hyperlink r:id="rId12" w:history="1">
        <w:r>
          <w:rPr>
            <w:rFonts w:ascii="arial" w:eastAsia="arial" w:hAnsi="arial" w:cs="arial"/>
            <w:b w:val="0"/>
            <w:i/>
            <w:strike w:val="0"/>
            <w:noProof w:val="0"/>
            <w:color w:val="0077CC"/>
            <w:position w:val="0"/>
            <w:sz w:val="20"/>
            <w:u w:val="single"/>
            <w:vertAlign w:val="baseline"/>
          </w:rPr>
          <w:t>, 411 U.S. at 498-99</w:t>
        </w:r>
      </w:hyperlink>
      <w:r>
        <w:rPr>
          <w:rFonts w:ascii="arial" w:eastAsia="arial" w:hAnsi="arial" w:cs="arial"/>
          <w:b w:val="0"/>
          <w:i w:val="0"/>
          <w:strike w:val="0"/>
          <w:noProof w:val="0"/>
          <w:color w:val="000000"/>
          <w:position w:val="0"/>
          <w:sz w:val="20"/>
          <w:u w:val="none"/>
          <w:vertAlign w:val="baseline"/>
        </w:rPr>
        <w:t xml:space="preserve">); </w:t>
      </w:r>
      <w:bookmarkStart w:id="26" w:name="Bookmark_I67XT7HH28T4PF0050000400"/>
      <w:bookmarkEnd w:id="26"/>
      <w:hyperlink r:id="rId19" w:history="1">
        <w:r>
          <w:rPr>
            <w:rFonts w:ascii="arial" w:eastAsia="arial" w:hAnsi="arial" w:cs="arial"/>
            <w:b w:val="0"/>
            <w:i/>
            <w:strike w:val="0"/>
            <w:noProof w:val="0"/>
            <w:color w:val="0077CC"/>
            <w:position w:val="0"/>
            <w:sz w:val="20"/>
            <w:u w:val="single"/>
            <w:vertAlign w:val="baseline"/>
          </w:rPr>
          <w:t>Martin v. Overton</w:t>
        </w:r>
      </w:hyperlink>
      <w:hyperlink r:id="rId19" w:history="1">
        <w:r>
          <w:rPr>
            <w:rFonts w:ascii="arial" w:eastAsia="arial" w:hAnsi="arial" w:cs="arial"/>
            <w:b w:val="0"/>
            <w:i/>
            <w:strike w:val="0"/>
            <w:noProof w:val="0"/>
            <w:color w:val="0077CC"/>
            <w:position w:val="0"/>
            <w:sz w:val="20"/>
            <w:u w:val="single"/>
            <w:vertAlign w:val="baseline"/>
          </w:rPr>
          <w:t>, 391 F.3d 710, 714 (6th Cir. 2004)</w:t>
        </w:r>
      </w:hyperlink>
      <w:r>
        <w:rPr>
          <w:rFonts w:ascii="arial" w:eastAsia="arial" w:hAnsi="arial" w:cs="arial"/>
          <w:b w:val="0"/>
          <w:i w:val="0"/>
          <w:strike w:val="0"/>
          <w:noProof w:val="0"/>
          <w:color w:val="000000"/>
          <w:position w:val="0"/>
          <w:sz w:val="20"/>
          <w:u w:val="none"/>
          <w:vertAlign w:val="baseline"/>
        </w:rPr>
        <w:t xml:space="preserve">. </w:t>
      </w:r>
      <w:bookmarkStart w:id="27" w:name="Bookmark_I67XT7HH28T4PG0030000400_2"/>
      <w:bookmarkEnd w:id="27"/>
      <w:r>
        <w:rPr>
          <w:rFonts w:ascii="arial" w:eastAsia="arial" w:hAnsi="arial" w:cs="arial"/>
          <w:b w:val="0"/>
          <w:i w:val="0"/>
          <w:strike w:val="0"/>
          <w:noProof w:val="0"/>
          <w:color w:val="000000"/>
          <w:position w:val="0"/>
          <w:sz w:val="20"/>
          <w:u w:val="none"/>
          <w:vertAlign w:val="baseline"/>
        </w:rPr>
        <w:t xml:space="preserve">Similarly, even if this court had the authority to mandate the location of a state prisoner's detention—a dubious proposition—habeas could not provide the remedy of transfer. </w:t>
      </w:r>
      <w:r>
        <w:rPr>
          <w:rFonts w:ascii="arial" w:eastAsia="arial" w:hAnsi="arial" w:cs="arial"/>
          <w:b w:val="0"/>
          <w:i/>
          <w:strike w:val="0"/>
          <w:noProof w:val="0"/>
          <w:color w:val="000000"/>
          <w:position w:val="0"/>
          <w:sz w:val="20"/>
          <w:u w:val="none"/>
          <w:vertAlign w:val="baseline"/>
        </w:rPr>
        <w:t xml:space="preserve">See </w:t>
      </w:r>
      <w:bookmarkStart w:id="28" w:name="Bookmark_I67XT7HH28T4PG0020000400"/>
      <w:bookmarkEnd w:id="28"/>
      <w:hyperlink r:id="rId19" w:history="1">
        <w:r>
          <w:rPr>
            <w:rFonts w:ascii="arial" w:eastAsia="arial" w:hAnsi="arial" w:cs="arial"/>
            <w:b w:val="0"/>
            <w:i/>
            <w:strike w:val="0"/>
            <w:noProof w:val="0"/>
            <w:color w:val="0077CC"/>
            <w:position w:val="0"/>
            <w:sz w:val="20"/>
            <w:u w:val="single"/>
            <w:vertAlign w:val="baseline"/>
          </w:rPr>
          <w:t>Martin</w:t>
        </w:r>
      </w:hyperlink>
      <w:hyperlink r:id="rId19" w:history="1">
        <w:r>
          <w:rPr>
            <w:rFonts w:ascii="arial" w:eastAsia="arial" w:hAnsi="arial" w:cs="arial"/>
            <w:b w:val="0"/>
            <w:i/>
            <w:strike w:val="0"/>
            <w:noProof w:val="0"/>
            <w:color w:val="0077CC"/>
            <w:position w:val="0"/>
            <w:sz w:val="20"/>
            <w:u w:val="single"/>
            <w:vertAlign w:val="baseline"/>
          </w:rPr>
          <w:t>, 391 F. 3d at 714</w:t>
        </w:r>
      </w:hyperlink>
      <w:r>
        <w:rPr>
          <w:rFonts w:ascii="arial" w:eastAsia="arial" w:hAnsi="arial" w:cs="arial"/>
          <w:b w:val="0"/>
          <w:i w:val="0"/>
          <w:strike w:val="0"/>
          <w:noProof w:val="0"/>
          <w:color w:val="000000"/>
          <w:position w:val="0"/>
          <w:sz w:val="20"/>
          <w:u w:val="none"/>
          <w:vertAlign w:val="baseline"/>
        </w:rPr>
        <w:t xml:space="preserve"> (petition seeking transfer to a different prison with better medical facilities does not sound in habeas); </w:t>
      </w:r>
      <w:bookmarkStart w:id="29" w:name="Bookmark_I67XT7HH28T4PG0040000400"/>
      <w:bookmarkEnd w:id="29"/>
      <w:hyperlink r:id="rId20" w:history="1">
        <w:r>
          <w:rPr>
            <w:rFonts w:ascii="arial" w:eastAsia="arial" w:hAnsi="arial" w:cs="arial"/>
            <w:b w:val="0"/>
            <w:i/>
            <w:strike w:val="0"/>
            <w:noProof w:val="0"/>
            <w:color w:val="0077CC"/>
            <w:position w:val="0"/>
            <w:sz w:val="20"/>
            <w:u w:val="single"/>
            <w:vertAlign w:val="baseline"/>
          </w:rPr>
          <w:t>McCall v. Ebbert</w:t>
        </w:r>
      </w:hyperlink>
      <w:hyperlink r:id="rId20" w:history="1">
        <w:r>
          <w:rPr>
            <w:rFonts w:ascii="arial" w:eastAsia="arial" w:hAnsi="arial" w:cs="arial"/>
            <w:b w:val="0"/>
            <w:i/>
            <w:strike w:val="0"/>
            <w:noProof w:val="0"/>
            <w:color w:val="0077CC"/>
            <w:position w:val="0"/>
            <w:sz w:val="20"/>
            <w:u w:val="single"/>
            <w:vertAlign w:val="baseline"/>
          </w:rPr>
          <w:t>, 384 F. Appx. 55, 57-58 (3d Cir. 2010)</w:t>
        </w:r>
      </w:hyperlink>
      <w:r>
        <w:rPr>
          <w:rFonts w:ascii="arial" w:eastAsia="arial" w:hAnsi="arial" w:cs="arial"/>
          <w:b w:val="0"/>
          <w:i w:val="0"/>
          <w:strike w:val="0"/>
          <w:noProof w:val="0"/>
          <w:color w:val="000000"/>
          <w:position w:val="0"/>
          <w:sz w:val="20"/>
          <w:u w:val="none"/>
          <w:vertAlign w:val="baseline"/>
        </w:rPr>
        <w:t xml:space="preserve"> (petitioner's challenges to security classification and resulting transfer were challenges to conditions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confinement and not cognizable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w:t>
      </w:r>
      <w:bookmarkStart w:id="30" w:name="Bookmark_I67XT7HH2HM6JJ0010000400"/>
      <w:bookmarkEnd w:id="30"/>
      <w:hyperlink r:id="rId21" w:history="1">
        <w:r>
          <w:rPr>
            <w:rFonts w:ascii="arial" w:eastAsia="arial" w:hAnsi="arial" w:cs="arial"/>
            <w:b w:val="0"/>
            <w:i/>
            <w:strike w:val="0"/>
            <w:noProof w:val="0"/>
            <w:color w:val="0077CC"/>
            <w:position w:val="0"/>
            <w:sz w:val="20"/>
            <w:u w:val="single"/>
            <w:vertAlign w:val="baseline"/>
          </w:rPr>
          <w:t>McCarthy v. Warden, USP Lewisburg</w:t>
        </w:r>
      </w:hyperlink>
      <w:hyperlink r:id="rId21" w:history="1">
        <w:r>
          <w:rPr>
            <w:rFonts w:ascii="arial" w:eastAsia="arial" w:hAnsi="arial" w:cs="arial"/>
            <w:b w:val="0"/>
            <w:i/>
            <w:strike w:val="0"/>
            <w:noProof w:val="0"/>
            <w:color w:val="0077CC"/>
            <w:position w:val="0"/>
            <w:sz w:val="20"/>
            <w:u w:val="single"/>
            <w:vertAlign w:val="baseline"/>
          </w:rPr>
          <w:t>, 417 F. Appx. 128, 129-30 (3rd Cir. 2011)</w:t>
        </w:r>
      </w:hyperlink>
      <w:r>
        <w:rPr>
          <w:rFonts w:ascii="arial" w:eastAsia="arial" w:hAnsi="arial" w:cs="arial"/>
          <w:b w:val="0"/>
          <w:i w:val="0"/>
          <w:strike w:val="0"/>
          <w:noProof w:val="0"/>
          <w:color w:val="000000"/>
          <w:position w:val="0"/>
          <w:sz w:val="20"/>
          <w:u w:val="none"/>
          <w:vertAlign w:val="baseline"/>
        </w:rPr>
        <w:t xml:space="preserve"> (challenge to prison transfer does not give rise to habeas action); </w:t>
      </w:r>
      <w:bookmarkStart w:id="31" w:name="Bookmark_I67XT7HH2HM6JJ0030000400"/>
      <w:bookmarkEnd w:id="31"/>
      <w:hyperlink r:id="rId22" w:history="1">
        <w:r>
          <w:rPr>
            <w:rFonts w:ascii="arial" w:eastAsia="arial" w:hAnsi="arial" w:cs="arial"/>
            <w:b w:val="0"/>
            <w:i/>
            <w:strike w:val="0"/>
            <w:noProof w:val="0"/>
            <w:color w:val="0077CC"/>
            <w:position w:val="0"/>
            <w:sz w:val="20"/>
            <w:u w:val="single"/>
            <w:vertAlign w:val="baseline"/>
          </w:rPr>
          <w:t>Hernandez v. Garrison</w:t>
        </w:r>
      </w:hyperlink>
      <w:hyperlink r:id="rId22" w:history="1">
        <w:r>
          <w:rPr>
            <w:rFonts w:ascii="arial" w:eastAsia="arial" w:hAnsi="arial" w:cs="arial"/>
            <w:b w:val="0"/>
            <w:i/>
            <w:strike w:val="0"/>
            <w:noProof w:val="0"/>
            <w:color w:val="0077CC"/>
            <w:position w:val="0"/>
            <w:sz w:val="20"/>
            <w:u w:val="single"/>
            <w:vertAlign w:val="baseline"/>
          </w:rPr>
          <w:t>, 916 F.2d 291, 293 (5th Cir. 1990)</w:t>
        </w:r>
      </w:hyperlink>
      <w:r>
        <w:rPr>
          <w:rFonts w:ascii="arial" w:eastAsia="arial" w:hAnsi="arial" w:cs="arial"/>
          <w:b w:val="0"/>
          <w:i w:val="0"/>
          <w:strike w:val="0"/>
          <w:noProof w:val="0"/>
          <w:color w:val="000000"/>
          <w:position w:val="0"/>
          <w:sz w:val="20"/>
          <w:u w:val="none"/>
          <w:vertAlign w:val="baseline"/>
        </w:rPr>
        <w:t xml:space="preserve"> (habeas review is not available to obtain transfer to another prison). For the foregoing reasons, the court lacks jurisdiction to hear Smith's claims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4"/>
      <w:bookmarkEnd w:id="32"/>
      <w:bookmarkStart w:id="33" w:name="Bookmark_I67XT7HH28T4PP0010000400"/>
      <w:bookmarkEnd w:id="33"/>
      <w:r>
        <w:rPr>
          <w:rFonts w:ascii="arial" w:eastAsia="arial" w:hAnsi="arial" w:cs="arial"/>
          <w:b w:val="0"/>
          <w:i w:val="0"/>
          <w:strike w:val="0"/>
          <w:noProof w:val="0"/>
          <w:color w:val="000000"/>
          <w:position w:val="0"/>
          <w:sz w:val="20"/>
          <w:u w:val="none"/>
          <w:vertAlign w:val="baseline"/>
        </w:rPr>
        <w:t xml:space="preserve">Finally, even if Smith's claims did sound in habeas, they are devoid of merit because the only relief he seeks is transfer to a different facility. Prisoners do not have a constitutional right to be incarcerated in a particular facility. </w:t>
      </w:r>
      <w:bookmarkStart w:id="34" w:name="Bookmark_I67XT7HH28T4PP0050000400"/>
      <w:bookmarkEnd w:id="34"/>
      <w:r>
        <w:rPr>
          <w:rFonts w:ascii="arial" w:eastAsia="arial" w:hAnsi="arial" w:cs="arial"/>
          <w:b w:val="0"/>
          <w:i/>
          <w:strike w:val="0"/>
          <w:noProof w:val="0"/>
          <w:color w:val="000000"/>
          <w:position w:val="0"/>
          <w:sz w:val="20"/>
          <w:u w:val="none"/>
          <w:vertAlign w:val="baseline"/>
        </w:rPr>
        <w:t xml:space="preserve">See, e.g., </w:t>
      </w:r>
      <w:bookmarkStart w:id="35" w:name="Bookmark_I67XT7HH2HM6JJ0050000400"/>
      <w:bookmarkEnd w:id="35"/>
      <w:hyperlink r:id="rId23" w:history="1">
        <w:r>
          <w:rPr>
            <w:rFonts w:ascii="arial" w:eastAsia="arial" w:hAnsi="arial" w:cs="arial"/>
            <w:b w:val="0"/>
            <w:i/>
            <w:strike w:val="0"/>
            <w:noProof w:val="0"/>
            <w:color w:val="0077CC"/>
            <w:position w:val="0"/>
            <w:sz w:val="20"/>
            <w:u w:val="single"/>
            <w:vertAlign w:val="baseline"/>
          </w:rPr>
          <w:t>Olim v. Wakinekona</w:t>
        </w:r>
      </w:hyperlink>
      <w:hyperlink r:id="rId23" w:history="1">
        <w:r>
          <w:rPr>
            <w:rFonts w:ascii="arial" w:eastAsia="arial" w:hAnsi="arial" w:cs="arial"/>
            <w:b w:val="0"/>
            <w:i/>
            <w:strike w:val="0"/>
            <w:noProof w:val="0"/>
            <w:color w:val="0077CC"/>
            <w:position w:val="0"/>
            <w:sz w:val="20"/>
            <w:u w:val="single"/>
            <w:vertAlign w:val="baseline"/>
          </w:rPr>
          <w:t>, 461 U.S. 238, 245-46, 103 S. Ct. 1741, 75 L. Ed. 2d 813, (1983)</w:t>
        </w:r>
      </w:hyperlink>
      <w:r>
        <w:rPr>
          <w:rFonts w:ascii="arial" w:eastAsia="arial" w:hAnsi="arial" w:cs="arial"/>
          <w:b w:val="0"/>
          <w:i w:val="0"/>
          <w:strike w:val="0"/>
          <w:noProof w:val="0"/>
          <w:color w:val="000000"/>
          <w:position w:val="0"/>
          <w:sz w:val="20"/>
          <w:u w:val="none"/>
          <w:vertAlign w:val="baseline"/>
        </w:rPr>
        <w:t>;</w:t>
      </w:r>
      <w:bookmarkStart w:id="36" w:name="Bookmark_I67XT7HH28T4PP0020000400"/>
      <w:bookmarkEnd w:id="36"/>
      <w:hyperlink r:id="rId24" w:history="1">
        <w:r>
          <w:rPr>
            <w:rFonts w:ascii="arial" w:eastAsia="arial" w:hAnsi="arial" w:cs="arial"/>
            <w:b w:val="0"/>
            <w:i/>
            <w:strike w:val="0"/>
            <w:noProof w:val="0"/>
            <w:color w:val="0077CC"/>
            <w:position w:val="0"/>
            <w:sz w:val="20"/>
            <w:u w:val="single"/>
            <w:vertAlign w:val="baseline"/>
          </w:rPr>
          <w:t>Meachum v. Fano</w:t>
        </w:r>
      </w:hyperlink>
      <w:hyperlink r:id="rId24" w:history="1">
        <w:r>
          <w:rPr>
            <w:rFonts w:ascii="arial" w:eastAsia="arial" w:hAnsi="arial" w:cs="arial"/>
            <w:b w:val="0"/>
            <w:i/>
            <w:strike w:val="0"/>
            <w:noProof w:val="0"/>
            <w:color w:val="0077CC"/>
            <w:position w:val="0"/>
            <w:sz w:val="20"/>
            <w:u w:val="single"/>
            <w:vertAlign w:val="baseline"/>
          </w:rPr>
          <w:t>, 427 U.S. 215, 224-25, 96 S. Ct. 2532, 49 L. Ed. 2d 451 (1976)</w:t>
        </w:r>
      </w:hyperlink>
      <w:r>
        <w:rPr>
          <w:rFonts w:ascii="arial" w:eastAsia="arial" w:hAnsi="arial" w:cs="arial"/>
          <w:b w:val="0"/>
          <w:i w:val="0"/>
          <w:strike w:val="0"/>
          <w:noProof w:val="0"/>
          <w:color w:val="000000"/>
          <w:position w:val="0"/>
          <w:sz w:val="20"/>
          <w:u w:val="none"/>
          <w:vertAlign w:val="baseline"/>
        </w:rPr>
        <w:t xml:space="preserve"> (no federal constitutional right to incarceration in any particular prison or portion of prison). </w:t>
      </w:r>
      <w:bookmarkStart w:id="37" w:name="Bookmark_I67XT7HH28T4PP0050000400_2"/>
      <w:bookmarkEnd w:id="37"/>
      <w:r>
        <w:rPr>
          <w:rFonts w:ascii="arial" w:eastAsia="arial" w:hAnsi="arial" w:cs="arial"/>
          <w:b w:val="0"/>
          <w:i w:val="0"/>
          <w:strike w:val="0"/>
          <w:noProof w:val="0"/>
          <w:color w:val="000000"/>
          <w:position w:val="0"/>
          <w:sz w:val="20"/>
          <w:u w:val="none"/>
          <w:vertAlign w:val="baseline"/>
        </w:rPr>
        <w:t xml:space="preserve">For all the foregoing reasons, Smith's claims are due to be dismissed without prejudice to his right to file a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complaint based on these allegations. </w:t>
      </w:r>
      <w:r>
        <w:rPr>
          <w:rFonts w:ascii="arial" w:eastAsia="arial" w:hAnsi="arial" w:cs="arial"/>
          <w:b w:val="0"/>
          <w:i/>
          <w:strike w:val="0"/>
          <w:noProof w:val="0"/>
          <w:color w:val="000000"/>
          <w:position w:val="0"/>
          <w:sz w:val="20"/>
          <w:u w:val="none"/>
          <w:vertAlign w:val="baseline"/>
        </w:rPr>
        <w:t xml:space="preserve">See </w:t>
      </w:r>
      <w:bookmarkStart w:id="38" w:name="Bookmark_I67XT7HH28T4PP0040000400"/>
      <w:bookmarkEnd w:id="38"/>
      <w:hyperlink r:id="rId19" w:history="1">
        <w:r>
          <w:rPr>
            <w:rFonts w:ascii="arial" w:eastAsia="arial" w:hAnsi="arial" w:cs="arial"/>
            <w:b w:val="0"/>
            <w:i/>
            <w:strike w:val="0"/>
            <w:noProof w:val="0"/>
            <w:color w:val="0077CC"/>
            <w:position w:val="0"/>
            <w:sz w:val="20"/>
            <w:u w:val="single"/>
            <w:vertAlign w:val="baseline"/>
          </w:rPr>
          <w:t>Martin</w:t>
        </w:r>
      </w:hyperlink>
      <w:hyperlink r:id="rId19" w:history="1">
        <w:r>
          <w:rPr>
            <w:rFonts w:ascii="arial" w:eastAsia="arial" w:hAnsi="arial" w:cs="arial"/>
            <w:b w:val="0"/>
            <w:i/>
            <w:strike w:val="0"/>
            <w:noProof w:val="0"/>
            <w:color w:val="0077CC"/>
            <w:position w:val="0"/>
            <w:sz w:val="20"/>
            <w:u w:val="single"/>
            <w:vertAlign w:val="baseline"/>
          </w:rPr>
          <w:t>, 391 F. 3d 714-15</w:t>
        </w:r>
      </w:hyperlink>
      <w:r>
        <w:rPr>
          <w:rFonts w:ascii="arial" w:eastAsia="arial" w:hAnsi="arial" w:cs="arial"/>
          <w:b w:val="0"/>
          <w:i w:val="0"/>
          <w:strike w:val="0"/>
          <w:noProof w:val="0"/>
          <w:color w:val="000000"/>
          <w:position w:val="0"/>
          <w:sz w:val="20"/>
          <w:u w:val="none"/>
          <w:vertAlign w:val="baseline"/>
        </w:rPr>
        <w:t xml:space="preserve"> (habeas petition asserting conditions of confinement claim should be dismissed, not recharacterized).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40" w:after="0" w:line="260" w:lineRule="atLeast"/>
        <w:ind w:left="0" w:right="0" w:firstLine="0"/>
        <w:jc w:val="both"/>
      </w:pPr>
      <w:bookmarkStart w:id="39" w:name="Bookmark_para_5"/>
      <w:bookmarkEnd w:id="39"/>
      <w:r>
        <w:rPr>
          <w:rFonts w:ascii="arial" w:eastAsia="arial" w:hAnsi="arial" w:cs="arial"/>
          <w:b w:val="0"/>
          <w:i w:val="0"/>
          <w:strike w:val="0"/>
          <w:noProof w:val="0"/>
          <w:color w:val="000000"/>
          <w:position w:val="0"/>
          <w:sz w:val="20"/>
          <w:u w:val="none"/>
          <w:vertAlign w:val="baseline"/>
        </w:rPr>
        <w:t xml:space="preserve">For all of the foregoing reasons,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the claims asserted in the instant petition be </w:t>
      </w:r>
      <w:r>
        <w:rPr>
          <w:rFonts w:ascii="arial" w:eastAsia="arial" w:hAnsi="arial" w:cs="arial"/>
          <w:b/>
          <w:i w:val="0"/>
          <w:strike w:val="0"/>
          <w:noProof w:val="0"/>
          <w:color w:val="000000"/>
          <w:position w:val="0"/>
          <w:sz w:val="20"/>
          <w:u w:val="none"/>
          <w:vertAlign w:val="baseline"/>
        </w:rPr>
        <w:t>DISMISSED WITOUT PREJUDICE</w:t>
      </w:r>
      <w:r>
        <w:rPr>
          <w:rFonts w:ascii="arial" w:eastAsia="arial" w:hAnsi="arial" w:cs="arial"/>
          <w:b w:val="0"/>
          <w:i w:val="0"/>
          <w:strike w:val="0"/>
          <w:noProof w:val="0"/>
          <w:color w:val="000000"/>
          <w:position w:val="0"/>
          <w:sz w:val="20"/>
          <w:u w:val="none"/>
          <w:vertAlign w:val="baseline"/>
        </w:rPr>
        <w:t xml:space="preserve"> for lack of jurisdiction. Because the petitioner invokes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a certificate of appealability is not required.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NOTICE OF RIGHT TO OBJECT</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The petitioner may file specific written objections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this report and recommendation. Any objections must be filed with the Clerk of Court within </w:t>
      </w:r>
      <w:r>
        <w:rPr>
          <w:rFonts w:ascii="arial" w:eastAsia="arial" w:hAnsi="arial" w:cs="arial"/>
          <w:b/>
          <w:i w:val="0"/>
          <w:strike w:val="0"/>
          <w:noProof w:val="0"/>
          <w:color w:val="000000"/>
          <w:position w:val="0"/>
          <w:sz w:val="20"/>
          <w:u w:val="none"/>
          <w:vertAlign w:val="baseline"/>
        </w:rPr>
        <w:t>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days</w:t>
      </w:r>
      <w:r>
        <w:rPr>
          <w:rFonts w:ascii="arial" w:eastAsia="arial" w:hAnsi="arial" w:cs="arial"/>
          <w:b w:val="0"/>
          <w:i w:val="0"/>
          <w:strike w:val="0"/>
          <w:noProof w:val="0"/>
          <w:color w:val="000000"/>
          <w:position w:val="0"/>
          <w:sz w:val="20"/>
          <w:u w:val="none"/>
          <w:vertAlign w:val="baseline"/>
        </w:rPr>
        <w:t>. The petitioner must identify every objectionable finding of fact or recommendation and state the specific basis for every objection. The petitioner also must identify every claim in the complaint that the report and recommendation has not addressed. Objections should not contain new allegations, present additional evidence, or repeat legal arguments.</w:t>
      </w:r>
    </w:p>
    <w:p>
      <w:pPr>
        <w:keepNext w:val="0"/>
        <w:spacing w:before="24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 xml:space="preserve">A petitioner who fails to object to factual or legal conclusions in the Magistrate Judge's report and recommendation waives the right to challenge on appeal those same conclusions adopted in the District Judge's order. Without a proper objection, however, the court on appeal may review the unobjected-to factual and legal conclusions for plain error if necessary in the interests of justice. </w:t>
      </w:r>
      <w:hyperlink r:id="rId25"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 xml:space="preserve">After receiving the petitioner's objections, a District Judge will conduct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relevant portions of the report and recommendation and may accept, reject, or modify in whole or in part the Magistrate Judge's findings of fact and recommendations. The District Judge also may refer this action back to the Magistrate Judge with instructions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further proceedings.</w:t>
      </w:r>
    </w:p>
    <w:p>
      <w:pPr>
        <w:keepNext w:val="0"/>
        <w:spacing w:before="20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The petitioner may not appeal the Magistrate Judge's report and recommendation directly to the United States Court of Appeals for the Eleventh Circuit. The petitioner may only appeal from a final judgment entered by a District Judge.</w:t>
      </w:r>
    </w:p>
    <w:p>
      <w:pPr>
        <w:keepNext w:val="0"/>
        <w:spacing w:before="200" w:after="0" w:line="260" w:lineRule="atLeast"/>
        <w:ind w:left="0" w:right="0" w:firstLine="0"/>
        <w:jc w:val="both"/>
      </w:pPr>
      <w:bookmarkStart w:id="44" w:name="Bookmark_para_10"/>
      <w:bookmarkEnd w:id="44"/>
      <w:r>
        <w:rPr>
          <w:rFonts w:ascii="arial" w:eastAsia="arial" w:hAnsi="arial" w:cs="arial"/>
          <w:b/>
          <w:i w:val="0"/>
          <w:strike w:val="0"/>
          <w:noProof w:val="0"/>
          <w:color w:val="000000"/>
          <w:position w:val="0"/>
          <w:sz w:val="20"/>
          <w:u w:val="none"/>
          <w:vertAlign w:val="baseline"/>
        </w:rPr>
        <w:t>DONE</w:t>
      </w:r>
      <w:r>
        <w:rPr>
          <w:rFonts w:ascii="arial" w:eastAsia="arial" w:hAnsi="arial" w:cs="arial"/>
          <w:b w:val="0"/>
          <w:i w:val="0"/>
          <w:strike w:val="0"/>
          <w:noProof w:val="0"/>
          <w:color w:val="000000"/>
          <w:position w:val="0"/>
          <w:sz w:val="20"/>
          <w:u w:val="none"/>
          <w:vertAlign w:val="baseline"/>
        </w:rPr>
        <w:t xml:space="preserve"> this 16th day of February, 2023.</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/s/ Staci G. Cornelius</w:t>
      </w:r>
    </w:p>
    <w:p>
      <w:pPr>
        <w:keepNext w:val="0"/>
        <w:spacing w:before="20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STACI G. CORNELIUS</w:t>
      </w:r>
    </w:p>
    <w:p>
      <w:pPr>
        <w:keepNext w:val="0"/>
        <w:spacing w:before="20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Citations to the record refer to the document and page numbers assigned by the court's CM/ECF electronic document system and appear in the following format: Doc.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at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It appears Smith's detention in the Walker County Jail is connected with pending state court proceedings.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 at 10).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Smith, 2023 U.S. Dist. LEXIS 56576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WY-20D1-F4W2-63KM-00000-00&amp;context=1519360" TargetMode="External" /><Relationship Id="rId11" Type="http://schemas.openxmlformats.org/officeDocument/2006/relationships/hyperlink" Target="https://advance.lexis.com/api/document?collection=statutes-legislation&amp;id=urn:contentItem:8SG9-5HW2-D6RV-H0V2-00000-00&amp;context=1519360" TargetMode="External" /><Relationship Id="rId12" Type="http://schemas.openxmlformats.org/officeDocument/2006/relationships/hyperlink" Target="https://advance.lexis.com/api/document?collection=cases&amp;id=urn:contentItem:3S4X-CVJ0-003B-S2WY-00000-00&amp;context=1519360" TargetMode="External" /><Relationship Id="rId13" Type="http://schemas.openxmlformats.org/officeDocument/2006/relationships/hyperlink" Target="https://advance.lexis.com/api/document?collection=cases&amp;id=urn:contentItem:4TG7-M9W0-TX4N-G19P-00000-00&amp;context=1519360" TargetMode="External" /><Relationship Id="rId14" Type="http://schemas.openxmlformats.org/officeDocument/2006/relationships/hyperlink" Target="https://advance.lexis.com/api/document?collection=cases&amp;id=urn:contentItem:65P9-K6R1-FGY5-M0T0-00000-00&amp;context=1519360" TargetMode="External" /><Relationship Id="rId15" Type="http://schemas.openxmlformats.org/officeDocument/2006/relationships/hyperlink" Target="https://advance.lexis.com/api/document?collection=cases&amp;id=urn:contentItem:65P9-G421-JJD0-G4G5-00000-00&amp;context=1519360" TargetMode="External" /><Relationship Id="rId16" Type="http://schemas.openxmlformats.org/officeDocument/2006/relationships/hyperlink" Target="https://advance.lexis.com/api/document?collection=statutes-legislation&amp;id=urn:contentItem:8SHT-0712-D6RV-H526-00000-00&amp;context=1519360" TargetMode="External" /><Relationship Id="rId17" Type="http://schemas.openxmlformats.org/officeDocument/2006/relationships/hyperlink" Target="https://advance.lexis.com/api/document?collection=cases&amp;id=urn:contentItem:4CFS-Y0M0-004B-Y00B-00000-00&amp;context=1519360" TargetMode="External" /><Relationship Id="rId18" Type="http://schemas.openxmlformats.org/officeDocument/2006/relationships/hyperlink" Target="https://advance.lexis.com/api/document?collection=cases&amp;id=urn:contentItem:4BSV-CCK0-004C-100Y-00000-00&amp;context=1519360" TargetMode="External" /><Relationship Id="rId19" Type="http://schemas.openxmlformats.org/officeDocument/2006/relationships/hyperlink" Target="https://advance.lexis.com/api/document?collection=cases&amp;id=urn:contentItem:4DXK-F680-0038-X0Y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7YS2-4MK1-652R-100J-00000-00&amp;context=1519360" TargetMode="External" /><Relationship Id="rId21" Type="http://schemas.openxmlformats.org/officeDocument/2006/relationships/hyperlink" Target="https://advance.lexis.com/api/document?collection=cases&amp;id=urn:contentItem:52CR-PXY1-JCNH-W03C-00000-00&amp;context=1519360" TargetMode="External" /><Relationship Id="rId22" Type="http://schemas.openxmlformats.org/officeDocument/2006/relationships/hyperlink" Target="https://advance.lexis.com/api/document?collection=cases&amp;id=urn:contentItem:3S4X-1GP0-003B-515B-00000-00&amp;context=1519360" TargetMode="External" /><Relationship Id="rId23" Type="http://schemas.openxmlformats.org/officeDocument/2006/relationships/hyperlink" Target="https://advance.lexis.com/api/document?collection=cases&amp;id=urn:contentItem:3S4X-50J0-003B-S4WD-00000-00&amp;context=1519360" TargetMode="External" /><Relationship Id="rId24" Type="http://schemas.openxmlformats.org/officeDocument/2006/relationships/hyperlink" Target="https://advance.lexis.com/api/document?collection=cases&amp;id=urn:contentItem:3S4X-9V30-003B-S202-00000-00&amp;context=1519360" TargetMode="External" /><Relationship Id="rId25" Type="http://schemas.openxmlformats.org/officeDocument/2006/relationships/hyperlink" Target="https://advance.lexis.com/api/document?collection=statutes-legislation&amp;id=urn:contentItem:5GYY-HS51-FG36-11F0-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5-8M91-JC5P-G17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Smith, 2023 U.S. Dist. LEXIS 56576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urn:user:PA186186283</vt:lpwstr>
  </property>
</Properties>
</file>