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Alaniz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Argued and Submitted, Seattle, Washington; June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22-30141</w:t>
      </w:r>
    </w:p>
    <w:p>
      <w:pPr>
        <w:keepNext w:val="0"/>
        <w:spacing w:after="0" w:line="240" w:lineRule="atLeast"/>
        <w:ind w:right="0"/>
        <w:jc w:val="both"/>
      </w:pPr>
      <w:bookmarkStart w:id="0" w:name="Bookmark_6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 F.4th 1124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14678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MIGUEL MICHAEL ALANIZ,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Idaho. D.C. No. 1:21-cr-00243-BLW-1. B. Lynn Winmill, Chief District Judge, Presiding.</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Alaniz, 2022 U.S. Dist. LEXIS 100666 (D. Idaho, May 16, 2022)</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regulation, firearm, weapon, enhancement, drug trafficking, analogues, sentence, possessed, violence, arms, self-defense, felony</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Weapons Violations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Delivery, Distribution &amp; Sale, Penalties</w:t>
      </w:r>
    </w:p>
    <w:p>
      <w:pPr>
        <w:keepNext w:val="0"/>
        <w:spacing w:before="240" w:after="0" w:line="260" w:lineRule="atLeast"/>
        <w:ind w:left="0" w:right="0" w:firstLine="0"/>
        <w:jc w:val="both"/>
      </w:pPr>
      <w:bookmarkStart w:id="9" w:name="Bookmark_hnpara_1"/>
      <w:bookmarkEnd w:id="9"/>
      <w:hyperlink r:id="rId13" w:history="1">
        <w:r>
          <w:rPr>
            <w:rFonts w:ascii="arial" w:eastAsia="arial" w:hAnsi="arial" w:cs="arial"/>
            <w:b w:val="0"/>
            <w:i/>
            <w:strike w:val="0"/>
            <w:color w:val="0077CC"/>
            <w:sz w:val="20"/>
            <w:u w:val="single"/>
            <w:vertAlign w:val="baseline"/>
          </w:rPr>
          <w:t>U.S. Sentencing Guidelines Manual § 2D1.1(b)(1)</w:t>
        </w:r>
      </w:hyperlink>
      <w:r>
        <w:rPr>
          <w:rFonts w:ascii="arial" w:eastAsia="arial" w:hAnsi="arial" w:cs="arial"/>
          <w:b w:val="0"/>
          <w:i w:val="0"/>
          <w:strike w:val="0"/>
          <w:noProof w:val="0"/>
          <w:color w:val="000000"/>
          <w:position w:val="0"/>
          <w:sz w:val="20"/>
          <w:u w:val="none"/>
          <w:vertAlign w:val="baseline"/>
        </w:rPr>
        <w:t xml:space="preserve"> provides for an enhancement of the Guidelines calculation if a defendant possessed a dangerous weapon at the time of a felony drug offense.</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Penalties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Delivery, Distribution &amp; Sale, Penalties</w:t>
      </w:r>
    </w:p>
    <w:p>
      <w:pPr>
        <w:keepNext w:val="0"/>
        <w:spacing w:before="240" w:after="0" w:line="260" w:lineRule="atLeast"/>
        <w:ind w:left="0" w:right="0" w:firstLine="0"/>
        <w:jc w:val="both"/>
      </w:pPr>
      <w:bookmarkStart w:id="11" w:name="Bookmark_hnpara_2"/>
      <w:bookmarkEnd w:id="11"/>
      <w:hyperlink r:id="rId13" w:history="1">
        <w:r>
          <w:rPr>
            <w:rFonts w:ascii="arial" w:eastAsia="arial" w:hAnsi="arial" w:cs="arial"/>
            <w:b w:val="0"/>
            <w:i/>
            <w:strike w:val="0"/>
            <w:color w:val="0077CC"/>
            <w:sz w:val="20"/>
            <w:u w:val="single"/>
            <w:vertAlign w:val="baseline"/>
          </w:rPr>
          <w:t>U.S. Sentencing Guidelines Manual § 2D1.1</w:t>
        </w:r>
      </w:hyperlink>
      <w:r>
        <w:rPr>
          <w:rFonts w:ascii="arial" w:eastAsia="arial" w:hAnsi="arial" w:cs="arial"/>
          <w:b w:val="0"/>
          <w:i w:val="0"/>
          <w:strike w:val="0"/>
          <w:noProof w:val="0"/>
          <w:color w:val="000000"/>
          <w:position w:val="0"/>
          <w:sz w:val="20"/>
          <w:u w:val="none"/>
          <w:vertAlign w:val="baseline"/>
        </w:rPr>
        <w:t xml:space="preserve"> governs sentencing for felony drug trafficking and provides offense-specific enhancements and departures.</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Weapons Violations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Delivery, Distribution &amp; Sale, Penalties</w:t>
      </w:r>
    </w:p>
    <w:p>
      <w:pPr>
        <w:keepNext w:val="0"/>
        <w:spacing w:before="240" w:after="0" w:line="260" w:lineRule="atLeast"/>
        <w:ind w:left="0" w:right="0" w:firstLine="0"/>
        <w:jc w:val="both"/>
      </w:pPr>
      <w:bookmarkStart w:id="13" w:name="Bookmark_hnpara_3"/>
      <w:bookmarkEnd w:id="13"/>
      <w:hyperlink r:id="rId13" w:history="1">
        <w:r>
          <w:rPr>
            <w:rFonts w:ascii="arial" w:eastAsia="arial" w:hAnsi="arial" w:cs="arial"/>
            <w:b w:val="0"/>
            <w:i/>
            <w:strike w:val="0"/>
            <w:color w:val="0077CC"/>
            <w:sz w:val="20"/>
            <w:u w:val="single"/>
            <w:vertAlign w:val="baseline"/>
          </w:rPr>
          <w:t>U.S. Sentencing Guidelines Manual 2D1.1(b)(1)</w:t>
        </w:r>
      </w:hyperlink>
      <w:r>
        <w:rPr>
          <w:rFonts w:ascii="arial" w:eastAsia="arial" w:hAnsi="arial" w:cs="arial"/>
          <w:b w:val="0"/>
          <w:i w:val="0"/>
          <w:strike w:val="0"/>
          <w:noProof w:val="0"/>
          <w:color w:val="000000"/>
          <w:position w:val="0"/>
          <w:sz w:val="20"/>
          <w:u w:val="none"/>
          <w:vertAlign w:val="baseline"/>
        </w:rPr>
        <w:t xml:space="preserve"> enhances a defendant's Guidelines sentence by two levels if a dangerous weapon (including a firearm) was possessed and present during the crime, unless it is clearly improbable that the weapon was connected with the offense. </w:t>
      </w:r>
      <w:hyperlink r:id="rId13" w:history="1">
        <w:r>
          <w:rPr>
            <w:rFonts w:ascii="arial" w:eastAsia="arial" w:hAnsi="arial" w:cs="arial"/>
            <w:b w:val="0"/>
            <w:i/>
            <w:strike w:val="0"/>
            <w:noProof w:val="0"/>
            <w:color w:val="0077CC"/>
            <w:position w:val="0"/>
            <w:sz w:val="20"/>
            <w:u w:val="single"/>
            <w:vertAlign w:val="baseline"/>
          </w:rPr>
          <w:t>U.S. Sentencing Guidelines Manual § 2D1.1(b)(1)</w:t>
        </w:r>
      </w:hyperlink>
      <w:r>
        <w:rPr>
          <w:rFonts w:ascii="arial" w:eastAsia="arial" w:hAnsi="arial" w:cs="arial"/>
          <w:b w:val="0"/>
          <w:i w:val="0"/>
          <w:strike w:val="0"/>
          <w:noProof w:val="0"/>
          <w:color w:val="000000"/>
          <w:position w:val="0"/>
          <w:sz w:val="20"/>
          <w:u w:val="none"/>
          <w:vertAlign w:val="baseline"/>
        </w:rPr>
        <w:t xml:space="preserve"> &amp; cmt., application n. 11(A). But under </w:t>
      </w:r>
      <w:hyperlink r:id="rId13" w:history="1">
        <w:r>
          <w:rPr>
            <w:rFonts w:ascii="arial" w:eastAsia="arial" w:hAnsi="arial" w:cs="arial"/>
            <w:b w:val="0"/>
            <w:i/>
            <w:strike w:val="0"/>
            <w:noProof w:val="0"/>
            <w:color w:val="0077CC"/>
            <w:position w:val="0"/>
            <w:sz w:val="20"/>
            <w:u w:val="single"/>
            <w:vertAlign w:val="baseline"/>
          </w:rPr>
          <w:t>§ 2D1.1(b)(18)</w:t>
        </w:r>
      </w:hyperlink>
      <w:r>
        <w:rPr>
          <w:rFonts w:ascii="arial" w:eastAsia="arial" w:hAnsi="arial" w:cs="arial"/>
          <w:b w:val="0"/>
          <w:i w:val="0"/>
          <w:strike w:val="0"/>
          <w:noProof w:val="0"/>
          <w:color w:val="000000"/>
          <w:position w:val="0"/>
          <w:sz w:val="20"/>
          <w:u w:val="none"/>
          <w:vertAlign w:val="baseline"/>
        </w:rPr>
        <w:t xml:space="preserve">, a two-level downward departure applies if the defendant did not possess a firearm in connection with the offense. </w:t>
      </w:r>
      <w:hyperlink r:id="rId16" w:history="1">
        <w:r>
          <w:rPr>
            <w:rFonts w:ascii="arial" w:eastAsia="arial" w:hAnsi="arial" w:cs="arial"/>
            <w:b w:val="0"/>
            <w:i/>
            <w:strike w:val="0"/>
            <w:noProof w:val="0"/>
            <w:color w:val="0077CC"/>
            <w:position w:val="0"/>
            <w:sz w:val="20"/>
            <w:u w:val="single"/>
            <w:vertAlign w:val="baseline"/>
          </w:rPr>
          <w:t>U.S. Sentencing Guidelines Manual § 5C1.2(a)(2)</w:t>
        </w:r>
      </w:hyperlink>
      <w:r>
        <w:rPr>
          <w:rFonts w:ascii="arial" w:eastAsia="arial" w:hAnsi="arial" w:cs="arial"/>
          <w:b w:val="0"/>
          <w:i w:val="0"/>
          <w:strike w:val="0"/>
          <w:noProof w:val="0"/>
          <w:color w:val="000000"/>
          <w:position w:val="0"/>
          <w:sz w:val="20"/>
          <w:u w:val="none"/>
          <w:vertAlign w:val="baseline"/>
        </w:rPr>
        <w:t xml:space="preserve">. Despite their seeming facial overlap,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 2D1.1(b)(18)</w:t>
        </w:r>
      </w:hyperlink>
      <w:r>
        <w:rPr>
          <w:rFonts w:ascii="arial" w:eastAsia="arial" w:hAnsi="arial" w:cs="arial"/>
          <w:b w:val="0"/>
          <w:i w:val="0"/>
          <w:strike w:val="0"/>
          <w:noProof w:val="0"/>
          <w:color w:val="000000"/>
          <w:position w:val="0"/>
          <w:sz w:val="20"/>
          <w:u w:val="none"/>
          <w:vertAlign w:val="baseline"/>
        </w:rPr>
        <w:t xml:space="preserve"> require distinct inquires. Under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the government simply bears the burden of proving that the weapon was possessed at the time of the offense. The enhancement then applies unless the defendant can show it was clearly improbable that the weapon was possessed in connection with the offense. </w:t>
      </w:r>
      <w:hyperlink r:id="rId13" w:history="1">
        <w:r>
          <w:rPr>
            <w:rFonts w:ascii="arial" w:eastAsia="arial" w:hAnsi="arial" w:cs="arial"/>
            <w:b w:val="0"/>
            <w:i/>
            <w:strike w:val="0"/>
            <w:noProof w:val="0"/>
            <w:color w:val="0077CC"/>
            <w:position w:val="0"/>
            <w:sz w:val="20"/>
            <w:u w:val="single"/>
            <w:vertAlign w:val="baseline"/>
          </w:rPr>
          <w:t>§ 2D1.1(b)(1), cmt., application n. 11(A)</w:t>
        </w:r>
      </w:hyperlink>
      <w:r>
        <w:rPr>
          <w:rFonts w:ascii="arial" w:eastAsia="arial" w:hAnsi="arial" w:cs="arial"/>
          <w:b w:val="0"/>
          <w:i w:val="0"/>
          <w:strike w:val="0"/>
          <w:noProof w:val="0"/>
          <w:color w:val="000000"/>
          <w:position w:val="0"/>
          <w:sz w:val="20"/>
          <w:u w:val="none"/>
          <w:vertAlign w:val="baseline"/>
        </w:rPr>
        <w:t xml:space="preserve">. But to invoke the safety valve in </w:t>
      </w:r>
      <w:hyperlink r:id="rId13" w:history="1">
        <w:r>
          <w:rPr>
            <w:rFonts w:ascii="arial" w:eastAsia="arial" w:hAnsi="arial" w:cs="arial"/>
            <w:b w:val="0"/>
            <w:i/>
            <w:strike w:val="0"/>
            <w:noProof w:val="0"/>
            <w:color w:val="0077CC"/>
            <w:position w:val="0"/>
            <w:sz w:val="20"/>
            <w:u w:val="single"/>
            <w:vertAlign w:val="baseline"/>
          </w:rPr>
          <w:t>§ 2D1.1(b)(18)</w:t>
        </w:r>
      </w:hyperlink>
      <w:r>
        <w:rPr>
          <w:rFonts w:ascii="arial" w:eastAsia="arial" w:hAnsi="arial" w:cs="arial"/>
          <w:b w:val="0"/>
          <w:i w:val="0"/>
          <w:strike w:val="0"/>
          <w:noProof w:val="0"/>
          <w:color w:val="000000"/>
          <w:position w:val="0"/>
          <w:sz w:val="20"/>
          <w:u w:val="none"/>
          <w:vertAlign w:val="baseline"/>
        </w:rPr>
        <w:t>, the defendant has a lower burden, and must only show by a preponderance that a dangerous weapon was not used in connection with the crime.</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An appellate court reviews the constitutionality of a statute de novo.</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The U.S. Supreme Court's decision in Bruen adopted the following two-part test: When the </w:t>
      </w:r>
      <w:hyperlink r:id="rId19"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plain text covers an individual's conduct, the Constitution presumptively protects that conduct. To justify its regulation, the government must demonstrate that the regulation is consistent with the Nation's historical tradition of firearm regulation. Only if a firearm regulation is consistent with the Nation's historical tradition may a court conclude that the individual's conduct falls outside the </w:t>
      </w:r>
      <w:hyperlink r:id="rId19"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unqualified command.</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Bruen step one involves a threshold inquiry. In alignment with Heller, it requires a textual analysis, determining whether the challenger is part of the people whom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whether the weapon at issue is in common use today for self-defense, and whether the proposed course of conduct falls within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If the first step is satisfied, courts proceed to Bruen step two, at which the Government bears the burden of proving the constitutionality of its actions by showing that the regulated conduct falls within the outer bounds of the right to keep and bear arms. Like </w:t>
      </w:r>
      <w:hyperlink r:id="rId2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categories of unprotected speech, the outer bounds of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 are determined by analyzing a historical tradition of regulation. Thus, to carry its burden, the government must produce representative analogues to demonstrate that the challenged law is consistent with a historical tradition of regulation. Notably, the analogue required at step two need not be a historical twin. Rather, courts use history to guide their consideration of modern regulations that were unimaginable at the founding.</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In the context of determining whether the challenger is part of the people whom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the U.S. Supreme Court's decision in Bruen instructs that the analogue must be relevantly similar as judged by at least two metrics: how and why the regulations burden a law-abiding citizen's right to armed self-defense. In other words, in analyzing a burden on the possession of firearms, courts look to whether modern and historical regulations impose a comparable burden on the right of armed self-defense and whether that burden is comparably justified.</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Weapons Violations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Delivery, Distribution &amp; Sale, Penalties</w:t>
      </w:r>
    </w:p>
    <w:p>
      <w:pPr>
        <w:keepNext w:val="0"/>
        <w:spacing w:before="240" w:after="0" w:line="260" w:lineRule="atLeast"/>
        <w:ind w:left="0" w:right="0" w:firstLine="0"/>
        <w:jc w:val="both"/>
      </w:pPr>
      <w:bookmarkStart w:id="23" w:name="Bookmark_hnpara_8"/>
      <w:bookmarkEnd w:id="23"/>
      <w:hyperlink r:id="rId13" w:history="1">
        <w:r>
          <w:rPr>
            <w:rFonts w:ascii="arial" w:eastAsia="arial" w:hAnsi="arial" w:cs="arial"/>
            <w:b w:val="0"/>
            <w:i/>
            <w:strike w:val="0"/>
            <w:color w:val="0077CC"/>
            <w:sz w:val="20"/>
            <w:u w:val="single"/>
            <w:vertAlign w:val="baseline"/>
          </w:rPr>
          <w:t>U.S. Sentencing Guidelines Manual § 2D1.1(b)(1)</w:t>
        </w:r>
      </w:hyperlink>
      <w:r>
        <w:rPr>
          <w:rFonts w:ascii="arial" w:eastAsia="arial" w:hAnsi="arial" w:cs="arial"/>
          <w:b w:val="0"/>
          <w:i w:val="0"/>
          <w:strike w:val="0"/>
          <w:noProof w:val="0"/>
          <w:color w:val="000000"/>
          <w:position w:val="0"/>
          <w:sz w:val="20"/>
          <w:u w:val="none"/>
          <w:vertAlign w:val="baseline"/>
        </w:rPr>
        <w:t xml:space="preserve"> is constitutional under step two of the Bruen test because it clearly comports with a history and tradition of regulating the possession of firearms during the commission of felonies involving a risk of violence.</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Waiver &gt; Triggers of Waivers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Waiver, Triggers of Waivers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It is claims that are deemed waived or forfeited, not arguments.</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Right to Bear Arms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Right to Bear Arms</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 xml:space="preserve">In the context of determining whether the challenger is part of the people whom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the U.S. Supreme Court's decision in Bruen expressly recognized that cases implicating unprecedented societal concerns may require a more nuanced approach.</w:t>
      </w:r>
    </w:p>
    <w:p>
      <w:pPr>
        <w:keepNext w:val="0"/>
        <w:spacing w:before="240" w:after="0" w:line="260" w:lineRule="atLeast"/>
        <w:ind w:left="0" w:right="0" w:firstLine="0"/>
        <w:jc w:val="left"/>
      </w:pPr>
      <w:bookmarkStart w:id="28" w:name="Summary"/>
      <w:bookmarkEnd w:id="28"/>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29" w:name="Bookmark_clspara_5"/>
      <w:bookmarkEnd w:id="29"/>
      <w:r>
        <w:rPr>
          <w:rFonts w:ascii="arial" w:eastAsia="arial" w:hAnsi="arial" w:cs="arial"/>
          <w:b w:val="0"/>
          <w:i w:val="0"/>
          <w:strike w:val="0"/>
          <w:noProof w:val="0"/>
          <w:color w:val="000000"/>
          <w:position w:val="0"/>
          <w:sz w:val="20"/>
          <w:u w:val="none"/>
          <w:vertAlign w:val="baseline"/>
        </w:rPr>
        <w:t>SUMMARY</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31" w:name="Bookmark_clspara_6"/>
      <w:bookmarkEnd w:id="31"/>
      <w:r>
        <w:rPr>
          <w:rFonts w:ascii="arial" w:eastAsia="arial" w:hAnsi="arial" w:cs="arial"/>
          <w:b/>
          <w:i w:val="0"/>
          <w:strike w:val="0"/>
          <w:noProof w:val="0"/>
          <w:color w:val="000000"/>
          <w:position w:val="0"/>
          <w:sz w:val="20"/>
          <w:u w:val="none"/>
          <w:vertAlign w:val="baseline"/>
        </w:rPr>
        <w:t>Criminal Law</w:t>
      </w:r>
    </w:p>
    <w:p>
      <w:pPr>
        <w:keepNext w:val="0"/>
        <w:spacing w:before="240" w:after="0" w:line="260" w:lineRule="atLeast"/>
        <w:ind w:left="0" w:right="0" w:firstLine="0"/>
        <w:jc w:val="both"/>
      </w:pPr>
      <w:bookmarkStart w:id="32" w:name="Bookmark_clspara_7"/>
      <w:bookmarkEnd w:id="32"/>
      <w:r>
        <w:rPr>
          <w:rFonts w:ascii="arial" w:eastAsia="arial" w:hAnsi="arial" w:cs="arial"/>
          <w:b w:val="0"/>
          <w:i w:val="0"/>
          <w:strike w:val="0"/>
          <w:noProof w:val="0"/>
          <w:color w:val="000000"/>
          <w:position w:val="0"/>
          <w:sz w:val="20"/>
          <w:u w:val="none"/>
          <w:vertAlign w:val="baseline"/>
        </w:rPr>
        <w:t xml:space="preserve">The panel affirmed a sentence imposed in a case that required the panel to consider whether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which provides for an enhancement of the Guidelines calculation if a defendant possessed a dangerous weapon at the time of a felony drug offense, is constitutional under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following </w:t>
      </w:r>
      <w:hyperlink r:id="rId26" w:history="1">
        <w:r>
          <w:rPr>
            <w:rFonts w:ascii="arial" w:eastAsia="arial" w:hAnsi="arial" w:cs="arial"/>
            <w:b w:val="0"/>
            <w:i/>
            <w:strike w:val="0"/>
            <w:noProof w:val="0"/>
            <w:color w:val="0077CC"/>
            <w:position w:val="0"/>
            <w:sz w:val="20"/>
            <w:u w:val="single"/>
            <w:vertAlign w:val="baseline"/>
          </w:rPr>
          <w:t>New York State Rifle &amp; Pistol Association, Inc. v. Bruen</w:t>
        </w:r>
      </w:hyperlink>
      <w:hyperlink r:id="rId26" w:history="1">
        <w:r>
          <w:rPr>
            <w:rFonts w:ascii="arial" w:eastAsia="arial" w:hAnsi="arial" w:cs="arial"/>
            <w:b w:val="0"/>
            <w:i/>
            <w:strike w:val="0"/>
            <w:noProof w:val="0"/>
            <w:color w:val="0077CC"/>
            <w:position w:val="0"/>
            <w:sz w:val="20"/>
            <w:u w:val="single"/>
            <w:vertAlign w:val="baseline"/>
          </w:rPr>
          <w:t>, 142 S. Ct. 2111, 213 L. Ed. 2d 387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clspara_8"/>
      <w:bookmarkEnd w:id="33"/>
      <w:r>
        <w:rPr>
          <w:rFonts w:ascii="arial" w:eastAsia="arial" w:hAnsi="arial" w:cs="arial"/>
          <w:b w:val="0"/>
          <w:i w:val="0"/>
          <w:strike w:val="0"/>
          <w:noProof w:val="0"/>
          <w:color w:val="000000"/>
          <w:position w:val="0"/>
          <w:sz w:val="20"/>
          <w:u w:val="none"/>
          <w:vertAlign w:val="baseline"/>
        </w:rPr>
        <w:t xml:space="preserve">Applying the two-part test adopted by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the panel assumed, without deciding, that step one is met—when the </w:t>
      </w:r>
      <w:hyperlink r:id="rId19"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plain text covers an individual's conduct, the Constitution presumptively protects that conduct. At step two, however, the panel found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constitutional because it clearly comports with a history and tradition of regulating the possession of firearms during the commission of felonies involving a risk of violence.</w:t>
      </w:r>
    </w:p>
    <w:p>
      <w:pPr>
        <w:keepNext w:val="0"/>
        <w:spacing w:before="240" w:after="0" w:line="260" w:lineRule="atLeast"/>
        <w:ind w:left="0" w:right="0" w:firstLine="0"/>
        <w:jc w:val="left"/>
      </w:pPr>
      <w:bookmarkStart w:id="34" w:name="Counsel"/>
      <w:bookmarkEnd w:id="3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William M. Pope (argued), Assistant Federal Public Defender; Federal Public Defender's Office; Spokane, Washington; Nicole Owens, Assistant Federal Public Defender; Federal Public Defender's Office; Boise, Idaho; for 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Syrena C. Hargrove (argued) and Christopher A. Booker, Assistant United States Attorneys;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Joshua D. Hurwit, United States Attorney, District of Idaho; Office of the United States Attorney; Boise, Idaho; for Plaintiff-Appellee.</w:t>
      </w:r>
    </w:p>
    <w:p>
      <w:pPr>
        <w:keepNext w:val="0"/>
        <w:spacing w:before="240" w:after="0" w:line="260" w:lineRule="atLeast"/>
        <w:ind w:left="0" w:right="0" w:firstLine="0"/>
        <w:jc w:val="left"/>
      </w:pPr>
      <w:bookmarkStart w:id="35" w:name="Judges"/>
      <w:bookmarkEnd w:id="3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Jacqueline H. Nguyen and Andrew D. Hurwitz, Circuit Judges, and Philip S. Gutierrez,</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 xml:space="preserve"> Chief District Judge.</w:t>
      </w:r>
    </w:p>
    <w:p>
      <w:pPr>
        <w:keepNext w:val="0"/>
        <w:spacing w:before="240" w:after="0" w:line="260" w:lineRule="atLeast"/>
        <w:ind w:left="0" w:right="0" w:firstLine="0"/>
        <w:jc w:val="left"/>
      </w:pPr>
      <w:bookmarkStart w:id="37" w:name="Opinion by"/>
      <w:bookmarkEnd w:id="3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Philip S. Gutierrez</w:t>
      </w:r>
    </w:p>
    <w:p>
      <w:pPr>
        <w:keepNext/>
        <w:spacing w:before="240" w:after="0" w:line="340" w:lineRule="atLeast"/>
        <w:ind w:left="0" w:right="0" w:firstLine="0"/>
        <w:jc w:val="left"/>
      </w:pPr>
      <w:bookmarkStart w:id="38" w:name="Opinion"/>
      <w:bookmarkEnd w:id="3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9" w:name="Bookmark_para_2"/>
      <w:bookmarkEnd w:id="39"/>
      <w:r>
        <w:rPr>
          <w:rFonts w:ascii="arial" w:eastAsia="arial" w:hAnsi="arial" w:cs="arial"/>
          <w:b/>
          <w:i w:val="0"/>
          <w:strike w:val="0"/>
          <w:noProof w:val="0"/>
          <w:color w:val="000000"/>
          <w:position w:val="0"/>
          <w:sz w:val="20"/>
          <w:u w:val="none"/>
          <w:vertAlign w:val="baseline"/>
        </w:rPr>
        <w:t> [*1126] </w:t>
      </w:r>
      <w:r>
        <w:rPr>
          <w:rFonts w:ascii="arial" w:eastAsia="arial" w:hAnsi="arial" w:cs="arial"/>
          <w:b w:val="0"/>
          <w:i w:val="0"/>
          <w:strike w:val="0"/>
          <w:noProof w:val="0"/>
          <w:color w:val="000000"/>
          <w:position w:val="0"/>
          <w:sz w:val="20"/>
          <w:u w:val="none"/>
          <w:vertAlign w:val="baseline"/>
        </w:rPr>
        <w:t xml:space="preserve"> GUTIERREZ, Chief District Judge:</w:t>
      </w:r>
    </w:p>
    <w:p>
      <w:pPr>
        <w:keepNext w:val="0"/>
        <w:spacing w:before="240" w:after="0" w:line="260" w:lineRule="atLeast"/>
        <w:ind w:left="0" w:right="0" w:firstLine="0"/>
        <w:jc w:val="both"/>
      </w:pPr>
      <w:bookmarkStart w:id="40" w:name="Bookmark_para_3"/>
      <w:bookmarkEnd w:id="40"/>
      <w:r>
        <w:rPr>
          <w:rFonts w:ascii="arial" w:eastAsia="arial" w:hAnsi="arial" w:cs="arial"/>
          <w:b w:val="0"/>
          <w:i w:val="0"/>
          <w:strike w:val="0"/>
          <w:noProof w:val="0"/>
          <w:color w:val="000000"/>
          <w:position w:val="0"/>
          <w:sz w:val="20"/>
          <w:u w:val="none"/>
          <w:vertAlign w:val="baseline"/>
        </w:rPr>
        <w:t xml:space="preserve">This case requires us to consider whether </w:t>
      </w:r>
      <w:bookmarkStart w:id="41" w:name="Bookmark_LNHNREFclscc1"/>
      <w:bookmarkEnd w:id="41"/>
      <w:hyperlink r:id="rId27"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United States Sentencing Guidelines ("U.S.S.G.") § 2D1.1(b)(1)</w:t>
        </w:r>
      </w:hyperlink>
      <w:r>
        <w:rPr>
          <w:rFonts w:ascii="arial" w:eastAsia="arial" w:hAnsi="arial" w:cs="arial"/>
          <w:b w:val="0"/>
          <w:i w:val="0"/>
          <w:strike w:val="0"/>
          <w:noProof w:val="0"/>
          <w:color w:val="000000"/>
          <w:position w:val="0"/>
          <w:sz w:val="20"/>
          <w:u w:val="none"/>
          <w:vertAlign w:val="baseline"/>
        </w:rPr>
        <w:t xml:space="preserve">, which provides for an enhancement of the Guidelines calculation if a defendant possessed a dangerous weapon at the time of a felony drug offense, is constitutional under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following </w:t>
      </w:r>
      <w:hyperlink r:id="rId26" w:history="1">
        <w:r>
          <w:rPr>
            <w:rFonts w:ascii="arial" w:eastAsia="arial" w:hAnsi="arial" w:cs="arial"/>
            <w:b w:val="0"/>
            <w:i/>
            <w:strike w:val="0"/>
            <w:noProof w:val="0"/>
            <w:color w:val="0077CC"/>
            <w:position w:val="0"/>
            <w:sz w:val="20"/>
            <w:u w:val="single"/>
            <w:vertAlign w:val="baseline"/>
          </w:rPr>
          <w:t>New York State Rifle &amp; Pistol Association, Inc. v. Bruen</w:t>
        </w:r>
      </w:hyperlink>
      <w:hyperlink r:id="rId26" w:history="1">
        <w:r>
          <w:rPr>
            <w:rFonts w:ascii="arial" w:eastAsia="arial" w:hAnsi="arial" w:cs="arial"/>
            <w:b w:val="0"/>
            <w:i/>
            <w:strike w:val="0"/>
            <w:noProof w:val="0"/>
            <w:color w:val="0077CC"/>
            <w:position w:val="0"/>
            <w:sz w:val="20"/>
            <w:u w:val="single"/>
            <w:vertAlign w:val="baseline"/>
          </w:rPr>
          <w:t>, 142 S. Ct. 2111, 213 L. Ed. 2d 387 (2022)</w:t>
        </w:r>
      </w:hyperlink>
      <w:r>
        <w:rPr>
          <w:rFonts w:ascii="arial" w:eastAsia="arial" w:hAnsi="arial" w:cs="arial"/>
          <w:b w:val="0"/>
          <w:i w:val="0"/>
          <w:strike w:val="0"/>
          <w:noProof w:val="0"/>
          <w:color w:val="000000"/>
          <w:position w:val="0"/>
          <w:sz w:val="20"/>
          <w:u w:val="none"/>
          <w:vertAlign w:val="baseline"/>
        </w:rPr>
        <w:t>. We conclude that, in light of a well-established historical tradition of regulation, Miguel Michael Alaniz did not have the right to "keep and bear arms" during and in close proximity to his criminal activities.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Arrest and Conviction</w:t>
      </w:r>
    </w:p>
    <w:p>
      <w:pPr>
        <w:keepNext w:val="0"/>
        <w:spacing w:before="200" w:after="0" w:line="260" w:lineRule="atLeast"/>
        <w:ind w:left="0" w:right="0" w:firstLine="0"/>
        <w:jc w:val="both"/>
      </w:pPr>
      <w:bookmarkStart w:id="42" w:name="Bookmark_para_4"/>
      <w:bookmarkEnd w:id="42"/>
      <w:r>
        <w:rPr>
          <w:rFonts w:ascii="arial" w:eastAsia="arial" w:hAnsi="arial" w:cs="arial"/>
          <w:b w:val="0"/>
          <w:i w:val="0"/>
          <w:strike w:val="0"/>
          <w:noProof w:val="0"/>
          <w:color w:val="000000"/>
          <w:position w:val="0"/>
          <w:sz w:val="20"/>
          <w:u w:val="none"/>
          <w:vertAlign w:val="baseline"/>
        </w:rPr>
        <w:t>Alaniz was the subject of a year-long investigation by the Idaho State Police for drug trafficking and distribution. On three occasions in 2021, Alaniz sold cocaine out of his home and vehicle to a confidential informant. After the third transaction, officers stopped Alaniz's car and arrested him. A search of the car revealed a loaded handgun near the center console.</w:t>
      </w:r>
    </w:p>
    <w:p>
      <w:pPr>
        <w:keepNext w:val="0"/>
        <w:spacing w:before="200" w:after="0" w:line="260" w:lineRule="atLeast"/>
        <w:ind w:left="0" w:right="0" w:firstLine="0"/>
        <w:jc w:val="both"/>
      </w:pPr>
      <w:bookmarkStart w:id="43" w:name="Bookmark_para_5"/>
      <w:bookmarkEnd w:id="43"/>
      <w:r>
        <w:rPr>
          <w:rFonts w:ascii="arial" w:eastAsia="arial" w:hAnsi="arial" w:cs="arial"/>
          <w:b w:val="0"/>
          <w:i w:val="0"/>
          <w:strike w:val="0"/>
          <w:noProof w:val="0"/>
          <w:color w:val="000000"/>
          <w:position w:val="0"/>
          <w:sz w:val="20"/>
          <w:u w:val="none"/>
          <w:vertAlign w:val="baseline"/>
        </w:rPr>
        <w:t>Shortly thereafter, the police obtained a warrant to search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Alaniz's home. The search uncovered forty-seven grams of cocaine inside a pantry and safe in the kitchen and scales with white powdery residue in the bedroom. Officers also seized twelve additional firearms. Eleven of them, including at least one AR-15 rifle and one AK-47 rifle, were in the bedroom; a hunting rifle was hidden behind the living room couch.</w:t>
      </w:r>
    </w:p>
    <w:p>
      <w:pPr>
        <w:keepNext w:val="0"/>
        <w:spacing w:before="200" w:after="0" w:line="260" w:lineRule="atLeast"/>
        <w:ind w:left="0" w:right="0" w:firstLine="0"/>
        <w:jc w:val="both"/>
      </w:pPr>
      <w:bookmarkStart w:id="44" w:name="Bookmark_para_6"/>
      <w:bookmarkEnd w:id="44"/>
      <w:r>
        <w:rPr>
          <w:rFonts w:ascii="arial" w:eastAsia="arial" w:hAnsi="arial" w:cs="arial"/>
          <w:b w:val="0"/>
          <w:i w:val="0"/>
          <w:strike w:val="0"/>
          <w:noProof w:val="0"/>
          <w:color w:val="000000"/>
          <w:position w:val="0"/>
          <w:sz w:val="20"/>
          <w:u w:val="none"/>
          <w:vertAlign w:val="baseline"/>
        </w:rPr>
        <w:t xml:space="preserve">After a grand jury indicted Alaniz, he pleaded guilty, without a plea agreement, to three counts of cocaine distribution and one count of possession with intent to distribute cocaine,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(b)(1)(C)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Sentencing</w:t>
      </w:r>
    </w:p>
    <w:p>
      <w:pPr>
        <w:keepNext w:val="0"/>
        <w:spacing w:before="240" w:after="0" w:line="260" w:lineRule="atLeast"/>
        <w:ind w:left="0" w:right="0" w:firstLine="0"/>
        <w:jc w:val="both"/>
      </w:pPr>
      <w:bookmarkStart w:id="45" w:name="Bookmark_para_7"/>
      <w:bookmarkEnd w:id="45"/>
      <w:bookmarkStart w:id="46" w:name="Bookmark_LNHNREFclscc2"/>
      <w:bookmarkEnd w:id="46"/>
      <w:hyperlink r:id="rId2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U.S.S.G. § 2D1.1</w:t>
        </w:r>
      </w:hyperlink>
      <w:r>
        <w:rPr>
          <w:rFonts w:ascii="arial" w:eastAsia="arial" w:hAnsi="arial" w:cs="arial"/>
          <w:b w:val="0"/>
          <w:i w:val="0"/>
          <w:strike w:val="0"/>
          <w:noProof w:val="0"/>
          <w:color w:val="000000"/>
          <w:position w:val="0"/>
          <w:sz w:val="20"/>
          <w:u w:val="none"/>
          <w:vertAlign w:val="baseline"/>
        </w:rPr>
        <w:t xml:space="preserve"> governs sentencing for felony drug trafficking and provides offense-specific enhancements and departures. Alaniz's presentence report recommended that the district court apply both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's dangerous weapon enhancement and a downward departure under the "safety valve" in </w:t>
      </w:r>
      <w:hyperlink r:id="rId13" w:history="1">
        <w:r>
          <w:rPr>
            <w:rFonts w:ascii="arial" w:eastAsia="arial" w:hAnsi="arial" w:cs="arial"/>
            <w:b w:val="0"/>
            <w:i/>
            <w:strike w:val="0"/>
            <w:noProof w:val="0"/>
            <w:color w:val="0077CC"/>
            <w:position w:val="0"/>
            <w:sz w:val="20"/>
            <w:u w:val="single"/>
            <w:vertAlign w:val="baseline"/>
          </w:rPr>
          <w:t>§ 2D1.1(b)(18)</w:t>
        </w:r>
      </w:hyperlink>
      <w:r>
        <w:rPr>
          <w:rFonts w:ascii="arial" w:eastAsia="arial" w:hAnsi="arial" w:cs="arial"/>
          <w:b w:val="0"/>
          <w:i w:val="0"/>
          <w:strike w:val="0"/>
          <w:noProof w:val="0"/>
          <w:color w:val="000000"/>
          <w:position w:val="0"/>
          <w:sz w:val="20"/>
          <w:u w:val="none"/>
          <w:vertAlign w:val="baseline"/>
        </w:rPr>
        <w:t xml:space="preserve">. </w:t>
      </w:r>
      <w:bookmarkStart w:id="47" w:name="Bookmark_LNHNREFclscc3"/>
      <w:bookmarkEnd w:id="47"/>
      <w:hyperlink r:id="rId30"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 2D1.1(b)(1)</w:t>
        </w:r>
      </w:hyperlink>
      <w:r>
        <w:rPr>
          <w:rFonts w:ascii="arial" w:eastAsia="arial" w:hAnsi="arial" w:cs="arial"/>
          <w:b w:val="0"/>
          <w:i w:val="0"/>
          <w:strike w:val="0"/>
          <w:noProof w:val="0"/>
          <w:color w:val="000000"/>
          <w:position w:val="0"/>
          <w:sz w:val="20"/>
          <w:u w:val="none"/>
          <w:vertAlign w:val="baseline"/>
        </w:rPr>
        <w:t xml:space="preserve"> enhances a defendant's Guidelines sentence by two levels "[i]f a dangerous weapon (including a firearm) was possessed" and present during the crime, "unless it is clearly improbable that the weapon was connected with the offense."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&amp; </w:t>
      </w:r>
      <w:hyperlink r:id="rId13" w:history="1">
        <w:r>
          <w:rPr>
            <w:rFonts w:ascii="arial" w:eastAsia="arial" w:hAnsi="arial" w:cs="arial"/>
            <w:b w:val="0"/>
            <w:i/>
            <w:strike w:val="0"/>
            <w:noProof w:val="0"/>
            <w:color w:val="0077CC"/>
            <w:position w:val="0"/>
            <w:sz w:val="20"/>
            <w:u w:val="single"/>
            <w:vertAlign w:val="baseline"/>
          </w:rPr>
          <w:t>cmt. n.11(A)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31" w:history="1">
        <w:r>
          <w:rPr>
            <w:rFonts w:ascii="arial" w:eastAsia="arial" w:hAnsi="arial" w:cs="arial"/>
            <w:b w:val="0"/>
            <w:i/>
            <w:strike w:val="0"/>
            <w:noProof w:val="0"/>
            <w:color w:val="0077CC"/>
            <w:position w:val="0"/>
            <w:sz w:val="20"/>
            <w:u w:val="single"/>
            <w:vertAlign w:val="baseline"/>
          </w:rPr>
          <w:t>United States v. Nelson</w:t>
        </w:r>
      </w:hyperlink>
      <w:hyperlink r:id="rId31" w:history="1">
        <w:r>
          <w:rPr>
            <w:rFonts w:ascii="arial" w:eastAsia="arial" w:hAnsi="arial" w:cs="arial"/>
            <w:b w:val="0"/>
            <w:i/>
            <w:strike w:val="0"/>
            <w:noProof w:val="0"/>
            <w:color w:val="0077CC"/>
            <w:position w:val="0"/>
            <w:sz w:val="20"/>
            <w:u w:val="single"/>
            <w:vertAlign w:val="baseline"/>
          </w:rPr>
          <w:t>, 222 F.3d 545, 550 (9th Cir. 2000)</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 2D1.1(b)(1)</w:t>
        </w:r>
      </w:hyperlink>
      <w:r>
        <w:rPr>
          <w:rFonts w:ascii="arial" w:eastAsia="arial" w:hAnsi="arial" w:cs="arial"/>
          <w:b w:val="0"/>
          <w:i w:val="0"/>
          <w:strike w:val="0"/>
          <w:noProof w:val="0"/>
          <w:color w:val="000000"/>
          <w:position w:val="0"/>
          <w:sz w:val="20"/>
          <w:u w:val="none"/>
          <w:vertAlign w:val="baseline"/>
        </w:rPr>
        <w:t xml:space="preserve"> applies 'if the weapon was present. . . .'" (citation omitted)). But under </w:t>
      </w:r>
      <w:hyperlink r:id="rId13" w:history="1">
        <w:r>
          <w:rPr>
            <w:rFonts w:ascii="arial" w:eastAsia="arial" w:hAnsi="arial" w:cs="arial"/>
            <w:b w:val="0"/>
            <w:i/>
            <w:strike w:val="0"/>
            <w:noProof w:val="0"/>
            <w:color w:val="0077CC"/>
            <w:position w:val="0"/>
            <w:sz w:val="20"/>
            <w:u w:val="single"/>
            <w:vertAlign w:val="baseline"/>
          </w:rPr>
          <w:t>§ 2D1.1(b)(18)</w:t>
        </w:r>
      </w:hyperlink>
      <w:r>
        <w:rPr>
          <w:rFonts w:ascii="arial" w:eastAsia="arial" w:hAnsi="arial" w:cs="arial"/>
          <w:b w:val="0"/>
          <w:i w:val="0"/>
          <w:strike w:val="0"/>
          <w:noProof w:val="0"/>
          <w:color w:val="000000"/>
          <w:position w:val="0"/>
          <w:sz w:val="20"/>
          <w:u w:val="none"/>
          <w:vertAlign w:val="baseline"/>
        </w:rPr>
        <w:t>, a two-level downward departure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applies if the defendant did not "possess a firearm . . . in connection with the offense." </w:t>
      </w:r>
      <w:hyperlink r:id="rId16" w:history="1">
        <w:r>
          <w:rPr>
            <w:rFonts w:ascii="arial" w:eastAsia="arial" w:hAnsi="arial" w:cs="arial"/>
            <w:b w:val="0"/>
            <w:i/>
            <w:strike w:val="0"/>
            <w:noProof w:val="0"/>
            <w:color w:val="0077CC"/>
            <w:position w:val="0"/>
            <w:sz w:val="20"/>
            <w:u w:val="single"/>
            <w:vertAlign w:val="baseline"/>
          </w:rPr>
          <w:t>U.S.S.G. § 5C1.2(a)(2)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8"/>
      <w:bookmarkEnd w:id="48"/>
      <w:r>
        <w:rPr>
          <w:rFonts w:ascii="arial" w:eastAsia="arial" w:hAnsi="arial" w:cs="arial"/>
          <w:b w:val="0"/>
          <w:i w:val="0"/>
          <w:strike w:val="0"/>
          <w:noProof w:val="0"/>
          <w:color w:val="000000"/>
          <w:position w:val="0"/>
          <w:sz w:val="20"/>
          <w:u w:val="none"/>
          <w:vertAlign w:val="baseline"/>
        </w:rPr>
        <w:t xml:space="preserve">Despite their seeming facial overlap,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 2D1.1(b)(18)</w:t>
        </w:r>
      </w:hyperlink>
      <w:r>
        <w:rPr>
          <w:rFonts w:ascii="arial" w:eastAsia="arial" w:hAnsi="arial" w:cs="arial"/>
          <w:b w:val="0"/>
          <w:i w:val="0"/>
          <w:strike w:val="0"/>
          <w:noProof w:val="0"/>
          <w:color w:val="000000"/>
          <w:position w:val="0"/>
          <w:sz w:val="20"/>
          <w:u w:val="none"/>
          <w:vertAlign w:val="baseline"/>
        </w:rPr>
        <w:t xml:space="preserve"> require distinct inquires.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Nelson</w:t>
        </w:r>
      </w:hyperlink>
      <w:hyperlink r:id="rId31" w:history="1">
        <w:r>
          <w:rPr>
            <w:rFonts w:ascii="arial" w:eastAsia="arial" w:hAnsi="arial" w:cs="arial"/>
            <w:b w:val="0"/>
            <w:i/>
            <w:strike w:val="0"/>
            <w:noProof w:val="0"/>
            <w:color w:val="0077CC"/>
            <w:position w:val="0"/>
            <w:sz w:val="20"/>
            <w:u w:val="single"/>
            <w:vertAlign w:val="baseline"/>
          </w:rPr>
          <w:t>, 222 F.3d at 549-51</w:t>
        </w:r>
      </w:hyperlink>
      <w:r>
        <w:rPr>
          <w:rFonts w:ascii="arial" w:eastAsia="arial" w:hAnsi="arial" w:cs="arial"/>
          <w:b w:val="0"/>
          <w:i w:val="0"/>
          <w:strike w:val="0"/>
          <w:noProof w:val="0"/>
          <w:color w:val="000000"/>
          <w:position w:val="0"/>
          <w:sz w:val="20"/>
          <w:u w:val="none"/>
          <w:vertAlign w:val="baseline"/>
        </w:rPr>
        <w:t xml:space="preserve">. Under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the government simply bears the burden of proving that the weapon was possessed at the time </w:t>
      </w:r>
      <w:r>
        <w:rPr>
          <w:rFonts w:ascii="arial" w:eastAsia="arial" w:hAnsi="arial" w:cs="arial"/>
          <w:b/>
          <w:i w:val="0"/>
          <w:strike w:val="0"/>
          <w:noProof w:val="0"/>
          <w:color w:val="000000"/>
          <w:position w:val="0"/>
          <w:sz w:val="20"/>
          <w:u w:val="none"/>
          <w:vertAlign w:val="baseline"/>
        </w:rPr>
        <w:t> [*1127] </w:t>
      </w:r>
      <w:r>
        <w:rPr>
          <w:rFonts w:ascii="arial" w:eastAsia="arial" w:hAnsi="arial" w:cs="arial"/>
          <w:b w:val="0"/>
          <w:i w:val="0"/>
          <w:strike w:val="0"/>
          <w:noProof w:val="0"/>
          <w:color w:val="000000"/>
          <w:position w:val="0"/>
          <w:sz w:val="20"/>
          <w:u w:val="none"/>
          <w:vertAlign w:val="baseline"/>
        </w:rPr>
        <w:t xml:space="preserve"> of the offense.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551 n.3</w:t>
        </w:r>
      </w:hyperlink>
      <w:r>
        <w:rPr>
          <w:rFonts w:ascii="arial" w:eastAsia="arial" w:hAnsi="arial" w:cs="arial"/>
          <w:b w:val="0"/>
          <w:i w:val="0"/>
          <w:strike w:val="0"/>
          <w:noProof w:val="0"/>
          <w:color w:val="000000"/>
          <w:position w:val="0"/>
          <w:sz w:val="20"/>
          <w:u w:val="none"/>
          <w:vertAlign w:val="baseline"/>
        </w:rPr>
        <w:t xml:space="preserve">. The enhancement then applies unless the defendant can show it was "clearly improbable" that the weapon was possessed in connection with the offense.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cmt. n.11(A)</w:t>
        </w:r>
      </w:hyperlink>
      <w:r>
        <w:rPr>
          <w:rFonts w:ascii="arial" w:eastAsia="arial" w:hAnsi="arial" w:cs="arial"/>
          <w:b w:val="0"/>
          <w:i w:val="0"/>
          <w:strike w:val="0"/>
          <w:noProof w:val="0"/>
          <w:color w:val="000000"/>
          <w:position w:val="0"/>
          <w:sz w:val="20"/>
          <w:u w:val="none"/>
          <w:vertAlign w:val="baseline"/>
        </w:rPr>
        <w:t xml:space="preserve">. But to invoke the "safety valve" in </w:t>
      </w:r>
      <w:hyperlink r:id="rId13" w:history="1">
        <w:r>
          <w:rPr>
            <w:rFonts w:ascii="arial" w:eastAsia="arial" w:hAnsi="arial" w:cs="arial"/>
            <w:b w:val="0"/>
            <w:i/>
            <w:strike w:val="0"/>
            <w:noProof w:val="0"/>
            <w:color w:val="0077CC"/>
            <w:position w:val="0"/>
            <w:sz w:val="20"/>
            <w:u w:val="single"/>
            <w:vertAlign w:val="baseline"/>
          </w:rPr>
          <w:t>§ 2D1.1(b)(18)</w:t>
        </w:r>
      </w:hyperlink>
      <w:r>
        <w:rPr>
          <w:rFonts w:ascii="arial" w:eastAsia="arial" w:hAnsi="arial" w:cs="arial"/>
          <w:b w:val="0"/>
          <w:i w:val="0"/>
          <w:strike w:val="0"/>
          <w:noProof w:val="0"/>
          <w:color w:val="000000"/>
          <w:position w:val="0"/>
          <w:sz w:val="20"/>
          <w:u w:val="none"/>
          <w:vertAlign w:val="baseline"/>
        </w:rPr>
        <w:t xml:space="preserve">, the defendant has a lower burden, and must only show by a preponderance that a dangerous weapon was not used in connection with the crime.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Nelson</w:t>
        </w:r>
      </w:hyperlink>
      <w:hyperlink r:id="rId31" w:history="1">
        <w:r>
          <w:rPr>
            <w:rFonts w:ascii="arial" w:eastAsia="arial" w:hAnsi="arial" w:cs="arial"/>
            <w:b w:val="0"/>
            <w:i/>
            <w:strike w:val="0"/>
            <w:noProof w:val="0"/>
            <w:color w:val="0077CC"/>
            <w:position w:val="0"/>
            <w:sz w:val="20"/>
            <w:u w:val="single"/>
            <w:vertAlign w:val="baseline"/>
          </w:rPr>
          <w:t>, 222 F.3d at 550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9"/>
      <w:bookmarkEnd w:id="49"/>
      <w:r>
        <w:rPr>
          <w:rFonts w:ascii="arial" w:eastAsia="arial" w:hAnsi="arial" w:cs="arial"/>
          <w:b w:val="0"/>
          <w:i w:val="0"/>
          <w:strike w:val="0"/>
          <w:noProof w:val="0"/>
          <w:color w:val="000000"/>
          <w:position w:val="0"/>
          <w:sz w:val="20"/>
          <w:u w:val="none"/>
          <w:vertAlign w:val="baseline"/>
        </w:rPr>
        <w:t xml:space="preserve">Both Alaniz and the government objected to the presentence report. To meet its burden under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and oppose application of </w:t>
      </w:r>
      <w:hyperlink r:id="rId13" w:history="1">
        <w:r>
          <w:rPr>
            <w:rFonts w:ascii="arial" w:eastAsia="arial" w:hAnsi="arial" w:cs="arial"/>
            <w:b w:val="0"/>
            <w:i/>
            <w:strike w:val="0"/>
            <w:noProof w:val="0"/>
            <w:color w:val="0077CC"/>
            <w:position w:val="0"/>
            <w:sz w:val="20"/>
            <w:u w:val="single"/>
            <w:vertAlign w:val="baseline"/>
          </w:rPr>
          <w:t>§ 2D1.1(b)(18)</w:t>
        </w:r>
      </w:hyperlink>
      <w:r>
        <w:rPr>
          <w:rFonts w:ascii="arial" w:eastAsia="arial" w:hAnsi="arial" w:cs="arial"/>
          <w:b w:val="0"/>
          <w:i w:val="0"/>
          <w:strike w:val="0"/>
          <w:noProof w:val="0"/>
          <w:color w:val="000000"/>
          <w:position w:val="0"/>
          <w:sz w:val="20"/>
          <w:u w:val="none"/>
          <w:vertAlign w:val="baseline"/>
        </w:rPr>
        <w:t>, the government offered evidence that Alaniz possessed the seized firearms both temporally and spatially proximate to his drug trafficking. The government also argued that the number and kind of firearms seized supported a finding that they were used in connection with his criminal activities. Alaniz, however, offered evidence that the guns were used for lawful purposes, such as hunting, and not in connection with his drug crimes. Alaniz also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challenged the constitutionality of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10"/>
      <w:bookmarkEnd w:id="50"/>
      <w:r>
        <w:rPr>
          <w:rFonts w:ascii="arial" w:eastAsia="arial" w:hAnsi="arial" w:cs="arial"/>
          <w:b w:val="0"/>
          <w:i w:val="0"/>
          <w:strike w:val="0"/>
          <w:noProof w:val="0"/>
          <w:color w:val="000000"/>
          <w:position w:val="0"/>
          <w:sz w:val="20"/>
          <w:u w:val="none"/>
          <w:vertAlign w:val="baseline"/>
        </w:rPr>
        <w:t xml:space="preserve">At sentencing, the district court concluded that the two-level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enhancement applied but found—albeit deeming it a "close call"—that Alaniz was entitled to safety valve relief under </w:t>
      </w:r>
      <w:hyperlink r:id="rId13" w:history="1">
        <w:r>
          <w:rPr>
            <w:rFonts w:ascii="arial" w:eastAsia="arial" w:hAnsi="arial" w:cs="arial"/>
            <w:b w:val="0"/>
            <w:i/>
            <w:strike w:val="0"/>
            <w:noProof w:val="0"/>
            <w:color w:val="0077CC"/>
            <w:position w:val="0"/>
            <w:sz w:val="20"/>
            <w:u w:val="single"/>
            <w:vertAlign w:val="baseline"/>
          </w:rPr>
          <w:t>§ 2D1.1(b)(18)</w:t>
        </w:r>
      </w:hyperlink>
      <w:r>
        <w:rPr>
          <w:rFonts w:ascii="arial" w:eastAsia="arial" w:hAnsi="arial" w:cs="arial"/>
          <w:b w:val="0"/>
          <w:i w:val="0"/>
          <w:strike w:val="0"/>
          <w:noProof w:val="0"/>
          <w:color w:val="000000"/>
          <w:position w:val="0"/>
          <w:sz w:val="20"/>
          <w:u w:val="none"/>
          <w:vertAlign w:val="baseline"/>
        </w:rPr>
        <w:t xml:space="preserve">. It also found that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was well-supported by a historical tradition of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regulation and rejected Alaniz's constitutional objection. Calculating a total offense level of 15, the court sentenced Alaniz to a below-Guidelines term of 15 months in prison.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51" w:name="Bookmark_para_11"/>
      <w:bookmarkEnd w:id="51"/>
      <w:r>
        <w:rPr>
          <w:rFonts w:ascii="arial" w:eastAsia="arial" w:hAnsi="arial" w:cs="arial"/>
          <w:b w:val="0"/>
          <w:i w:val="0"/>
          <w:strike w:val="0"/>
          <w:noProof w:val="0"/>
          <w:color w:val="000000"/>
          <w:position w:val="0"/>
          <w:sz w:val="20"/>
          <w:u w:val="none"/>
          <w:vertAlign w:val="baseline"/>
        </w:rPr>
        <w:t xml:space="preserve">On appeal, Alaniz challenges only the constitutionality of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w:t>
      </w:r>
      <w:bookmarkStart w:id="52" w:name="Bookmark_LNHNREFclscc4"/>
      <w:bookmarkEnd w:id="52"/>
      <w:hyperlink r:id="rId32"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We have jurisdiction under </w:t>
      </w:r>
      <w:hyperlink r:id="rId33"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and review the constitutionality of a statute de novo. </w:t>
      </w:r>
      <w:r>
        <w:rPr>
          <w:rFonts w:ascii="arial" w:eastAsia="arial" w:hAnsi="arial" w:cs="arial"/>
          <w:b w:val="0"/>
          <w:i/>
          <w:strike w:val="0"/>
          <w:noProof w:val="0"/>
          <w:color w:val="000000"/>
          <w:position w:val="0"/>
          <w:sz w:val="20"/>
          <w:u w:val="none"/>
          <w:vertAlign w:val="baseline"/>
        </w:rPr>
        <w:t xml:space="preserve">See </w:t>
      </w:r>
      <w:hyperlink r:id="rId34" w:history="1">
        <w:r>
          <w:rPr>
            <w:rFonts w:ascii="arial" w:eastAsia="arial" w:hAnsi="arial" w:cs="arial"/>
            <w:b w:val="0"/>
            <w:i/>
            <w:strike w:val="0"/>
            <w:noProof w:val="0"/>
            <w:color w:val="0077CC"/>
            <w:position w:val="0"/>
            <w:sz w:val="20"/>
            <w:u w:val="single"/>
            <w:vertAlign w:val="baseline"/>
          </w:rPr>
          <w:t>United States v. Vongxay</w:t>
        </w:r>
      </w:hyperlink>
      <w:hyperlink r:id="rId34" w:history="1">
        <w:r>
          <w:rPr>
            <w:rFonts w:ascii="arial" w:eastAsia="arial" w:hAnsi="arial" w:cs="arial"/>
            <w:b w:val="0"/>
            <w:i/>
            <w:strike w:val="0"/>
            <w:noProof w:val="0"/>
            <w:color w:val="0077CC"/>
            <w:position w:val="0"/>
            <w:sz w:val="20"/>
            <w:u w:val="single"/>
            <w:vertAlign w:val="baseline"/>
          </w:rPr>
          <w:t>, 594 F.3d 1111, 1114 (9th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The </w:t>
      </w:r>
      <w:hyperlink r:id="rId19" w:history="1">
        <w:r>
          <w:rPr>
            <w:rFonts w:ascii="arial" w:eastAsia="arial" w:hAnsi="arial" w:cs="arial"/>
            <w:b/>
            <w:i/>
            <w:strike w:val="0"/>
            <w:noProof w:val="0"/>
            <w:color w:val="0077CC"/>
            <w:position w:val="0"/>
            <w:sz w:val="20"/>
            <w:u w:val="single"/>
            <w:vertAlign w:val="baseline"/>
          </w:rPr>
          <w:t>Second Amendment</w:t>
        </w:r>
      </w:hyperlink>
      <w:r>
        <w:rPr>
          <w:rFonts w:ascii="arial" w:eastAsia="arial" w:hAnsi="arial" w:cs="arial"/>
          <w:b/>
          <w:i w:val="0"/>
          <w:strike w:val="0"/>
          <w:noProof w:val="0"/>
          <w:color w:val="000000"/>
          <w:position w:val="0"/>
          <w:sz w:val="20"/>
          <w:u w:val="none"/>
          <w:vertAlign w:val="baseline"/>
        </w:rPr>
        <w:t xml:space="preserve"> Framework</w:t>
      </w:r>
    </w:p>
    <w:p>
      <w:pPr>
        <w:keepNext w:val="0"/>
        <w:spacing w:before="240" w:after="0" w:line="260" w:lineRule="atLeast"/>
        <w:ind w:left="0" w:right="0" w:firstLine="0"/>
        <w:jc w:val="both"/>
      </w:pPr>
      <w:bookmarkStart w:id="53" w:name="Bookmark_para_12"/>
      <w:bookmarkEnd w:id="53"/>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instructs that "[a] well regulated Militia, being necessary to the security of a free State, the right of the people to keep and bear Arms, shall not be infringed." </w:t>
      </w:r>
      <w:hyperlink r:id="rId19" w:history="1">
        <w:r>
          <w:rPr>
            <w:rFonts w:ascii="arial" w:eastAsia="arial" w:hAnsi="arial" w:cs="arial"/>
            <w:b w:val="0"/>
            <w:i/>
            <w:strike w:val="0"/>
            <w:noProof w:val="0"/>
            <w:color w:val="0077CC"/>
            <w:position w:val="0"/>
            <w:sz w:val="20"/>
            <w:u w:val="single"/>
            <w:vertAlign w:val="baseline"/>
          </w:rPr>
          <w:t>U.S. Const. amend. II</w:t>
        </w:r>
      </w:hyperlink>
      <w:r>
        <w:rPr>
          <w:rFonts w:ascii="arial" w:eastAsia="arial" w:hAnsi="arial" w:cs="arial"/>
          <w:b w:val="0"/>
          <w:i w:val="0"/>
          <w:strike w:val="0"/>
          <w:noProof w:val="0"/>
          <w:color w:val="000000"/>
          <w:position w:val="0"/>
          <w:sz w:val="20"/>
          <w:u w:val="none"/>
          <w:vertAlign w:val="baseline"/>
        </w:rPr>
        <w:t xml:space="preserve">. Although the Amendment has historical underpinnings in English and early American law, the Supreme Court only began some fifteen years ago, in </w:t>
      </w:r>
      <w:hyperlink r:id="rId35" w:history="1">
        <w:r>
          <w:rPr>
            <w:rFonts w:ascii="arial" w:eastAsia="arial" w:hAnsi="arial" w:cs="arial"/>
            <w:b w:val="0"/>
            <w:i/>
            <w:strike w:val="0"/>
            <w:noProof w:val="0"/>
            <w:color w:val="0077CC"/>
            <w:position w:val="0"/>
            <w:sz w:val="20"/>
            <w:u w:val="single"/>
            <w:vertAlign w:val="baseline"/>
          </w:rPr>
          <w:t>District of Columbia v. Heller</w:t>
        </w:r>
      </w:hyperlink>
      <w:hyperlink r:id="rId35" w:history="1">
        <w:r>
          <w:rPr>
            <w:rFonts w:ascii="arial" w:eastAsia="arial" w:hAnsi="arial" w:cs="arial"/>
            <w:b w:val="0"/>
            <w:i/>
            <w:strike w:val="0"/>
            <w:noProof w:val="0"/>
            <w:color w:val="0077CC"/>
            <w:position w:val="0"/>
            <w:sz w:val="20"/>
            <w:u w:val="single"/>
            <w:vertAlign w:val="baseline"/>
          </w:rPr>
          <w:t>, 554 U.S. 570, 128 S. Ct. 2783, 171 L. Ed. 2d 637 (2008)</w:t>
        </w:r>
      </w:hyperlink>
      <w:r>
        <w:rPr>
          <w:rFonts w:ascii="arial" w:eastAsia="arial" w:hAnsi="arial" w:cs="arial"/>
          <w:b w:val="0"/>
          <w:i w:val="0"/>
          <w:strike w:val="0"/>
          <w:noProof w:val="0"/>
          <w:color w:val="000000"/>
          <w:position w:val="0"/>
          <w:sz w:val="20"/>
          <w:u w:val="none"/>
          <w:vertAlign w:val="baseline"/>
        </w:rPr>
        <w:t>, to define the contours of the right.</w:t>
      </w:r>
    </w:p>
    <w:p>
      <w:pPr>
        <w:keepNext w:val="0"/>
        <w:spacing w:before="240" w:after="0" w:line="260" w:lineRule="atLeast"/>
        <w:ind w:left="0" w:right="0" w:firstLine="0"/>
        <w:jc w:val="both"/>
      </w:pPr>
      <w:bookmarkStart w:id="54" w:name="Bookmark_para_13"/>
      <w:bookmarkEnd w:id="54"/>
      <w:hyperlink r:id="rId35" w:history="1">
        <w:r>
          <w:rPr>
            <w:rFonts w:ascii="arial" w:eastAsia="arial" w:hAnsi="arial" w:cs="arial"/>
            <w:b w:val="0"/>
            <w:i/>
            <w:strike w:val="0"/>
            <w:color w:val="0077CC"/>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analyzed the Amendment's text and history and concluded that it protects the "law-abiding, responsible" citizen's possession of arms for the "lawful purpose of self-defense." </w:t>
      </w:r>
      <w:hyperlink r:id="rId35" w:history="1">
        <w:r>
          <w:rPr>
            <w:rFonts w:ascii="arial" w:eastAsia="arial" w:hAnsi="arial" w:cs="arial"/>
            <w:b w:val="0"/>
            <w:i/>
            <w:strike w:val="0"/>
            <w:noProof w:val="0"/>
            <w:color w:val="0077CC"/>
            <w:position w:val="0"/>
            <w:sz w:val="20"/>
            <w:u w:val="single"/>
            <w:vertAlign w:val="baseline"/>
          </w:rPr>
          <w:t>554 U.S. at 576-603, 630, 635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[**6] </w:t>
      </w:r>
      <w:r>
        <w:rPr>
          <w:rFonts w:ascii="arial" w:eastAsia="arial" w:hAnsi="arial" w:cs="arial"/>
          <w:b w:val="0"/>
          <w:i/>
          <w:strike w:val="0"/>
          <w:noProof w:val="0"/>
          <w:color w:val="000000"/>
          <w:position w:val="0"/>
          <w:sz w:val="20"/>
          <w:u w:val="none"/>
          <w:vertAlign w:val="baseline"/>
        </w:rPr>
        <w:t xml:space="preserve"> also </w:t>
      </w:r>
      <w:hyperlink r:id="rId36" w:history="1">
        <w:r>
          <w:rPr>
            <w:rFonts w:ascii="arial" w:eastAsia="arial" w:hAnsi="arial" w:cs="arial"/>
            <w:b w:val="0"/>
            <w:i/>
            <w:strike w:val="0"/>
            <w:noProof w:val="0"/>
            <w:color w:val="0077CC"/>
            <w:position w:val="0"/>
            <w:sz w:val="20"/>
            <w:u w:val="single"/>
            <w:vertAlign w:val="baseline"/>
          </w:rPr>
          <w:t>McDonald v. City of Chicago</w:t>
        </w:r>
      </w:hyperlink>
      <w:hyperlink r:id="rId36" w:history="1">
        <w:r>
          <w:rPr>
            <w:rFonts w:ascii="arial" w:eastAsia="arial" w:hAnsi="arial" w:cs="arial"/>
            <w:b w:val="0"/>
            <w:i/>
            <w:strike w:val="0"/>
            <w:noProof w:val="0"/>
            <w:color w:val="0077CC"/>
            <w:position w:val="0"/>
            <w:sz w:val="20"/>
            <w:u w:val="single"/>
            <w:vertAlign w:val="baseline"/>
          </w:rPr>
          <w:t>, 561 U.S. 742, 767-68, 130 S. Ct. 3020, 177 L. Ed. 2d 894 (2010)</w:t>
        </w:r>
      </w:hyperlink>
      <w:r>
        <w:rPr>
          <w:rFonts w:ascii="arial" w:eastAsia="arial" w:hAnsi="arial" w:cs="arial"/>
          <w:b w:val="0"/>
          <w:i w:val="0"/>
          <w:strike w:val="0"/>
          <w:noProof w:val="0"/>
          <w:color w:val="000000"/>
          <w:position w:val="0"/>
          <w:sz w:val="20"/>
          <w:u w:val="none"/>
          <w:vertAlign w:val="baseline"/>
        </w:rPr>
        <w:t xml:space="preserve"> ("[W]e concluded [in </w:t>
      </w:r>
      <w:hyperlink r:id="rId35"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that] citizens must be permitted to 'use [handguns] for the core lawful purpose of self-defense.'" (quoting </w:t>
      </w:r>
      <w:hyperlink r:id="rId35" w:history="1">
        <w:r>
          <w:rPr>
            <w:rFonts w:ascii="arial" w:eastAsia="arial" w:hAnsi="arial" w:cs="arial"/>
            <w:b w:val="0"/>
            <w:i/>
            <w:strike w:val="0"/>
            <w:noProof w:val="0"/>
            <w:color w:val="0077CC"/>
            <w:position w:val="0"/>
            <w:sz w:val="20"/>
            <w:u w:val="single"/>
            <w:vertAlign w:val="baseline"/>
          </w:rPr>
          <w:t>Heller</w:t>
        </w:r>
      </w:hyperlink>
      <w:hyperlink r:id="rId35" w:history="1">
        <w:r>
          <w:rPr>
            <w:rFonts w:ascii="arial" w:eastAsia="arial" w:hAnsi="arial" w:cs="arial"/>
            <w:b w:val="0"/>
            <w:i/>
            <w:strike w:val="0"/>
            <w:noProof w:val="0"/>
            <w:color w:val="0077CC"/>
            <w:position w:val="0"/>
            <w:sz w:val="20"/>
            <w:u w:val="single"/>
            <w:vertAlign w:val="baseline"/>
          </w:rPr>
          <w:t>, 554 U.S. at 630</w:t>
        </w:r>
      </w:hyperlink>
      <w:r>
        <w:rPr>
          <w:rFonts w:ascii="arial" w:eastAsia="arial" w:hAnsi="arial" w:cs="arial"/>
          <w:b w:val="0"/>
          <w:i w:val="0"/>
          <w:strike w:val="0"/>
          <w:noProof w:val="0"/>
          <w:color w:val="000000"/>
          <w:position w:val="0"/>
          <w:sz w:val="20"/>
          <w:u w:val="none"/>
          <w:vertAlign w:val="baseline"/>
        </w:rPr>
        <w:t xml:space="preserve">)). After </w:t>
      </w:r>
      <w:hyperlink r:id="rId35"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the Courts of Appeals "coalesced around a 'two-step' framework for analyzing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challenges." </w:t>
      </w:r>
      <w:hyperlink r:id="rId26" w:history="1">
        <w:r>
          <w:rPr>
            <w:rFonts w:ascii="arial" w:eastAsia="arial" w:hAnsi="arial" w:cs="arial"/>
            <w:b w:val="0"/>
            <w:i/>
            <w:strike w:val="0"/>
            <w:noProof w:val="0"/>
            <w:color w:val="0077CC"/>
            <w:position w:val="0"/>
            <w:sz w:val="20"/>
            <w:u w:val="single"/>
            <w:vertAlign w:val="baseline"/>
          </w:rPr>
          <w:t>Bruen</w:t>
        </w:r>
      </w:hyperlink>
      <w:hyperlink r:id="rId26" w:history="1">
        <w:r>
          <w:rPr>
            <w:rFonts w:ascii="arial" w:eastAsia="arial" w:hAnsi="arial" w:cs="arial"/>
            <w:b w:val="0"/>
            <w:i/>
            <w:strike w:val="0"/>
            <w:noProof w:val="0"/>
            <w:color w:val="0077CC"/>
            <w:position w:val="0"/>
            <w:sz w:val="20"/>
            <w:u w:val="single"/>
            <w:vertAlign w:val="baseline"/>
          </w:rPr>
          <w:t>, 142 S. Ct. at 2125, 2127 n.4</w:t>
        </w:r>
      </w:hyperlink>
      <w:r>
        <w:rPr>
          <w:rFonts w:ascii="arial" w:eastAsia="arial" w:hAnsi="arial" w:cs="arial"/>
          <w:b w:val="0"/>
          <w:i w:val="0"/>
          <w:strike w:val="0"/>
          <w:noProof w:val="0"/>
          <w:color w:val="000000"/>
          <w:position w:val="0"/>
          <w:sz w:val="20"/>
          <w:u w:val="none"/>
          <w:vertAlign w:val="baseline"/>
        </w:rPr>
        <w:t xml:space="preserve"> (collecting cases); </w:t>
      </w:r>
      <w:r>
        <w:rPr>
          <w:rFonts w:ascii="arial" w:eastAsia="arial" w:hAnsi="arial" w:cs="arial"/>
          <w:b w:val="0"/>
          <w:i/>
          <w:strike w:val="0"/>
          <w:noProof w:val="0"/>
          <w:color w:val="000000"/>
          <w:position w:val="0"/>
          <w:sz w:val="20"/>
          <w:u w:val="none"/>
          <w:vertAlign w:val="baseline"/>
        </w:rPr>
        <w:t xml:space="preserve">see also </w:t>
      </w:r>
      <w:hyperlink r:id="rId37" w:history="1">
        <w:r>
          <w:rPr>
            <w:rFonts w:ascii="arial" w:eastAsia="arial" w:hAnsi="arial" w:cs="arial"/>
            <w:b w:val="0"/>
            <w:i/>
            <w:strike w:val="0"/>
            <w:noProof w:val="0"/>
            <w:color w:val="0077CC"/>
            <w:position w:val="0"/>
            <w:sz w:val="20"/>
            <w:u w:val="single"/>
            <w:vertAlign w:val="baseline"/>
          </w:rPr>
          <w:t>United States v. Chovan</w:t>
        </w:r>
      </w:hyperlink>
      <w:hyperlink r:id="rId37" w:history="1">
        <w:r>
          <w:rPr>
            <w:rFonts w:ascii="arial" w:eastAsia="arial" w:hAnsi="arial" w:cs="arial"/>
            <w:b w:val="0"/>
            <w:i/>
            <w:strike w:val="0"/>
            <w:noProof w:val="0"/>
            <w:color w:val="0077CC"/>
            <w:position w:val="0"/>
            <w:sz w:val="20"/>
            <w:u w:val="single"/>
            <w:vertAlign w:val="baseline"/>
          </w:rPr>
          <w:t>, 735 F.3d 1127, 1136-37 (9th Cir. 2013)</w:t>
        </w:r>
      </w:hyperlink>
      <w:r>
        <w:rPr>
          <w:rFonts w:ascii="arial" w:eastAsia="arial" w:hAnsi="arial" w:cs="arial"/>
          <w:b w:val="0"/>
          <w:i w:val="0"/>
          <w:strike w:val="0"/>
          <w:noProof w:val="0"/>
          <w:color w:val="000000"/>
          <w:position w:val="0"/>
          <w:sz w:val="20"/>
          <w:u w:val="none"/>
          <w:vertAlign w:val="baseline"/>
        </w:rPr>
        <w:t xml:space="preserve"> (adopting framework). Under that framework, we first looked to history to determine "whether the challenged law burdens conduct protected by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Chovan</w:t>
        </w:r>
      </w:hyperlink>
      <w:hyperlink r:id="rId37" w:history="1">
        <w:r>
          <w:rPr>
            <w:rFonts w:ascii="arial" w:eastAsia="arial" w:hAnsi="arial" w:cs="arial"/>
            <w:b w:val="0"/>
            <w:i/>
            <w:strike w:val="0"/>
            <w:noProof w:val="0"/>
            <w:color w:val="0077CC"/>
            <w:position w:val="0"/>
            <w:sz w:val="20"/>
            <w:u w:val="single"/>
            <w:vertAlign w:val="baseline"/>
          </w:rPr>
          <w:t>, 735 F.3d at 1136</w:t>
        </w:r>
      </w:hyperlink>
      <w:r>
        <w:rPr>
          <w:rFonts w:ascii="arial" w:eastAsia="arial" w:hAnsi="arial" w:cs="arial"/>
          <w:b w:val="0"/>
          <w:i w:val="0"/>
          <w:strike w:val="0"/>
          <w:noProof w:val="0"/>
          <w:color w:val="000000"/>
          <w:position w:val="0"/>
          <w:sz w:val="20"/>
          <w:u w:val="none"/>
          <w:vertAlign w:val="baseline"/>
        </w:rPr>
        <w:t xml:space="preserve">. If so, we then applied a means-end scrutiny based on "the extent to which the law burdens the core of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 </w:t>
      </w:r>
      <w:r>
        <w:rPr>
          <w:rFonts w:ascii="arial" w:eastAsia="arial" w:hAnsi="arial" w:cs="arial"/>
          <w:b/>
          <w:i w:val="0"/>
          <w:strike w:val="0"/>
          <w:noProof w:val="0"/>
          <w:color w:val="000000"/>
          <w:position w:val="0"/>
          <w:sz w:val="20"/>
          <w:u w:val="none"/>
          <w:vertAlign w:val="baseline"/>
        </w:rPr>
        <w:t> [*1128] </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Jackson v. City &amp; County of San Francisco</w:t>
        </w:r>
      </w:hyperlink>
      <w:hyperlink r:id="rId38" w:history="1">
        <w:r>
          <w:rPr>
            <w:rFonts w:ascii="arial" w:eastAsia="arial" w:hAnsi="arial" w:cs="arial"/>
            <w:b w:val="0"/>
            <w:i/>
            <w:strike w:val="0"/>
            <w:noProof w:val="0"/>
            <w:color w:val="0077CC"/>
            <w:position w:val="0"/>
            <w:sz w:val="20"/>
            <w:u w:val="single"/>
            <w:vertAlign w:val="baseline"/>
          </w:rPr>
          <w:t>, 746 F.3d 953, 961 (9th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14"/>
      <w:bookmarkEnd w:id="55"/>
      <w:r>
        <w:rPr>
          <w:rFonts w:ascii="arial" w:eastAsia="arial" w:hAnsi="arial" w:cs="arial"/>
          <w:b w:val="0"/>
          <w:i w:val="0"/>
          <w:strike w:val="0"/>
          <w:noProof w:val="0"/>
          <w:color w:val="000000"/>
          <w:position w:val="0"/>
          <w:sz w:val="20"/>
          <w:u w:val="none"/>
          <w:vertAlign w:val="baseline"/>
        </w:rPr>
        <w:t xml:space="preserve">This two-step approach, however, was rejected in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as "one step too many." </w:t>
      </w:r>
      <w:hyperlink r:id="rId26" w:history="1">
        <w:r>
          <w:rPr>
            <w:rFonts w:ascii="arial" w:eastAsia="arial" w:hAnsi="arial" w:cs="arial"/>
            <w:b w:val="0"/>
            <w:i/>
            <w:strike w:val="0"/>
            <w:noProof w:val="0"/>
            <w:color w:val="0077CC"/>
            <w:position w:val="0"/>
            <w:sz w:val="20"/>
            <w:u w:val="single"/>
            <w:vertAlign w:val="baseline"/>
          </w:rPr>
          <w:t>142 S. Ct. at 2127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upheld the step one inquiry used by the Courts of Appeals as "broadly consistent with </w:t>
      </w:r>
      <w:hyperlink r:id="rId35"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it rejected the step two means-end analysis, noting that </w:t>
      </w:r>
      <w:hyperlink r:id="rId35"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instead "demands a test rooted in the </w:t>
      </w:r>
      <w:hyperlink r:id="rId19"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text, as informed by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the Court explained, </w:t>
      </w:r>
      <w:hyperlink r:id="rId35"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started with "a 'textual analysis' focused on the 'normal and ordinary' meaning of the </w:t>
      </w:r>
      <w:hyperlink r:id="rId19"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language."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35" w:history="1">
        <w:r>
          <w:rPr>
            <w:rFonts w:ascii="arial" w:eastAsia="arial" w:hAnsi="arial" w:cs="arial"/>
            <w:b w:val="0"/>
            <w:i/>
            <w:strike w:val="0"/>
            <w:noProof w:val="0"/>
            <w:color w:val="0077CC"/>
            <w:position w:val="0"/>
            <w:sz w:val="20"/>
            <w:u w:val="single"/>
            <w:vertAlign w:val="baseline"/>
          </w:rPr>
          <w:t>Heller</w:t>
        </w:r>
      </w:hyperlink>
      <w:hyperlink r:id="rId35" w:history="1">
        <w:r>
          <w:rPr>
            <w:rFonts w:ascii="arial" w:eastAsia="arial" w:hAnsi="arial" w:cs="arial"/>
            <w:b w:val="0"/>
            <w:i/>
            <w:strike w:val="0"/>
            <w:noProof w:val="0"/>
            <w:color w:val="0077CC"/>
            <w:position w:val="0"/>
            <w:sz w:val="20"/>
            <w:u w:val="single"/>
            <w:vertAlign w:val="baseline"/>
          </w:rPr>
          <w:t>, 554 U.S. at 576-78</w:t>
        </w:r>
      </w:hyperlink>
      <w:r>
        <w:rPr>
          <w:rFonts w:ascii="arial" w:eastAsia="arial" w:hAnsi="arial" w:cs="arial"/>
          <w:b w:val="0"/>
          <w:i w:val="0"/>
          <w:strike w:val="0"/>
          <w:noProof w:val="0"/>
          <w:color w:val="000000"/>
          <w:position w:val="0"/>
          <w:sz w:val="20"/>
          <w:u w:val="none"/>
          <w:vertAlign w:val="baseline"/>
        </w:rPr>
        <w:t>). It then "relied on the historical understanding of the Amendment to demark the limits on the exercise of that right," assessing "the lawfulness of [the statute] by scrutinizing whether it comported with history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tradition."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2128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15"/>
      <w:bookmarkEnd w:id="56"/>
      <w:bookmarkStart w:id="57" w:name="Bookmark_LNHNREFclscc5"/>
      <w:bookmarkEnd w:id="57"/>
      <w:hyperlink r:id="rId3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In keeping with </w:t>
      </w:r>
      <w:hyperlink r:id="rId35"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's text-and-history standard,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adopted the following two-part test:</w:t>
      </w:r>
    </w:p>
    <w:p>
      <w:pPr>
        <w:keepNext w:val="0"/>
        <w:spacing w:before="240" w:after="0" w:line="260" w:lineRule="atLeast"/>
        <w:ind w:left="400" w:right="0" w:firstLine="0"/>
        <w:jc w:val="both"/>
      </w:pPr>
      <w:bookmarkStart w:id="58" w:name="Bookmark_para_16"/>
      <w:bookmarkEnd w:id="58"/>
      <w:r>
        <w:rPr>
          <w:rFonts w:ascii="arial" w:eastAsia="arial" w:hAnsi="arial" w:cs="arial"/>
          <w:b w:val="0"/>
          <w:i w:val="0"/>
          <w:strike w:val="0"/>
          <w:noProof w:val="0"/>
          <w:color w:val="000000"/>
          <w:position w:val="0"/>
          <w:sz w:val="20"/>
          <w:u w:val="none"/>
          <w:vertAlign w:val="baseline"/>
        </w:rPr>
        <w:t xml:space="preserve">[W]hen the </w:t>
      </w:r>
      <w:hyperlink r:id="rId19"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plain text covers an individual's conduct, the Constitution presumptively protects that conduct. To justify its regulation, . . . the government must demonstrate that the regulation is consistent with this Nation's historical tradition of firearm regulation. Only if a firearm regulation is consistent with this Nation's historical tradition may a court conclude that the individual's conduct falls outside the </w:t>
      </w:r>
      <w:hyperlink r:id="rId19"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"unqualified command."</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Id.</w:t>
        </w:r>
      </w:hyperlink>
      <w:hyperlink r:id="rId26" w:history="1">
        <w:r>
          <w:rPr>
            <w:rFonts w:ascii="arial" w:eastAsia="arial" w:hAnsi="arial" w:cs="arial"/>
            <w:b w:val="0"/>
            <w:i/>
            <w:strike w:val="0"/>
            <w:color w:val="0077CC"/>
            <w:sz w:val="20"/>
            <w:u w:val="single"/>
            <w:vertAlign w:val="baseline"/>
          </w:rPr>
          <w:t xml:space="preserve"> at 2126</w:t>
        </w:r>
      </w:hyperlink>
      <w:r>
        <w:rPr>
          <w:rFonts w:ascii="arial" w:eastAsia="arial" w:hAnsi="arial" w:cs="arial"/>
          <w:b w:val="0"/>
          <w:i w:val="0"/>
          <w:strike w:val="0"/>
          <w:noProof w:val="0"/>
          <w:color w:val="000000"/>
          <w:position w:val="0"/>
          <w:sz w:val="20"/>
          <w:u w:val="none"/>
          <w:vertAlign w:val="baseline"/>
        </w:rPr>
        <w:t xml:space="preserve"> (quoting </w:t>
      </w:r>
      <w:hyperlink r:id="rId40" w:history="1">
        <w:r>
          <w:rPr>
            <w:rFonts w:ascii="arial" w:eastAsia="arial" w:hAnsi="arial" w:cs="arial"/>
            <w:b w:val="0"/>
            <w:i/>
            <w:strike w:val="0"/>
            <w:noProof w:val="0"/>
            <w:color w:val="0077CC"/>
            <w:position w:val="0"/>
            <w:sz w:val="20"/>
            <w:u w:val="single"/>
            <w:vertAlign w:val="baseline"/>
          </w:rPr>
          <w:t>Konigsberg v. State Bar of Cal.</w:t>
        </w:r>
      </w:hyperlink>
      <w:hyperlink r:id="rId40" w:history="1">
        <w:r>
          <w:rPr>
            <w:rFonts w:ascii="arial" w:eastAsia="arial" w:hAnsi="arial" w:cs="arial"/>
            <w:b w:val="0"/>
            <w:i/>
            <w:strike w:val="0"/>
            <w:noProof w:val="0"/>
            <w:color w:val="0077CC"/>
            <w:position w:val="0"/>
            <w:sz w:val="20"/>
            <w:u w:val="single"/>
            <w:vertAlign w:val="baseline"/>
          </w:rPr>
          <w:t>, 366 U.S. 36, 49 n.10, 81 S. Ct. 997, 6 L. Ed. 2d 105 (1961)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17"/>
      <w:bookmarkEnd w:id="59"/>
      <w:bookmarkStart w:id="60" w:name="Bookmark_LNHNREFclscc6"/>
      <w:bookmarkEnd w:id="60"/>
      <w:hyperlink r:id="rId41" w:history="1">
        <w:r>
          <w:rPr>
            <w:rFonts w:ascii="arial" w:eastAsia="arial" w:hAnsi="arial" w:cs="arial"/>
            <w:b/>
            <w:i/>
            <w:strike w:val="0"/>
            <w:color w:val="0077CC"/>
            <w:sz w:val="20"/>
            <w:u w:val="single"/>
            <w:vertAlign w:val="baseline"/>
          </w:rPr>
          <w:t>HN6</w:t>
        </w:r>
      </w:hyperlink>
      <w:r>
        <w:rPr>
          <w:rFonts w:ascii="arial" w:eastAsia="arial" w:hAnsi="arial" w:cs="arial"/>
          <w:b w:val="0"/>
          <w:i/>
          <w:strike w:val="0"/>
          <w:noProof w:val="0"/>
          <w:color w:val="000000"/>
          <w:position w:val="0"/>
          <w:sz w:val="20"/>
          <w:u w:val="none"/>
          <w:vertAlign w:val="baseline"/>
        </w:rPr>
        <w:t>[</w:t>
      </w:r>
      <w:hyperlink w:anchor="Bookmark_clscc6" w:history="1">
        <w:r>
          <w:pict>
            <v:shape id="_x0000_i1044" type="#_x0000_t75" style="width:10.5pt;height:10.5pt">
              <v:imagedata r:id="rId28" o:title=""/>
            </v:shape>
          </w:pict>
        </w:r>
      </w:hyperlink>
      <w:r>
        <w:rPr>
          <w:rFonts w:ascii="arial" w:eastAsia="arial" w:hAnsi="arial" w:cs="arial"/>
          <w:b w:val="0"/>
          <w:i/>
          <w:strike w:val="0"/>
          <w:noProof w:val="0"/>
          <w:color w:val="000000"/>
          <w:position w:val="0"/>
          <w:sz w:val="20"/>
          <w:u w:val="none"/>
          <w:vertAlign w:val="baseline"/>
        </w:rPr>
        <w:t>] Bruen</w:t>
      </w:r>
      <w:r>
        <w:rPr>
          <w:rFonts w:ascii="arial" w:eastAsia="arial" w:hAnsi="arial" w:cs="arial"/>
          <w:b w:val="0"/>
          <w:i w:val="0"/>
          <w:strike w:val="0"/>
          <w:noProof w:val="0"/>
          <w:color w:val="000000"/>
          <w:position w:val="0"/>
          <w:sz w:val="20"/>
          <w:u w:val="none"/>
          <w:vertAlign w:val="baseline"/>
        </w:rPr>
        <w:t xml:space="preserve"> step one involves a threshold inquiry. In alignment with </w:t>
      </w:r>
      <w:hyperlink r:id="rId35"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it requires a textual analysis, determining whether the challenger is "part of 'the people' whom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protects," whether the weapon at issue is "'in common use' today for self-defense," and whether the "proposed course of conduct" falls within the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2134-35</w:t>
        </w:r>
      </w:hyperlink>
      <w:r>
        <w:rPr>
          <w:rFonts w:ascii="arial" w:eastAsia="arial" w:hAnsi="arial" w:cs="arial"/>
          <w:b w:val="0"/>
          <w:i w:val="0"/>
          <w:strike w:val="0"/>
          <w:noProof w:val="0"/>
          <w:color w:val="000000"/>
          <w:position w:val="0"/>
          <w:sz w:val="20"/>
          <w:u w:val="none"/>
          <w:vertAlign w:val="baseline"/>
        </w:rPr>
        <w:t xml:space="preserve"> (citing </w:t>
      </w:r>
      <w:hyperlink r:id="rId35" w:history="1">
        <w:r>
          <w:rPr>
            <w:rFonts w:ascii="arial" w:eastAsia="arial" w:hAnsi="arial" w:cs="arial"/>
            <w:b w:val="0"/>
            <w:i/>
            <w:strike w:val="0"/>
            <w:noProof w:val="0"/>
            <w:color w:val="0077CC"/>
            <w:position w:val="0"/>
            <w:sz w:val="20"/>
            <w:u w:val="single"/>
            <w:vertAlign w:val="baseline"/>
          </w:rPr>
          <w:t>Heller</w:t>
        </w:r>
      </w:hyperlink>
      <w:hyperlink r:id="rId35" w:history="1">
        <w:r>
          <w:rPr>
            <w:rFonts w:ascii="arial" w:eastAsia="arial" w:hAnsi="arial" w:cs="arial"/>
            <w:b w:val="0"/>
            <w:i/>
            <w:strike w:val="0"/>
            <w:noProof w:val="0"/>
            <w:color w:val="0077CC"/>
            <w:position w:val="0"/>
            <w:sz w:val="20"/>
            <w:u w:val="single"/>
            <w:vertAlign w:val="baseline"/>
          </w:rPr>
          <w:t>, 554 U.S. at 580, 627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8"/>
      <w:bookmarkEnd w:id="61"/>
      <w:bookmarkStart w:id="62" w:name="Bookmark_I68J4JW42N1RW70020000400"/>
      <w:bookmarkEnd w:id="62"/>
      <w:r>
        <w:rPr>
          <w:rFonts w:ascii="arial" w:eastAsia="arial" w:hAnsi="arial" w:cs="arial"/>
          <w:b w:val="0"/>
          <w:i w:val="0"/>
          <w:strike w:val="0"/>
          <w:noProof w:val="0"/>
          <w:color w:val="000000"/>
          <w:position w:val="0"/>
          <w:sz w:val="20"/>
          <w:u w:val="none"/>
          <w:vertAlign w:val="baseline"/>
        </w:rPr>
        <w:t xml:space="preserve">If the first step is satisfied, we proceed to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step two, at which the “government must then justify its regulation by demonstrating that it is consistent with the Nation’s historical tradition of firearm regulation.” </w:t>
      </w:r>
      <w:r>
        <w:rPr>
          <w:rFonts w:ascii="arial" w:eastAsia="arial" w:hAnsi="arial" w:cs="arial"/>
          <w:b/>
          <w:i w:val="0"/>
          <w:strike w:val="0"/>
          <w:noProof w:val="0"/>
          <w:color w:val="000000"/>
          <w:position w:val="0"/>
          <w:sz w:val="20"/>
          <w:u w:val="none"/>
          <w:vertAlign w:val="baseline"/>
        </w:rPr>
        <w:t> [**8] </w:t>
      </w:r>
      <w:bookmarkStart w:id="63" w:name="Bookmark_I68J4JW42N1RW70010000400"/>
      <w:bookmarkEnd w:id="63"/>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2130</w:t>
        </w:r>
      </w:hyperlink>
      <w:r>
        <w:rPr>
          <w:rFonts w:ascii="arial" w:eastAsia="arial" w:hAnsi="arial" w:cs="arial"/>
          <w:b w:val="0"/>
          <w:i w:val="0"/>
          <w:strike w:val="0"/>
          <w:noProof w:val="0"/>
          <w:color w:val="000000"/>
          <w:position w:val="0"/>
          <w:sz w:val="20"/>
          <w:u w:val="none"/>
          <w:vertAlign w:val="baseline"/>
        </w:rPr>
        <w:t xml:space="preserve">. Thus, to carry its burden, the government must produce representative analogues to demonstrate that the challenged law is consistent with a historical tradition of regulation.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2127, 2131-33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19"/>
      <w:bookmarkEnd w:id="64"/>
      <w:r>
        <w:rPr>
          <w:rFonts w:ascii="arial" w:eastAsia="arial" w:hAnsi="arial" w:cs="arial"/>
          <w:b w:val="0"/>
          <w:i w:val="0"/>
          <w:strike w:val="0"/>
          <w:noProof w:val="0"/>
          <w:color w:val="000000"/>
          <w:position w:val="0"/>
          <w:sz w:val="20"/>
          <w:u w:val="none"/>
          <w:vertAlign w:val="baseline"/>
        </w:rPr>
        <w:t xml:space="preserve">Notably, the analogue required at step two need not be a "historical </w:t>
      </w:r>
      <w:r>
        <w:rPr>
          <w:rFonts w:ascii="arial" w:eastAsia="arial" w:hAnsi="arial" w:cs="arial"/>
          <w:b w:val="0"/>
          <w:i/>
          <w:strike w:val="0"/>
          <w:noProof w:val="0"/>
          <w:color w:val="000000"/>
          <w:position w:val="0"/>
          <w:sz w:val="20"/>
          <w:u w:val="none"/>
          <w:vertAlign w:val="baseline"/>
        </w:rPr>
        <w:t>twin</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2133</w:t>
        </w:r>
      </w:hyperlink>
      <w:r>
        <w:rPr>
          <w:rFonts w:ascii="arial" w:eastAsia="arial" w:hAnsi="arial" w:cs="arial"/>
          <w:b w:val="0"/>
          <w:i w:val="0"/>
          <w:strike w:val="0"/>
          <w:noProof w:val="0"/>
          <w:color w:val="000000"/>
          <w:position w:val="0"/>
          <w:sz w:val="20"/>
          <w:u w:val="none"/>
          <w:vertAlign w:val="baseline"/>
        </w:rPr>
        <w:t xml:space="preserve">. Rather, we use history to "guide our consideration of modern regulations that were unimaginable at the founding."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2132</w:t>
        </w:r>
      </w:hyperlink>
      <w:r>
        <w:rPr>
          <w:rFonts w:ascii="arial" w:eastAsia="arial" w:hAnsi="arial" w:cs="arial"/>
          <w:b w:val="0"/>
          <w:i w:val="0"/>
          <w:strike w:val="0"/>
          <w:noProof w:val="0"/>
          <w:color w:val="000000"/>
          <w:position w:val="0"/>
          <w:sz w:val="20"/>
          <w:u w:val="none"/>
          <w:vertAlign w:val="baseline"/>
        </w:rPr>
        <w:t xml:space="preserve">. </w:t>
      </w:r>
      <w:bookmarkStart w:id="65" w:name="Bookmark_LNHNREFclscc7"/>
      <w:bookmarkEnd w:id="65"/>
      <w:hyperlink r:id="rId42"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strike w:val="0"/>
          <w:noProof w:val="0"/>
          <w:color w:val="000000"/>
          <w:position w:val="0"/>
          <w:sz w:val="20"/>
          <w:u w:val="none"/>
          <w:vertAlign w:val="baseline"/>
        </w:rPr>
        <w:t>[</w:t>
      </w:r>
      <w:hyperlink w:anchor="Bookmark_clscc7" w:history="1">
        <w:r>
          <w:pict>
            <v:shape id="_x0000_i1045" type="#_x0000_t75" style="width:10.5pt;height:10.5pt">
              <v:imagedata r:id="rId28" o:title=""/>
            </v:shape>
          </w:pict>
        </w:r>
      </w:hyperlink>
      <w:r>
        <w:rPr>
          <w:rFonts w:ascii="arial" w:eastAsia="arial" w:hAnsi="arial" w:cs="arial"/>
          <w:b w:val="0"/>
          <w:i/>
          <w:strike w:val="0"/>
          <w:noProof w:val="0"/>
          <w:color w:val="000000"/>
          <w:position w:val="0"/>
          <w:sz w:val="20"/>
          <w:u w:val="none"/>
          <w:vertAlign w:val="baseline"/>
        </w:rPr>
        <w:t>] Bruen</w:t>
      </w:r>
      <w:r>
        <w:rPr>
          <w:rFonts w:ascii="arial" w:eastAsia="arial" w:hAnsi="arial" w:cs="arial"/>
          <w:b w:val="0"/>
          <w:i w:val="0"/>
          <w:strike w:val="0"/>
          <w:noProof w:val="0"/>
          <w:color w:val="000000"/>
          <w:position w:val="0"/>
          <w:sz w:val="20"/>
          <w:u w:val="none"/>
          <w:vertAlign w:val="baseline"/>
        </w:rPr>
        <w:t xml:space="preserve">, therefore, instructs that the analogue must be "relevantly similar" as judged by "at least two metrics: how and why the regulations burden a law-abiding citizen's right to armed self-defense."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2132-33</w:t>
        </w:r>
      </w:hyperlink>
      <w:r>
        <w:rPr>
          <w:rFonts w:ascii="arial" w:eastAsia="arial" w:hAnsi="arial" w:cs="arial"/>
          <w:b w:val="0"/>
          <w:i w:val="0"/>
          <w:strike w:val="0"/>
          <w:noProof w:val="0"/>
          <w:color w:val="000000"/>
          <w:position w:val="0"/>
          <w:sz w:val="20"/>
          <w:u w:val="none"/>
          <w:vertAlign w:val="baseline"/>
        </w:rPr>
        <w:t xml:space="preserve"> (citing </w:t>
      </w:r>
      <w:hyperlink r:id="rId35" w:history="1">
        <w:r>
          <w:rPr>
            <w:rFonts w:ascii="arial" w:eastAsia="arial" w:hAnsi="arial" w:cs="arial"/>
            <w:b w:val="0"/>
            <w:i/>
            <w:strike w:val="0"/>
            <w:noProof w:val="0"/>
            <w:color w:val="0077CC"/>
            <w:position w:val="0"/>
            <w:sz w:val="20"/>
            <w:u w:val="single"/>
            <w:vertAlign w:val="baseline"/>
          </w:rPr>
          <w:t>Heller</w:t>
        </w:r>
      </w:hyperlink>
      <w:hyperlink r:id="rId35" w:history="1">
        <w:r>
          <w:rPr>
            <w:rFonts w:ascii="arial" w:eastAsia="arial" w:hAnsi="arial" w:cs="arial"/>
            <w:b w:val="0"/>
            <w:i/>
            <w:strike w:val="0"/>
            <w:noProof w:val="0"/>
            <w:color w:val="0077CC"/>
            <w:position w:val="0"/>
            <w:sz w:val="20"/>
            <w:u w:val="single"/>
            <w:vertAlign w:val="baseline"/>
          </w:rPr>
          <w:t>, 554 U.S. at 599</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McDonald</w:t>
        </w:r>
      </w:hyperlink>
      <w:hyperlink r:id="rId36" w:history="1">
        <w:r>
          <w:rPr>
            <w:rFonts w:ascii="arial" w:eastAsia="arial" w:hAnsi="arial" w:cs="arial"/>
            <w:b w:val="0"/>
            <w:i/>
            <w:strike w:val="0"/>
            <w:noProof w:val="0"/>
            <w:color w:val="0077CC"/>
            <w:position w:val="0"/>
            <w:sz w:val="20"/>
            <w:u w:val="single"/>
            <w:vertAlign w:val="baseline"/>
          </w:rPr>
          <w:t>, 561 U.S. at 767</w:t>
        </w:r>
      </w:hyperlink>
      <w:r>
        <w:rPr>
          <w:rFonts w:ascii="arial" w:eastAsia="arial" w:hAnsi="arial" w:cs="arial"/>
          <w:b w:val="0"/>
          <w:i w:val="0"/>
          <w:strike w:val="0"/>
          <w:noProof w:val="0"/>
          <w:color w:val="000000"/>
          <w:position w:val="0"/>
          <w:sz w:val="20"/>
          <w:u w:val="none"/>
          <w:vertAlign w:val="baseline"/>
        </w:rPr>
        <w:t xml:space="preserve">). In other words, in analyzing a burden on the possession of firearms, we look to "whether modern and historical regulations impose a comparable burden on the right of armed self-defense and whether that burden is comparably justified."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2133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The Constitutionality of </w:t>
      </w:r>
      <w:hyperlink r:id="rId13" w:history="1">
        <w:r>
          <w:rPr>
            <w:rFonts w:ascii="arial" w:eastAsia="arial" w:hAnsi="arial" w:cs="arial"/>
            <w:b/>
            <w:i/>
            <w:strike w:val="0"/>
            <w:noProof w:val="0"/>
            <w:color w:val="0077CC"/>
            <w:position w:val="0"/>
            <w:sz w:val="20"/>
            <w:u w:val="single"/>
            <w:vertAlign w:val="baseline"/>
          </w:rPr>
          <w:t>U.S.S.G. § 2D1.1(b)(1)</w:t>
        </w:r>
      </w:hyperlink>
    </w:p>
    <w:p>
      <w:pPr>
        <w:keepNext w:val="0"/>
        <w:spacing w:before="200" w:after="0" w:line="260" w:lineRule="atLeast"/>
        <w:ind w:left="0" w:right="0" w:firstLine="0"/>
        <w:jc w:val="both"/>
      </w:pPr>
      <w:bookmarkStart w:id="66" w:name="Bookmark_para_20"/>
      <w:bookmarkEnd w:id="66"/>
      <w:bookmarkStart w:id="67" w:name="Bookmark_I2HHNFHH8H4000081SJ0000N"/>
      <w:bookmarkEnd w:id="67"/>
      <w:bookmarkStart w:id="68" w:name="Bookmark_I68J4JW42N1RW70040000400"/>
      <w:bookmarkEnd w:id="68"/>
      <w:r>
        <w:rPr>
          <w:rFonts w:ascii="arial" w:eastAsia="arial" w:hAnsi="arial" w:cs="arial"/>
          <w:b w:val="0"/>
          <w:i w:val="0"/>
          <w:strike w:val="0"/>
          <w:noProof w:val="0"/>
          <w:color w:val="000000"/>
          <w:position w:val="0"/>
          <w:sz w:val="20"/>
          <w:u w:val="none"/>
          <w:vertAlign w:val="baseline"/>
        </w:rPr>
        <w:t xml:space="preserve">Alaniz argues that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violates his </w:t>
      </w:r>
      <w:hyperlink r:id="rId19"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[*1129] </w:t>
      </w:r>
      <w:r>
        <w:rPr>
          <w:rFonts w:ascii="arial" w:eastAsia="arial" w:hAnsi="arial" w:cs="arial"/>
          <w:b w:val="0"/>
          <w:i w:val="0"/>
          <w:strike w:val="0"/>
          <w:noProof w:val="0"/>
          <w:color w:val="000000"/>
          <w:position w:val="0"/>
          <w:sz w:val="20"/>
          <w:u w:val="none"/>
          <w:vertAlign w:val="baseline"/>
        </w:rPr>
        <w:t xml:space="preserve"> right by punishing him for lawfully possessing firearms. We assume, without deciding, that step one of the </w:t>
      </w:r>
      <w:bookmarkStart w:id="69" w:name="Bookmark_I68J4JW42N1RW70030000400"/>
      <w:bookmarkEnd w:id="69"/>
      <w:hyperlink r:id="rId26"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test is met. But we find </w:t>
      </w:r>
      <w:bookmarkStart w:id="70" w:name="Bookmark_LNHNREFclscc8"/>
      <w:bookmarkEnd w:id="70"/>
      <w:hyperlink r:id="rId4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constitutional under step two because it clearly comports with</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history and tradition of regulating the possession of firearms during the commission of felonies involving a risk of violence.</w:t>
      </w:r>
    </w:p>
    <w:p>
      <w:pPr>
        <w:keepNext w:val="0"/>
        <w:spacing w:before="240" w:after="0" w:line="260" w:lineRule="atLeast"/>
        <w:ind w:left="0" w:right="0" w:firstLine="0"/>
        <w:jc w:val="both"/>
      </w:pPr>
      <w:bookmarkStart w:id="71" w:name="Bookmark_para_21"/>
      <w:bookmarkEnd w:id="71"/>
      <w:r>
        <w:rPr>
          <w:rFonts w:ascii="arial" w:eastAsia="arial" w:hAnsi="arial" w:cs="arial"/>
          <w:b w:val="0"/>
          <w:i w:val="0"/>
          <w:strike w:val="0"/>
          <w:noProof w:val="0"/>
          <w:color w:val="000000"/>
          <w:position w:val="0"/>
          <w:sz w:val="20"/>
          <w:u w:val="none"/>
          <w:vertAlign w:val="baseline"/>
        </w:rPr>
        <w:t xml:space="preserve">The government offers on appeal a number of founding-era statutes to prove a historical tradition of sentencing enhancements tied to firearm possession. </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 We conclude that this historical tradition is well-established. </w:t>
      </w:r>
      <w:r>
        <w:rPr>
          <w:rFonts w:ascii="arial" w:eastAsia="arial" w:hAnsi="arial" w:cs="arial"/>
          <w:vertAlign w:val="superscript"/>
        </w:rPr>
        <w:footnoteReference w:customMarkFollows="1" w:id="5"/>
        <w:t xml:space="preserve">2</w:t>
      </w:r>
      <w:r>
        <w:rPr>
          <w:rFonts w:ascii="arial" w:eastAsia="arial" w:hAnsi="arial" w:cs="arial"/>
          <w:b w:val="0"/>
          <w:i w:val="0"/>
          <w:strike w:val="0"/>
          <w:noProof w:val="0"/>
          <w:color w:val="000000"/>
          <w:position w:val="0"/>
          <w:sz w:val="20"/>
          <w:u w:val="none"/>
          <w:vertAlign w:val="baseline"/>
        </w:rPr>
        <w:t xml:space="preserve"> Notably, several States enacted laws throughout the 1800s that increased the severity of punishment for certain felonies when weapons were possessed, but not necessarily used, during the commission of the crime. </w:t>
      </w:r>
      <w:r>
        <w:rPr>
          <w:rFonts w:ascii="arial" w:eastAsia="arial" w:hAnsi="arial" w:cs="arial"/>
          <w:b w:val="0"/>
          <w:i/>
          <w:strike w:val="0"/>
          <w:noProof w:val="0"/>
          <w:color w:val="000000"/>
          <w:position w:val="0"/>
          <w:sz w:val="20"/>
          <w:u w:val="none"/>
          <w:vertAlign w:val="baseline"/>
        </w:rPr>
        <w:t xml:space="preserve">See, e.g., </w:t>
      </w:r>
      <w:hyperlink r:id="rId44" w:history="1">
        <w:r>
          <w:rPr>
            <w:rFonts w:ascii="arial" w:eastAsia="arial" w:hAnsi="arial" w:cs="arial"/>
            <w:b w:val="0"/>
            <w:i/>
            <w:strike w:val="0"/>
            <w:noProof w:val="0"/>
            <w:color w:val="0077CC"/>
            <w:position w:val="0"/>
            <w:sz w:val="20"/>
            <w:u w:val="single"/>
            <w:vertAlign w:val="baseline"/>
          </w:rPr>
          <w:t>Commonwealth v. Hope</w:t>
        </w:r>
      </w:hyperlink>
      <w:hyperlink r:id="rId44" w:history="1">
        <w:r>
          <w:rPr>
            <w:rFonts w:ascii="arial" w:eastAsia="arial" w:hAnsi="arial" w:cs="arial"/>
            <w:b w:val="0"/>
            <w:i/>
            <w:strike w:val="0"/>
            <w:noProof w:val="0"/>
            <w:color w:val="0077CC"/>
            <w:position w:val="0"/>
            <w:sz w:val="20"/>
            <w:u w:val="single"/>
            <w:vertAlign w:val="baseline"/>
          </w:rPr>
          <w:t>, 39 Mass. (22 Pick.) 1, 9-10, 22 Pick. 1 (1839)</w:t>
        </w:r>
      </w:hyperlink>
      <w:r>
        <w:rPr>
          <w:rFonts w:ascii="arial" w:eastAsia="arial" w:hAnsi="arial" w:cs="arial"/>
          <w:b w:val="0"/>
          <w:i w:val="0"/>
          <w:strike w:val="0"/>
          <w:noProof w:val="0"/>
          <w:color w:val="000000"/>
          <w:position w:val="0"/>
          <w:sz w:val="20"/>
          <w:u w:val="none"/>
          <w:vertAlign w:val="baseline"/>
        </w:rPr>
        <w:t xml:space="preserve"> (analyzing an 1805 statute that aggravated burglary to the first degree when a defendant possessed a weapon); </w:t>
      </w:r>
      <w:hyperlink r:id="rId45" w:history="1">
        <w:r>
          <w:rPr>
            <w:rFonts w:ascii="arial" w:eastAsia="arial" w:hAnsi="arial" w:cs="arial"/>
            <w:b w:val="0"/>
            <w:i/>
            <w:strike w:val="0"/>
            <w:noProof w:val="0"/>
            <w:color w:val="0077CC"/>
            <w:position w:val="0"/>
            <w:sz w:val="20"/>
            <w:u w:val="single"/>
            <w:vertAlign w:val="baseline"/>
          </w:rPr>
          <w:t>People v. Fellinger</w:t>
        </w:r>
      </w:hyperlink>
      <w:hyperlink r:id="rId45" w:history="1">
        <w:r>
          <w:rPr>
            <w:rFonts w:ascii="arial" w:eastAsia="arial" w:hAnsi="arial" w:cs="arial"/>
            <w:b w:val="0"/>
            <w:i/>
            <w:strike w:val="0"/>
            <w:noProof w:val="0"/>
            <w:color w:val="0077CC"/>
            <w:position w:val="0"/>
            <w:sz w:val="20"/>
            <w:u w:val="single"/>
            <w:vertAlign w:val="baseline"/>
          </w:rPr>
          <w:t>, 24 How. Pr. 341, 342 (N.Y. Gen. Term 1862)</w:t>
        </w:r>
      </w:hyperlink>
      <w:r>
        <w:rPr>
          <w:rFonts w:ascii="arial" w:eastAsia="arial" w:hAnsi="arial" w:cs="arial"/>
          <w:b w:val="0"/>
          <w:i w:val="0"/>
          <w:strike w:val="0"/>
          <w:noProof w:val="0"/>
          <w:color w:val="000000"/>
          <w:position w:val="0"/>
          <w:sz w:val="20"/>
          <w:u w:val="none"/>
          <w:vertAlign w:val="baseline"/>
        </w:rPr>
        <w:t xml:space="preserve"> (same); </w:t>
      </w:r>
      <w:hyperlink r:id="rId46" w:history="1">
        <w:r>
          <w:rPr>
            <w:rFonts w:ascii="arial" w:eastAsia="arial" w:hAnsi="arial" w:cs="arial"/>
            <w:b w:val="0"/>
            <w:i/>
            <w:strike w:val="0"/>
            <w:noProof w:val="0"/>
            <w:color w:val="0077CC"/>
            <w:position w:val="0"/>
            <w:sz w:val="20"/>
            <w:u w:val="single"/>
            <w:vertAlign w:val="baseline"/>
          </w:rPr>
          <w:t>State v. Tutt</w:t>
        </w:r>
      </w:hyperlink>
      <w:hyperlink r:id="rId46" w:history="1">
        <w:r>
          <w:rPr>
            <w:rFonts w:ascii="arial" w:eastAsia="arial" w:hAnsi="arial" w:cs="arial"/>
            <w:b w:val="0"/>
            <w:i/>
            <w:strike w:val="0"/>
            <w:noProof w:val="0"/>
            <w:color w:val="0077CC"/>
            <w:position w:val="0"/>
            <w:sz w:val="20"/>
            <w:u w:val="single"/>
            <w:vertAlign w:val="baseline"/>
          </w:rPr>
          <w:t>, 63 Mo. 595, 599 (1876)</w:t>
        </w:r>
      </w:hyperlink>
      <w:r>
        <w:rPr>
          <w:rFonts w:ascii="arial" w:eastAsia="arial" w:hAnsi="arial" w:cs="arial"/>
          <w:b w:val="0"/>
          <w:i w:val="0"/>
          <w:strike w:val="0"/>
          <w:noProof w:val="0"/>
          <w:color w:val="000000"/>
          <w:position w:val="0"/>
          <w:sz w:val="20"/>
          <w:u w:val="none"/>
          <w:vertAlign w:val="baseline"/>
        </w:rPr>
        <w:t xml:space="preserve"> (same); </w:t>
      </w:r>
      <w:r>
        <w:rPr>
          <w:rFonts w:ascii="arial" w:eastAsia="arial" w:hAnsi="arial" w:cs="arial"/>
          <w:b w:val="0"/>
          <w:i/>
          <w:strike w:val="0"/>
          <w:noProof w:val="0"/>
          <w:color w:val="000000"/>
          <w:position w:val="0"/>
          <w:sz w:val="20"/>
          <w:u w:val="none"/>
          <w:vertAlign w:val="baseline"/>
        </w:rPr>
        <w:t>United States v. Bernard</w:t>
      </w:r>
      <w:r>
        <w:rPr>
          <w:rFonts w:ascii="arial" w:eastAsia="arial" w:hAnsi="arial" w:cs="arial"/>
          <w:b w:val="0"/>
          <w:i/>
          <w:strike w:val="0"/>
          <w:noProof w:val="0"/>
          <w:color w:val="000000"/>
          <w:position w:val="0"/>
          <w:sz w:val="20"/>
          <w:u w:val="none"/>
          <w:vertAlign w:val="baseline"/>
        </w:rPr>
        <w:t>, 24 F. Cas. 1131, 1131, F. Cas. No. 14584 (C.C.D.N.J. 1819)</w:t>
      </w:r>
      <w:r>
        <w:rPr>
          <w:rFonts w:ascii="arial" w:eastAsia="arial" w:hAnsi="arial" w:cs="arial"/>
          <w:b w:val="0"/>
          <w:i w:val="0"/>
          <w:strike w:val="0"/>
          <w:noProof w:val="0"/>
          <w:color w:val="000000"/>
          <w:position w:val="0"/>
          <w:sz w:val="20"/>
          <w:u w:val="none"/>
          <w:vertAlign w:val="baseline"/>
        </w:rPr>
        <w:t xml:space="preserve"> (discussing a New Jersey statute that punished the possession and exhibition of a firearm during the robbery of a postal worker). Indeed,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itself confirms that the right to keep and bear arms was understood at the Founding to be limited where there was a likelihood of a breach of peace.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142 S. Ct. at 2144-46</w:t>
        </w:r>
      </w:hyperlink>
      <w:r>
        <w:rPr>
          <w:rFonts w:ascii="arial" w:eastAsia="arial" w:hAnsi="arial" w:cs="arial"/>
          <w:b w:val="0"/>
          <w:i w:val="0"/>
          <w:strike w:val="0"/>
          <w:noProof w:val="0"/>
          <w:color w:val="000000"/>
          <w:position w:val="0"/>
          <w:sz w:val="20"/>
          <w:u w:val="none"/>
          <w:vertAlign w:val="baseline"/>
        </w:rPr>
        <w:t xml:space="preserve"> (citing </w:t>
      </w:r>
      <w:hyperlink r:id="rId47" w:history="1">
        <w:r>
          <w:rPr>
            <w:rFonts w:ascii="arial" w:eastAsia="arial" w:hAnsi="arial" w:cs="arial"/>
            <w:b w:val="0"/>
            <w:i/>
            <w:strike w:val="0"/>
            <w:noProof w:val="0"/>
            <w:color w:val="0077CC"/>
            <w:position w:val="0"/>
            <w:sz w:val="20"/>
            <w:u w:val="single"/>
            <w:vertAlign w:val="baseline"/>
          </w:rPr>
          <w:t>Simpson v. State</w:t>
        </w:r>
      </w:hyperlink>
      <w:hyperlink r:id="rId47" w:history="1">
        <w:r>
          <w:rPr>
            <w:rFonts w:ascii="arial" w:eastAsia="arial" w:hAnsi="arial" w:cs="arial"/>
            <w:b w:val="0"/>
            <w:i/>
            <w:strike w:val="0"/>
            <w:noProof w:val="0"/>
            <w:color w:val="0077CC"/>
            <w:position w:val="0"/>
            <w:sz w:val="20"/>
            <w:u w:val="single"/>
            <w:vertAlign w:val="baseline"/>
          </w:rPr>
          <w:t>, 13 Tenn. 356, 358-61 (1833)</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State v. Huntly</w:t>
        </w:r>
      </w:hyperlink>
      <w:hyperlink r:id="rId48" w:history="1">
        <w:r>
          <w:rPr>
            <w:rFonts w:ascii="arial" w:eastAsia="arial" w:hAnsi="arial" w:cs="arial"/>
            <w:b w:val="0"/>
            <w:i/>
            <w:strike w:val="0"/>
            <w:noProof w:val="0"/>
            <w:color w:val="0077CC"/>
            <w:position w:val="0"/>
            <w:sz w:val="20"/>
            <w:u w:val="single"/>
            <w:vertAlign w:val="baseline"/>
          </w:rPr>
          <w:t>, 25 N.C. 418, 421-23 (1843)</w:t>
        </w:r>
      </w:hyperlink>
      <w:r>
        <w:rPr>
          <w:rFonts w:ascii="arial" w:eastAsia="arial" w:hAnsi="arial" w:cs="arial"/>
          <w:b w:val="0"/>
          <w:i w:val="0"/>
          <w:strike w:val="0"/>
          <w:noProof w:val="0"/>
          <w:color w:val="000000"/>
          <w:position w:val="0"/>
          <w:sz w:val="20"/>
          <w:u w:val="none"/>
          <w:vertAlign w:val="baseline"/>
        </w:rPr>
        <w:t xml:space="preserve"> (per curiam); </w:t>
      </w:r>
      <w:hyperlink r:id="rId49" w:history="1">
        <w:r>
          <w:rPr>
            <w:rFonts w:ascii="arial" w:eastAsia="arial" w:hAnsi="arial" w:cs="arial"/>
            <w:b w:val="0"/>
            <w:i/>
            <w:strike w:val="0"/>
            <w:noProof w:val="0"/>
            <w:color w:val="0077CC"/>
            <w:position w:val="0"/>
            <w:sz w:val="20"/>
            <w:u w:val="single"/>
            <w:vertAlign w:val="baseline"/>
          </w:rPr>
          <w:t>O'Neill v. State</w:t>
        </w:r>
      </w:hyperlink>
      <w:hyperlink r:id="rId49" w:history="1">
        <w:r>
          <w:rPr>
            <w:rFonts w:ascii="arial" w:eastAsia="arial" w:hAnsi="arial" w:cs="arial"/>
            <w:b w:val="0"/>
            <w:i/>
            <w:strike w:val="0"/>
            <w:noProof w:val="0"/>
            <w:color w:val="0077CC"/>
            <w:position w:val="0"/>
            <w:sz w:val="20"/>
            <w:u w:val="single"/>
            <w:vertAlign w:val="baseline"/>
          </w:rPr>
          <w:t>, 16 Ala. 65, 67 (1849)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22"/>
      <w:bookmarkEnd w:id="75"/>
      <w:r>
        <w:rPr>
          <w:rFonts w:ascii="arial" w:eastAsia="arial" w:hAnsi="arial" w:cs="arial"/>
          <w:b w:val="0"/>
          <w:i w:val="0"/>
          <w:strike w:val="0"/>
          <w:noProof w:val="0"/>
          <w:color w:val="000000"/>
          <w:position w:val="0"/>
          <w:sz w:val="20"/>
          <w:u w:val="none"/>
          <w:vertAlign w:val="baseline"/>
        </w:rPr>
        <w:t xml:space="preserve">Alaniz argues that the government cannot satisfy the step two inquiry because its analogues are not sufficiently similar to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He asserts that in the government's examples,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possession was an element of the offense and therefore required proof beyond a reasonable doubt. He also contends that felony drug trafficking presents the same "perceived societal problem," as did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crimes in the founding era, thus, in his view, requiring the government to present a "distinctly similar" historical analogue.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2131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23"/>
      <w:bookmarkEnd w:id="76"/>
      <w:r>
        <w:rPr>
          <w:rFonts w:ascii="arial" w:eastAsia="arial" w:hAnsi="arial" w:cs="arial"/>
          <w:b w:val="0"/>
          <w:i w:val="0"/>
          <w:strike w:val="0"/>
          <w:noProof w:val="0"/>
          <w:color w:val="000000"/>
          <w:position w:val="0"/>
          <w:sz w:val="20"/>
          <w:u w:val="none"/>
          <w:vertAlign w:val="baseline"/>
        </w:rPr>
        <w:t xml:space="preserve">Alaniz's argument, however, is divorced from both reality and the law. Illegal drug trafficking is a largely modern crime. It is animated by unprecedented contemporary concerns regarding drug abuse and is not closely analogous to founding-era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crimes, which primarily focused on punishing importers who evaded customs duties.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Gonzales v. Raich</w:t>
        </w:r>
      </w:hyperlink>
      <w:hyperlink r:id="rId50" w:history="1">
        <w:r>
          <w:rPr>
            <w:rFonts w:ascii="arial" w:eastAsia="arial" w:hAnsi="arial" w:cs="arial"/>
            <w:b w:val="0"/>
            <w:i/>
            <w:strike w:val="0"/>
            <w:noProof w:val="0"/>
            <w:color w:val="0077CC"/>
            <w:position w:val="0"/>
            <w:sz w:val="20"/>
            <w:u w:val="single"/>
            <w:vertAlign w:val="baseline"/>
          </w:rPr>
          <w:t>, 545 U.S. 1, 10-13, 125 S. Ct. 2195, 162 L. Ed. 2d 1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Margarita Mercado Echegaray, Note, </w:t>
      </w:r>
      <w:r>
        <w:rPr>
          <w:rFonts w:ascii="arial" w:eastAsia="arial" w:hAnsi="arial" w:cs="arial"/>
          <w:b w:val="0"/>
          <w:i/>
          <w:strike w:val="0"/>
          <w:noProof w:val="0"/>
          <w:color w:val="000000"/>
          <w:position w:val="0"/>
          <w:sz w:val="20"/>
          <w:u w:val="none"/>
          <w:vertAlign w:val="baseline"/>
        </w:rPr>
        <w:t xml:space="preserve">Drug Prohibition in America: </w:t>
      </w:r>
      <w:r>
        <w:rPr>
          <w:rFonts w:ascii="arial" w:eastAsia="arial" w:hAnsi="arial" w:cs="arial"/>
          <w:b/>
          <w:i/>
          <w:strike w:val="0"/>
          <w:noProof w:val="0"/>
          <w:color w:val="000000"/>
          <w:position w:val="0"/>
          <w:sz w:val="20"/>
          <w:u w:val="none"/>
          <w:vertAlign w:val="baseline"/>
        </w:rPr>
        <w:t> [*1130] </w:t>
      </w:r>
      <w:r>
        <w:rPr>
          <w:rFonts w:ascii="arial" w:eastAsia="arial" w:hAnsi="arial" w:cs="arial"/>
          <w:b w:val="0"/>
          <w:i/>
          <w:strike w:val="0"/>
          <w:noProof w:val="0"/>
          <w:color w:val="000000"/>
          <w:position w:val="0"/>
          <w:sz w:val="20"/>
          <w:u w:val="none"/>
          <w:vertAlign w:val="baseline"/>
        </w:rPr>
        <w:t xml:space="preserve"> Federal Drug Policy and Its Consequences</w:t>
      </w:r>
      <w:r>
        <w:rPr>
          <w:rFonts w:ascii="arial" w:eastAsia="arial" w:hAnsi="arial" w:cs="arial"/>
          <w:b w:val="0"/>
          <w:i w:val="0"/>
          <w:strike w:val="0"/>
          <w:noProof w:val="0"/>
          <w:color w:val="000000"/>
          <w:position w:val="0"/>
          <w:sz w:val="20"/>
          <w:u w:val="none"/>
          <w:vertAlign w:val="baseline"/>
        </w:rPr>
        <w:t xml:space="preserve">, 75 Rev. Jur. U. P.R. 1215, 1219 (2006); Aaron T. Knapp, </w:t>
      </w:r>
      <w:r>
        <w:rPr>
          <w:rFonts w:ascii="arial" w:eastAsia="arial" w:hAnsi="arial" w:cs="arial"/>
          <w:b w:val="0"/>
          <w:i/>
          <w:strike w:val="0"/>
          <w:noProof w:val="0"/>
          <w:color w:val="000000"/>
          <w:position w:val="0"/>
          <w:sz w:val="20"/>
          <w:u w:val="none"/>
          <w:vertAlign w:val="baseline"/>
        </w:rPr>
        <w:t>From Empire to Law: Customs Collection in the American Founding</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43 Law &amp; Soc. Inquiry 554, 565-66 (2018)</w:t>
        </w:r>
      </w:hyperlink>
      <w:r>
        <w:rPr>
          <w:rFonts w:ascii="arial" w:eastAsia="arial" w:hAnsi="arial" w:cs="arial"/>
          <w:b w:val="0"/>
          <w:i w:val="0"/>
          <w:strike w:val="0"/>
          <w:noProof w:val="0"/>
          <w:color w:val="000000"/>
          <w:position w:val="0"/>
          <w:sz w:val="20"/>
          <w:u w:val="none"/>
          <w:vertAlign w:val="baseline"/>
        </w:rPr>
        <w:t xml:space="preserve"> (describing the Collection Act of 1789 that created "a customs collection regime" that aimed to "prevent fraud and evasion" through "punishing wrongdoing"). </w:t>
      </w:r>
      <w:bookmarkStart w:id="77" w:name="Bookmark_LNHNREFclscc10"/>
      <w:bookmarkEnd w:id="77"/>
      <w:hyperlink r:id="rId52"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expressly recognized that "cases implicating unprecedented societal concerns," like the one here, "may require a more nuanced approach." </w:t>
      </w:r>
      <w:hyperlink r:id="rId26" w:history="1">
        <w:r>
          <w:rPr>
            <w:rFonts w:ascii="arial" w:eastAsia="arial" w:hAnsi="arial" w:cs="arial"/>
            <w:b w:val="0"/>
            <w:i/>
            <w:strike w:val="0"/>
            <w:noProof w:val="0"/>
            <w:color w:val="0077CC"/>
            <w:position w:val="0"/>
            <w:sz w:val="20"/>
            <w:u w:val="single"/>
            <w:vertAlign w:val="baseline"/>
          </w:rPr>
          <w:t>142 S. Ct. at 2132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24"/>
      <w:bookmarkEnd w:id="78"/>
      <w:r>
        <w:rPr>
          <w:rFonts w:ascii="arial" w:eastAsia="arial" w:hAnsi="arial" w:cs="arial"/>
          <w:b w:val="0"/>
          <w:i w:val="0"/>
          <w:strike w:val="0"/>
          <w:noProof w:val="0"/>
          <w:color w:val="000000"/>
          <w:position w:val="0"/>
          <w:sz w:val="20"/>
          <w:u w:val="none"/>
          <w:vertAlign w:val="baseline"/>
        </w:rPr>
        <w:t xml:space="preserve">Viewing the government's proposed analogues through this lens, we are satisfied that they are "relevantly similar" to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[**11] </w:t>
      </w:r>
      <w:r>
        <w:rPr>
          <w:rFonts w:ascii="arial" w:eastAsia="arial" w:hAnsi="arial" w:cs="arial"/>
          <w:b w:val="0"/>
          <w:i/>
          <w:strike w:val="0"/>
          <w:noProof w:val="0"/>
          <w:color w:val="000000"/>
          <w:position w:val="0"/>
          <w:sz w:val="20"/>
          <w:u w:val="none"/>
          <w:vertAlign w:val="baseline"/>
        </w:rPr>
        <w:t xml:space="preserve"> id.</w:t>
      </w:r>
      <w:r>
        <w:rPr>
          <w:rFonts w:ascii="arial" w:eastAsia="arial" w:hAnsi="arial" w:cs="arial"/>
          <w:b w:val="0"/>
          <w:i w:val="0"/>
          <w:strike w:val="0"/>
          <w:noProof w:val="0"/>
          <w:color w:val="000000"/>
          <w:position w:val="0"/>
          <w:sz w:val="20"/>
          <w:u w:val="none"/>
          <w:vertAlign w:val="baseline"/>
        </w:rPr>
        <w:t xml:space="preserve"> The analogues show a longstanding tradition of enhancing a defendant's sentence for the increased risk of violence created by mere possession of a firearm during the commission of certain crimes. Drug trafficking fits squarely within that category of crimes. Like burglary or robbery, drug trafficking plainly poses substantial risks of confrontation that can lead to immediate violence. </w:t>
      </w:r>
      <w:r>
        <w:rPr>
          <w:rFonts w:ascii="arial" w:eastAsia="arial" w:hAnsi="arial" w:cs="arial"/>
          <w:b w:val="0"/>
          <w:i/>
          <w:strike w:val="0"/>
          <w:noProof w:val="0"/>
          <w:color w:val="000000"/>
          <w:position w:val="0"/>
          <w:sz w:val="20"/>
          <w:u w:val="non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United States v. Zamora</w:t>
        </w:r>
      </w:hyperlink>
      <w:hyperlink r:id="rId53" w:history="1">
        <w:r>
          <w:rPr>
            <w:rFonts w:ascii="arial" w:eastAsia="arial" w:hAnsi="arial" w:cs="arial"/>
            <w:b w:val="0"/>
            <w:i/>
            <w:strike w:val="0"/>
            <w:noProof w:val="0"/>
            <w:color w:val="0077CC"/>
            <w:position w:val="0"/>
            <w:sz w:val="20"/>
            <w:u w:val="single"/>
            <w:vertAlign w:val="baseline"/>
          </w:rPr>
          <w:t>, 37 F.3d 531, 533 (9th Cir. 1994)</w:t>
        </w:r>
      </w:hyperlink>
      <w:r>
        <w:rPr>
          <w:rFonts w:ascii="arial" w:eastAsia="arial" w:hAnsi="arial" w:cs="arial"/>
          <w:b w:val="0"/>
          <w:i w:val="0"/>
          <w:strike w:val="0"/>
          <w:noProof w:val="0"/>
          <w:color w:val="000000"/>
          <w:position w:val="0"/>
          <w:sz w:val="20"/>
          <w:u w:val="none"/>
          <w:vertAlign w:val="baseline"/>
        </w:rPr>
        <w:t xml:space="preserve"> ("[T]he possession of a gun during a drug trafficking offense increases the risk of violence."); Echegaray,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1241 (describing additional efforts to regulate illegal drug trafficking to curb related crimes and violence);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2D1.1(b)(1) cmt. 11(A)</w:t>
        </w:r>
      </w:hyperlink>
      <w:r>
        <w:rPr>
          <w:rFonts w:ascii="arial" w:eastAsia="arial" w:hAnsi="arial" w:cs="arial"/>
          <w:b w:val="0"/>
          <w:i w:val="0"/>
          <w:strike w:val="0"/>
          <w:noProof w:val="0"/>
          <w:color w:val="000000"/>
          <w:position w:val="0"/>
          <w:sz w:val="20"/>
          <w:u w:val="none"/>
          <w:vertAlign w:val="baseline"/>
        </w:rPr>
        <w:t xml:space="preserve"> ("The enhancement for weapon possession in </w:t>
      </w:r>
      <w:hyperlink r:id="rId13" w:history="1">
        <w:r>
          <w:rPr>
            <w:rFonts w:ascii="arial" w:eastAsia="arial" w:hAnsi="arial" w:cs="arial"/>
            <w:b w:val="0"/>
            <w:i/>
            <w:strike w:val="0"/>
            <w:noProof w:val="0"/>
            <w:color w:val="0077CC"/>
            <w:position w:val="0"/>
            <w:sz w:val="20"/>
            <w:u w:val="single"/>
            <w:vertAlign w:val="baseline"/>
          </w:rPr>
          <w:t>subsection (b)(1)</w:t>
        </w:r>
      </w:hyperlink>
      <w:r>
        <w:rPr>
          <w:rFonts w:ascii="arial" w:eastAsia="arial" w:hAnsi="arial" w:cs="arial"/>
          <w:b w:val="0"/>
          <w:i w:val="0"/>
          <w:strike w:val="0"/>
          <w:noProof w:val="0"/>
          <w:color w:val="000000"/>
          <w:position w:val="0"/>
          <w:sz w:val="20"/>
          <w:u w:val="none"/>
          <w:vertAlign w:val="baseline"/>
        </w:rPr>
        <w:t xml:space="preserve"> reflects the increased danger of violence when drug traffickers possess weapons."). </w:t>
      </w:r>
      <w:hyperlink r:id="rId13" w:history="1">
        <w:r>
          <w:rPr>
            <w:rFonts w:ascii="arial" w:eastAsia="arial" w:hAnsi="arial" w:cs="arial"/>
            <w:b w:val="0"/>
            <w:i/>
            <w:strike w:val="0"/>
            <w:noProof w:val="0"/>
            <w:color w:val="0077CC"/>
            <w:position w:val="0"/>
            <w:sz w:val="20"/>
            <w:u w:val="single"/>
            <w:vertAlign w:val="baseline"/>
          </w:rPr>
          <w:t>Section 2D1.1(b)(1)</w:t>
        </w:r>
      </w:hyperlink>
      <w:r>
        <w:rPr>
          <w:rFonts w:ascii="arial" w:eastAsia="arial" w:hAnsi="arial" w:cs="arial"/>
          <w:b w:val="0"/>
          <w:i w:val="0"/>
          <w:strike w:val="0"/>
          <w:noProof w:val="0"/>
          <w:color w:val="000000"/>
          <w:position w:val="0"/>
          <w:sz w:val="20"/>
          <w:u w:val="none"/>
          <w:vertAlign w:val="baseline"/>
        </w:rPr>
        <w:t xml:space="preserve">, therefore, imposes a "comparable burden" to the historical analogues and is "comparably justified."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Bruen</w:t>
        </w:r>
      </w:hyperlink>
      <w:hyperlink r:id="rId26" w:history="1">
        <w:r>
          <w:rPr>
            <w:rFonts w:ascii="arial" w:eastAsia="arial" w:hAnsi="arial" w:cs="arial"/>
            <w:b w:val="0"/>
            <w:i/>
            <w:strike w:val="0"/>
            <w:noProof w:val="0"/>
            <w:color w:val="0077CC"/>
            <w:position w:val="0"/>
            <w:sz w:val="20"/>
            <w:u w:val="single"/>
            <w:vertAlign w:val="baseline"/>
          </w:rPr>
          <w:t>, 142 S. Ct. at 2133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25"/>
      <w:bookmarkEnd w:id="79"/>
      <w:r>
        <w:rPr>
          <w:rFonts w:ascii="arial" w:eastAsia="arial" w:hAnsi="arial" w:cs="arial"/>
          <w:b w:val="0"/>
          <w:i w:val="0"/>
          <w:strike w:val="0"/>
          <w:noProof w:val="0"/>
          <w:color w:val="000000"/>
          <w:position w:val="0"/>
          <w:sz w:val="20"/>
          <w:u w:val="none"/>
          <w:vertAlign w:val="baseline"/>
        </w:rPr>
        <w:t xml:space="preserve">This historical record assures us that the two-level enhancement here is of a kind that the Founders would have tolerated.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2132</w:t>
        </w:r>
      </w:hyperlink>
      <w:r>
        <w:rPr>
          <w:rFonts w:ascii="arial" w:eastAsia="arial" w:hAnsi="arial" w:cs="arial"/>
          <w:b w:val="0"/>
          <w:i w:val="0"/>
          <w:strike w:val="0"/>
          <w:noProof w:val="0"/>
          <w:color w:val="000000"/>
          <w:position w:val="0"/>
          <w:sz w:val="20"/>
          <w:u w:val="none"/>
          <w:vertAlign w:val="baseline"/>
        </w:rPr>
        <w:t xml:space="preserve">. We thus conclude that application of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 xml:space="preserve"> to Alaniz's sentence is constitutional.</w:t>
      </w:r>
    </w:p>
    <w:p>
      <w:pPr>
        <w:keepNext w:val="0"/>
        <w:spacing w:before="200" w:after="0" w:line="260" w:lineRule="atLeast"/>
        <w:ind w:left="0" w:right="0" w:firstLine="0"/>
        <w:jc w:val="both"/>
      </w:pPr>
      <w:bookmarkStart w:id="80" w:name="Bookmark_para_26"/>
      <w:bookmarkEnd w:id="80"/>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0" w:name="Bookmark_fnpara_1"/>
      <w:bookmarkEnd w:id="30"/>
      <w:r>
        <w:rPr>
          <w:rFonts w:ascii="arial" w:eastAsia="arial" w:hAnsi="arial" w:cs="arial"/>
          <w:b w:val="0"/>
          <w:i w:val="0"/>
          <w:strike w:val="0"/>
          <w:noProof w:val="0"/>
          <w:color w:val="000000"/>
          <w:position w:val="0"/>
          <w:sz w:val="18"/>
          <w:u w:val="none"/>
          <w:vertAlign w:val="baseline"/>
        </w:rPr>
        <w:t>This summary constitutes no part of the opinion of the court. It has been prepared by court staff for the convenience of the reader.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6" w:name="Bookmark_fnpara_2"/>
      <w:bookmarkEnd w:id="36"/>
      <w:r>
        <w:rPr>
          <w:rFonts w:ascii="arial" w:eastAsia="arial" w:hAnsi="arial" w:cs="arial"/>
          <w:b w:val="0"/>
          <w:i w:val="0"/>
          <w:strike w:val="0"/>
          <w:noProof w:val="0"/>
          <w:color w:val="000000"/>
          <w:position w:val="0"/>
          <w:sz w:val="18"/>
          <w:u w:val="none"/>
          <w:vertAlign w:val="baseline"/>
        </w:rPr>
        <w:t>The Honorable Philip S. Gutierrez, Chief United States District Judge for the Central District of California, sitting by designation.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2" w:name="Bookmark_fnpara_3"/>
      <w:bookmarkEnd w:id="72"/>
      <w:r>
        <w:rPr>
          <w:rFonts w:ascii="arial" w:eastAsia="arial" w:hAnsi="arial" w:cs="arial"/>
          <w:b w:val="0"/>
          <w:i w:val="0"/>
          <w:strike w:val="0"/>
          <w:noProof w:val="0"/>
          <w:color w:val="000000"/>
          <w:position w:val="0"/>
          <w:sz w:val="18"/>
          <w:u w:val="none"/>
          <w:vertAlign w:val="baseline"/>
        </w:rPr>
        <w:t xml:space="preserve">Alaniz contends that the government's analogues cannot be considered on appeal because they were not raised below. But that is not so. </w:t>
      </w:r>
      <w:bookmarkStart w:id="73" w:name="Bookmark_LNHNREFclscc9"/>
      <w:bookmarkEnd w:id="73"/>
      <w:hyperlink r:id="rId1" w:history="1">
        <w:r>
          <w:rPr>
            <w:rFonts w:ascii="arial" w:eastAsia="arial" w:hAnsi="arial" w:cs="arial"/>
            <w:b/>
            <w:i/>
            <w:strike w:val="0"/>
            <w:noProof w:val="0"/>
            <w:color w:val="0077CC"/>
            <w:position w:val="0"/>
            <w:sz w:val="18"/>
            <w:u w:val="single"/>
            <w:vertAlign w:val="baseline"/>
          </w:rPr>
          <w:t>HN9</w:t>
        </w:r>
      </w:hyperlink>
      <w:r>
        <w:rPr>
          <w:rFonts w:ascii="arial" w:eastAsia="arial" w:hAnsi="arial" w:cs="arial"/>
          <w:b w:val="0"/>
          <w:i w:val="0"/>
          <w:strike w:val="0"/>
          <w:noProof w:val="0"/>
          <w:color w:val="000000"/>
          <w:position w:val="0"/>
          <w:sz w:val="18"/>
          <w:u w:val="none"/>
          <w:vertAlign w:val="baseline"/>
        </w:rPr>
        <w:t>[</w:t>
      </w:r>
      <w:hyperlink w:anchor="Bookmark_clscc9"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"[I]t is claims that are deemed waived or forfeited, not arguments." </w:t>
      </w:r>
      <w:hyperlink r:id="rId3" w:history="1">
        <w:r>
          <w:rPr>
            <w:rFonts w:ascii="arial" w:eastAsia="arial" w:hAnsi="arial" w:cs="arial"/>
            <w:b w:val="0"/>
            <w:i/>
            <w:strike w:val="0"/>
            <w:noProof w:val="0"/>
            <w:color w:val="0077CC"/>
            <w:position w:val="0"/>
            <w:sz w:val="18"/>
            <w:u w:val="single"/>
            <w:vertAlign w:val="baseline"/>
          </w:rPr>
          <w:t>United States v. Pallares-Galan</w:t>
        </w:r>
      </w:hyperlink>
      <w:hyperlink r:id="rId3" w:history="1">
        <w:r>
          <w:rPr>
            <w:rFonts w:ascii="arial" w:eastAsia="arial" w:hAnsi="arial" w:cs="arial"/>
            <w:b w:val="0"/>
            <w:i/>
            <w:strike w:val="0"/>
            <w:noProof w:val="0"/>
            <w:color w:val="0077CC"/>
            <w:position w:val="0"/>
            <w:sz w:val="18"/>
            <w:u w:val="single"/>
            <w:vertAlign w:val="baseline"/>
          </w:rPr>
          <w:t>, 359 F.3d 1088, 1095 (9th Cir. 2004)</w:t>
        </w:r>
      </w:hyperlink>
      <w:r>
        <w:rPr>
          <w:rFonts w:ascii="arial" w:eastAsia="arial" w:hAnsi="arial" w:cs="arial"/>
          <w:b w:val="0"/>
          <w:i w:val="0"/>
          <w:strike w:val="0"/>
          <w:noProof w:val="0"/>
          <w:color w:val="000000"/>
          <w:position w:val="0"/>
          <w:sz w:val="18"/>
          <w:u w:val="none"/>
          <w:vertAlign w:val="baseline"/>
        </w:rPr>
        <w:t>. Because the constitutional claim was raised below, we may consider the government's step two arguments and analogues put forward on appeal.</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4" w:name="Bookmark_fnpara_4"/>
      <w:bookmarkEnd w:id="74"/>
      <w:r>
        <w:rPr>
          <w:rFonts w:ascii="arial" w:eastAsia="arial" w:hAnsi="arial" w:cs="arial"/>
          <w:b w:val="0"/>
          <w:i w:val="0"/>
          <w:strike w:val="0"/>
          <w:noProof w:val="0"/>
          <w:color w:val="000000"/>
          <w:position w:val="0"/>
          <w:sz w:val="18"/>
          <w:u w:val="none"/>
          <w:vertAlign w:val="baseline"/>
        </w:rPr>
        <w:t xml:space="preserve">States began in the 1700s to impose harsher punishments for crimes committed with firearms, and the tradition persisted through the Second Founding.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Mark Frassetto, Firearms and Weapons Legislation up to the Early 20th Century 99-101 (Jan. 15, 2013) (unpublished manuscript), https://perma.cc/5NNG-7KVH (collecting laws from the colonial era through the 1800s). Accordingly, we need not reach the question of the proper era from which to draw the historical analogues. </w:t>
      </w:r>
      <w:r>
        <w:rPr>
          <w:rFonts w:ascii="arial" w:eastAsia="arial" w:hAnsi="arial" w:cs="arial"/>
          <w:b w:val="0"/>
          <w:i/>
          <w:strike w:val="0"/>
          <w:noProof w:val="0"/>
          <w:color w:val="000000"/>
          <w:position w:val="0"/>
          <w:sz w:val="18"/>
          <w:u w:val="none"/>
          <w:vertAlign w:val="baseline"/>
        </w:rPr>
        <w:t xml:space="preserve">See </w:t>
      </w:r>
      <w:hyperlink r:id="rId4" w:history="1">
        <w:r>
          <w:rPr>
            <w:rFonts w:ascii="arial" w:eastAsia="arial" w:hAnsi="arial" w:cs="arial"/>
            <w:b w:val="0"/>
            <w:i/>
            <w:strike w:val="0"/>
            <w:noProof w:val="0"/>
            <w:color w:val="0077CC"/>
            <w:position w:val="0"/>
            <w:sz w:val="18"/>
            <w:u w:val="single"/>
            <w:vertAlign w:val="baseline"/>
          </w:rPr>
          <w:t>Bruen</w:t>
        </w:r>
      </w:hyperlink>
      <w:hyperlink r:id="rId4" w:history="1">
        <w:r>
          <w:rPr>
            <w:rFonts w:ascii="arial" w:eastAsia="arial" w:hAnsi="arial" w:cs="arial"/>
            <w:b w:val="0"/>
            <w:i/>
            <w:strike w:val="0"/>
            <w:noProof w:val="0"/>
            <w:color w:val="0077CC"/>
            <w:position w:val="0"/>
            <w:sz w:val="18"/>
            <w:u w:val="single"/>
            <w:vertAlign w:val="baseline"/>
          </w:rPr>
          <w:t>, 142 S. Ct. at 2138</w:t>
        </w:r>
      </w:hyperlink>
      <w:r>
        <w:rPr>
          <w:rFonts w:ascii="arial" w:eastAsia="arial" w:hAnsi="arial" w:cs="arial"/>
          <w:b w:val="0"/>
          <w:i w:val="0"/>
          <w:strike w:val="0"/>
          <w:noProof w:val="0"/>
          <w:color w:val="000000"/>
          <w:position w:val="0"/>
          <w:sz w:val="18"/>
          <w:u w:val="none"/>
          <w:vertAlign w:val="baseline"/>
        </w:rPr>
        <w:t xml:space="preserve"> ("[T]here is an ongoing scholarly debate on whether courts should primarily rely on the prevailing understanding of an individual right when the </w:t>
      </w:r>
      <w:hyperlink r:id="rId5"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was ratified in 1868 when defining its scope . . . . We need not address this issue today . . .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Alaniz, 69 F.4th 1124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MF-4401-F5DR-22K4-00000-00&amp;context=1519360" TargetMode="External" /><Relationship Id="rId11" Type="http://schemas.openxmlformats.org/officeDocument/2006/relationships/hyperlink" Target="https://advance.lexis.com/api/document?collection=cases&amp;id=urn:contentItem:68FT-TSH1-JX8W-M319-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6D22-5R13-RRKT-63C1-00000-00&amp;context=1519360" TargetMode="External" /><Relationship Id="rId14" Type="http://schemas.openxmlformats.org/officeDocument/2006/relationships/hyperlink" Target="https://advance.lexis.com/api/document?collection=cases&amp;id=urn:contentItem:68FT-TSH1-JX8W-M319-00000-00&amp;context=1519360&amp;link=LNHNREFclscc2" TargetMode="External" /><Relationship Id="rId15" Type="http://schemas.openxmlformats.org/officeDocument/2006/relationships/hyperlink" Target="https://advance.lexis.com/api/document?collection=cases&amp;id=urn:contentItem:68FT-TSH1-JX8W-M319-00000-00&amp;context=1519360&amp;link=LNHNREFclscc3" TargetMode="External" /><Relationship Id="rId16" Type="http://schemas.openxmlformats.org/officeDocument/2006/relationships/hyperlink" Target="https://advance.lexis.com/api/document?collection=statutes-legislation&amp;id=urn:contentItem:69KS-BD13-RRMY-F0YG-00000-00&amp;context=1519360" TargetMode="External" /><Relationship Id="rId17" Type="http://schemas.openxmlformats.org/officeDocument/2006/relationships/hyperlink" Target="https://advance.lexis.com/api/document?collection=cases&amp;id=urn:contentItem:68FT-TSH1-JX8W-M319-00000-00&amp;context=1519360&amp;link=LNHNREFclscc4" TargetMode="External" /><Relationship Id="rId18" Type="http://schemas.openxmlformats.org/officeDocument/2006/relationships/hyperlink" Target="https://advance.lexis.com/api/document?collection=cases&amp;id=urn:contentItem:68FT-TSH1-JX8W-M319-00000-00&amp;context=1519360&amp;link=LNHNREFclscc5" TargetMode="External" /><Relationship Id="rId19" Type="http://schemas.openxmlformats.org/officeDocument/2006/relationships/hyperlink" Target="https://advance.lexis.com/api/document?collection=statutes-legislation&amp;id=urn:contentItem:8T9R-T352-D6RV-H37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FT-TSH1-JX8W-M319-00000-00&amp;context=1519360&amp;link=LNHNREFclscc6" TargetMode="External" /><Relationship Id="rId21" Type="http://schemas.openxmlformats.org/officeDocument/2006/relationships/hyperlink" Target="https://advance.lexis.com/api/document?collection=statutes-legislation&amp;id=urn:contentItem:8T9R-T2X2-D6RV-H374-00000-00&amp;context=1519360" TargetMode="External" /><Relationship Id="rId22" Type="http://schemas.openxmlformats.org/officeDocument/2006/relationships/hyperlink" Target="https://advance.lexis.com/api/document?collection=cases&amp;id=urn:contentItem:68FT-TSH1-JX8W-M319-00000-00&amp;context=1519360&amp;link=LNHNREFclscc7" TargetMode="External" /><Relationship Id="rId23" Type="http://schemas.openxmlformats.org/officeDocument/2006/relationships/hyperlink" Target="https://advance.lexis.com/api/document?collection=cases&amp;id=urn:contentItem:68FT-TSH1-JX8W-M319-00000-00&amp;context=1519360&amp;link=LNHNREFclscc8" TargetMode="External" /><Relationship Id="rId24" Type="http://schemas.openxmlformats.org/officeDocument/2006/relationships/hyperlink" Target="https://advance.lexis.com/api/document?collection=cases&amp;id=urn:contentItem:68FT-TSH1-JX8W-M319-00000-00&amp;context=1519360&amp;link=LNHNREFclscc9" TargetMode="External" /><Relationship Id="rId25" Type="http://schemas.openxmlformats.org/officeDocument/2006/relationships/hyperlink" Target="https://advance.lexis.com/api/document?collection=cases&amp;id=urn:contentItem:68FT-TSH1-JX8W-M319-00000-00&amp;context=1519360&amp;link=LNHNREFclscc10" TargetMode="External" /><Relationship Id="rId26" Type="http://schemas.openxmlformats.org/officeDocument/2006/relationships/hyperlink" Target="https://advance.lexis.com/api/document?collection=cases&amp;id=urn:contentItem:65S3-40F1-F1H1-20MS-00000-00&amp;context=1519360" TargetMode="External" /><Relationship Id="rId27" Type="http://schemas.openxmlformats.org/officeDocument/2006/relationships/hyperlink" Target="https://advance.lexis.com/api/document?collection=cases&amp;id=urn:contentItem:68FT-TSH1-JX8W-M319-00000-00&amp;context=1519360&amp;link=clscc1" TargetMode="External" /><Relationship Id="rId28" Type="http://schemas.openxmlformats.org/officeDocument/2006/relationships/image" Target="media/image3.png" /><Relationship Id="rId29" Type="http://schemas.openxmlformats.org/officeDocument/2006/relationships/hyperlink" Target="https://advance.lexis.com/api/document?collection=cases&amp;id=urn:contentItem:68FT-TSH1-JX8W-M319-00000-00&amp;context=1519360&amp;link=clscc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FT-TSH1-JX8W-M319-00000-00&amp;context=1519360&amp;link=clscc3" TargetMode="External" /><Relationship Id="rId31" Type="http://schemas.openxmlformats.org/officeDocument/2006/relationships/hyperlink" Target="https://advance.lexis.com/api/document?collection=cases&amp;id=urn:contentItem:4106-8R70-0038-X2D9-00000-00&amp;context=1519360" TargetMode="External" /><Relationship Id="rId32" Type="http://schemas.openxmlformats.org/officeDocument/2006/relationships/hyperlink" Target="https://advance.lexis.com/api/document?collection=cases&amp;id=urn:contentItem:68FT-TSH1-JX8W-M319-00000-00&amp;context=1519360&amp;link=clscc4" TargetMode="External" /><Relationship Id="rId33" Type="http://schemas.openxmlformats.org/officeDocument/2006/relationships/hyperlink" Target="https://advance.lexis.com/api/document?collection=statutes-legislation&amp;id=urn:contentItem:8SG9-5HW2-D6RV-H0FT-00000-00&amp;context=1519360" TargetMode="External" /><Relationship Id="rId34" Type="http://schemas.openxmlformats.org/officeDocument/2006/relationships/hyperlink" Target="https://advance.lexis.com/api/document?collection=cases&amp;id=urn:contentItem:7XRX-GJR0-YB0V-P016-00000-00&amp;context=1519360" TargetMode="External" /><Relationship Id="rId35" Type="http://schemas.openxmlformats.org/officeDocument/2006/relationships/hyperlink" Target="https://advance.lexis.com/api/document?collection=cases&amp;id=urn:contentItem:4SVD-G000-TXFX-11T0-00000-00&amp;context=1519360" TargetMode="External" /><Relationship Id="rId36" Type="http://schemas.openxmlformats.org/officeDocument/2006/relationships/hyperlink" Target="https://advance.lexis.com/api/document?collection=cases&amp;id=urn:contentItem:7YTJ-1WN0-YB0V-916V-00000-00&amp;context=1519360" TargetMode="External" /><Relationship Id="rId37" Type="http://schemas.openxmlformats.org/officeDocument/2006/relationships/hyperlink" Target="https://advance.lexis.com/api/document?collection=cases&amp;id=urn:contentItem:59VR-6KG1-F04K-V28Y-00000-00&amp;context=1519360" TargetMode="External" /><Relationship Id="rId38" Type="http://schemas.openxmlformats.org/officeDocument/2006/relationships/hyperlink" Target="https://advance.lexis.com/api/document?collection=cases&amp;id=urn:contentItem:5BTT-B801-F04K-V000-00000-00&amp;context=1519360" TargetMode="External" /><Relationship Id="rId39" Type="http://schemas.openxmlformats.org/officeDocument/2006/relationships/hyperlink" Target="https://advance.lexis.com/api/document?collection=cases&amp;id=urn:contentItem:68FT-TSH1-JX8W-M319-00000-00&amp;context=1519360&amp;link=clscc5"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HJB0-003B-S3C1-00000-00&amp;context=1519360" TargetMode="External" /><Relationship Id="rId41" Type="http://schemas.openxmlformats.org/officeDocument/2006/relationships/hyperlink" Target="https://advance.lexis.com/api/document?collection=cases&amp;id=urn:contentItem:68FT-TSH1-JX8W-M319-00000-00&amp;context=1519360&amp;link=clscc6" TargetMode="External" /><Relationship Id="rId42" Type="http://schemas.openxmlformats.org/officeDocument/2006/relationships/hyperlink" Target="https://advance.lexis.com/api/document?collection=cases&amp;id=urn:contentItem:68FT-TSH1-JX8W-M319-00000-00&amp;context=1519360&amp;link=clscc7" TargetMode="External" /><Relationship Id="rId43" Type="http://schemas.openxmlformats.org/officeDocument/2006/relationships/hyperlink" Target="https://advance.lexis.com/api/document?collection=cases&amp;id=urn:contentItem:68FT-TSH1-JX8W-M319-00000-00&amp;context=1519360&amp;link=clscc8" TargetMode="External" /><Relationship Id="rId44" Type="http://schemas.openxmlformats.org/officeDocument/2006/relationships/hyperlink" Target="https://advance.lexis.com/api/document?collection=cases&amp;id=urn:contentItem:3WCP-TVH0-00KR-F32R-00000-00&amp;context=1519360" TargetMode="External" /><Relationship Id="rId45" Type="http://schemas.openxmlformats.org/officeDocument/2006/relationships/hyperlink" Target="https://advance.lexis.com/api/document?collection=cases&amp;id=urn:contentItem:5J2Y-37P1-JCNG-44TS-00000-00&amp;context=1519360" TargetMode="External" /><Relationship Id="rId46" Type="http://schemas.openxmlformats.org/officeDocument/2006/relationships/hyperlink" Target="https://advance.lexis.com/api/document?collection=cases&amp;id=urn:contentItem:3WCR-DYY0-00KR-F0B5-00000-00&amp;context=1519360" TargetMode="External" /><Relationship Id="rId47" Type="http://schemas.openxmlformats.org/officeDocument/2006/relationships/hyperlink" Target="https://advance.lexis.com/api/document?collection=cases&amp;id=urn:contentItem:3X4V-9VN0-00KR-D057-00000-00&amp;context=1519360" TargetMode="External" /><Relationship Id="rId48" Type="http://schemas.openxmlformats.org/officeDocument/2006/relationships/hyperlink" Target="https://advance.lexis.com/api/document?collection=cases&amp;id=urn:contentItem:3XK5-K970-00KR-F457-00000-00&amp;context=1519360" TargetMode="External" /><Relationship Id="rId49" Type="http://schemas.openxmlformats.org/officeDocument/2006/relationships/hyperlink" Target="https://advance.lexis.com/api/document?collection=cases&amp;id=urn:contentItem:3Y8K-Y0N0-0046-82JX-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GBD-3J90-004C-100M-00000-00&amp;context=1519360" TargetMode="External" /><Relationship Id="rId51" Type="http://schemas.openxmlformats.org/officeDocument/2006/relationships/hyperlink" Target="https://advance.lexis.com/api/document?collection=analytical-materials&amp;id=urn:contentItem:5SJ5-BXV0-00CV-S2HV-00000-00&amp;context=1519360" TargetMode="External" /><Relationship Id="rId52" Type="http://schemas.openxmlformats.org/officeDocument/2006/relationships/hyperlink" Target="https://advance.lexis.com/api/document?collection=cases&amp;id=urn:contentItem:68FT-TSH1-JX8W-M319-00000-00&amp;context=1519360&amp;link=clscc10" TargetMode="External" /><Relationship Id="rId53" Type="http://schemas.openxmlformats.org/officeDocument/2006/relationships/hyperlink" Target="https://advance.lexis.com/api/document?collection=cases&amp;id=urn:contentItem:3S4X-2370-003B-P19F-00000-00&amp;context=1519360"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FT-TSH1-JX8W-M31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FT-TSH1-JX8W-M319-00000-00&amp;context=1519360&amp;link=clscc9"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4BRY-XXH0-0038-X4RS-00000-00&amp;context=1519360" TargetMode="External" /><Relationship Id="rId4" Type="http://schemas.openxmlformats.org/officeDocument/2006/relationships/hyperlink" Target="https://advance.lexis.com/api/document?collection=cases&amp;id=urn:contentItem:65S3-40F1-F1H1-20MS-00000-00&amp;context=1519360" TargetMode="External" /><Relationship Id="rId5" Type="http://schemas.openxmlformats.org/officeDocument/2006/relationships/hyperlink" Target="https://advance.lexis.com/api/document?collection=statutes-legislation&amp;id=urn:contentItem:8T9R-T5M2-D6RV-H38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Alaniz, 69 F.4th 1124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Doc::urn:hlct:5|contextualFeaturePermID::1519360</vt:lpwstr>
  </property>
  <property fmtid="{D5CDD505-2E9C-101B-9397-08002B2CF9AE}" pid="5" name="UserPermID">
    <vt:lpwstr>urn:user:PA186186283</vt:lpwstr>
  </property>
</Properties>
</file>