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Jefferson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22-40192 Summary Calendar</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13003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3644479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KEVIN MICHAEL JEFFERSON,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5:20-CR-1921-1.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trailer, illegal alien, alien, jury's verdict, extrinsic, transport, truck, relevance of evidence, light most favorable, reasonable inference, district court, bad act, en banc, compartment, challenges, novo</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Andrew C. Sand, U.S. Attorney's Office, Houston, TX;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Kevin Michael Jefferson, Defendant - Appellant: Houston, TX.</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HIGGINBOTHAM, GRAVES, and HO,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On October 7, 2020, during a commercial inspection of the vehicle at the United States Border Patrol checkpoint north of Laredo, Texas, United States Border Patrol agents discovered approximately 100 illegal aliens in the back of the tractor-trailer truck driven by Kevin Michael Jefferson. Jefferson was convicted by a jury of one count of conspiring to transport an illegal alien within the United States, in violation of </w:t>
      </w:r>
      <w:hyperlink r:id="rId10"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he was sentenced within the guidelines range to 100 months of imprisonment and three years of supervised release. He raises two challenges on appeal, arguing that the evidence was insufficient to support his conviction and that the district court erred by admitting certain extrinsic evidence under </w:t>
      </w:r>
      <w:hyperlink r:id="rId11" w:history="1">
        <w:r>
          <w:rPr>
            <w:rFonts w:ascii="arial" w:eastAsia="arial" w:hAnsi="arial" w:cs="arial"/>
            <w:b w:val="0"/>
            <w:i/>
            <w:strike w:val="0"/>
            <w:noProof w:val="0"/>
            <w:color w:val="0077CC"/>
            <w:position w:val="0"/>
            <w:sz w:val="20"/>
            <w:u w:val="single"/>
            <w:vertAlign w:val="baseline"/>
          </w:rPr>
          <w:t>Federal Rule of Evidence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 w:name="Bookmark_para_5"/>
      <w:bookmarkEnd w:id="13"/>
      <w:bookmarkStart w:id="14" w:name="Bookmark_I68C5JP42D6NWH0020000400"/>
      <w:bookmarkEnd w:id="14"/>
      <w:bookmarkStart w:id="15" w:name="Bookmark_I68C5JP42D6NWH0040000400"/>
      <w:bookmarkEnd w:id="15"/>
      <w:r>
        <w:rPr>
          <w:rFonts w:ascii="arial" w:eastAsia="arial" w:hAnsi="arial" w:cs="arial"/>
          <w:b w:val="0"/>
          <w:i w:val="0"/>
          <w:strike w:val="0"/>
          <w:noProof w:val="0"/>
          <w:color w:val="000000"/>
          <w:position w:val="0"/>
          <w:sz w:val="20"/>
          <w:u w:val="none"/>
          <w:vertAlign w:val="baseline"/>
        </w:rPr>
        <w:t>With respect to his sufficiency challenge, Jefferson's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sole argument is that the Government failed to prove that he agreed with another person to commit the offense. Because he preserved his challenge to the sufficiency of the evidence by moving for a judgment of acquittal based on insufficient evidence at the close of the Government's case, which was the close of all evidence, his claim is reviewed de novo. </w:t>
      </w:r>
      <w:r>
        <w:rPr>
          <w:rFonts w:ascii="arial" w:eastAsia="arial" w:hAnsi="arial" w:cs="arial"/>
          <w:b w:val="0"/>
          <w:i/>
          <w:strike w:val="0"/>
          <w:noProof w:val="0"/>
          <w:color w:val="000000"/>
          <w:position w:val="0"/>
          <w:sz w:val="20"/>
          <w:u w:val="none"/>
          <w:vertAlign w:val="baseline"/>
        </w:rPr>
        <w:t xml:space="preserve">See </w:t>
      </w:r>
      <w:bookmarkStart w:id="16" w:name="Bookmark_I68C5JP42D6NWH0010000400"/>
      <w:bookmarkEnd w:id="16"/>
      <w:hyperlink r:id="rId12" w:history="1">
        <w:r>
          <w:rPr>
            <w:rFonts w:ascii="arial" w:eastAsia="arial" w:hAnsi="arial" w:cs="arial"/>
            <w:b w:val="0"/>
            <w:i/>
            <w:strike w:val="0"/>
            <w:noProof w:val="0"/>
            <w:color w:val="0077CC"/>
            <w:position w:val="0"/>
            <w:sz w:val="20"/>
            <w:u w:val="single"/>
            <w:vertAlign w:val="baseline"/>
          </w:rPr>
          <w:t>United States v. Suarez</w:t>
        </w:r>
      </w:hyperlink>
      <w:hyperlink r:id="rId12" w:history="1">
        <w:r>
          <w:rPr>
            <w:rFonts w:ascii="arial" w:eastAsia="arial" w:hAnsi="arial" w:cs="arial"/>
            <w:b w:val="0"/>
            <w:i/>
            <w:strike w:val="0"/>
            <w:noProof w:val="0"/>
            <w:color w:val="0077CC"/>
            <w:position w:val="0"/>
            <w:sz w:val="20"/>
            <w:u w:val="single"/>
            <w:vertAlign w:val="baseline"/>
          </w:rPr>
          <w:t>, 879 F.3d 626, 630 (5th Cir. 2018)</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Fed. R. Crim. P. 29</w:t>
        </w:r>
      </w:hyperlink>
      <w:r>
        <w:rPr>
          <w:rFonts w:ascii="arial" w:eastAsia="arial" w:hAnsi="arial" w:cs="arial"/>
          <w:b w:val="0"/>
          <w:i w:val="0"/>
          <w:strike w:val="0"/>
          <w:noProof w:val="0"/>
          <w:color w:val="000000"/>
          <w:position w:val="0"/>
          <w:sz w:val="20"/>
          <w:u w:val="none"/>
          <w:vertAlign w:val="baseline"/>
        </w:rPr>
        <w:t xml:space="preserve">. </w:t>
      </w:r>
      <w:bookmarkStart w:id="17" w:name="Bookmark_I68C5JP52N1R1T0030000400"/>
      <w:bookmarkEnd w:id="17"/>
      <w:r>
        <w:rPr>
          <w:rFonts w:ascii="arial" w:eastAsia="arial" w:hAnsi="arial" w:cs="arial"/>
          <w:b w:val="0"/>
          <w:i w:val="0"/>
          <w:strike w:val="0"/>
          <w:noProof w:val="0"/>
          <w:color w:val="000000"/>
          <w:position w:val="0"/>
          <w:sz w:val="20"/>
          <w:u w:val="none"/>
          <w:vertAlign w:val="baseline"/>
        </w:rPr>
        <w:t xml:space="preserve">On de novo review, we determine whether "after viewing the evidence and all reasonable inferences in the light most favorable to the [Government],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rational trier of fact could have found the essential elements of the crime beyond a reasonable doubt." </w:t>
      </w:r>
      <w:bookmarkStart w:id="18" w:name="Bookmark_I68C5JP42D6NWH0030000400"/>
      <w:bookmarkEnd w:id="18"/>
      <w:hyperlink r:id="rId14" w:history="1">
        <w:r>
          <w:rPr>
            <w:rFonts w:ascii="arial" w:eastAsia="arial" w:hAnsi="arial" w:cs="arial"/>
            <w:b w:val="0"/>
            <w:i/>
            <w:strike w:val="0"/>
            <w:noProof w:val="0"/>
            <w:color w:val="0077CC"/>
            <w:position w:val="0"/>
            <w:sz w:val="20"/>
            <w:u w:val="single"/>
            <w:vertAlign w:val="baseline"/>
          </w:rPr>
          <w:t>United States v. Vargas-Ocampo</w:t>
        </w:r>
      </w:hyperlink>
      <w:hyperlink r:id="rId14" w:history="1">
        <w:r>
          <w:rPr>
            <w:rFonts w:ascii="arial" w:eastAsia="arial" w:hAnsi="arial" w:cs="arial"/>
            <w:b w:val="0"/>
            <w:i/>
            <w:strike w:val="0"/>
            <w:noProof w:val="0"/>
            <w:color w:val="0077CC"/>
            <w:position w:val="0"/>
            <w:sz w:val="20"/>
            <w:u w:val="single"/>
            <w:vertAlign w:val="baseline"/>
          </w:rPr>
          <w:t>, 747 F.3d 299, 301 (5th Cir. 2014)</w:t>
        </w:r>
      </w:hyperlink>
      <w:r>
        <w:rPr>
          <w:rFonts w:ascii="arial" w:eastAsia="arial" w:hAnsi="arial" w:cs="arial"/>
          <w:b w:val="0"/>
          <w:i w:val="0"/>
          <w:strike w:val="0"/>
          <w:noProof w:val="0"/>
          <w:color w:val="000000"/>
          <w:position w:val="0"/>
          <w:sz w:val="20"/>
          <w:u w:val="none"/>
          <w:vertAlign w:val="baseline"/>
        </w:rPr>
        <w:t xml:space="preserve"> (en banc) (citing </w:t>
      </w:r>
      <w:bookmarkStart w:id="19" w:name="Bookmark_I68C5JP42D6NWH0050000400"/>
      <w:bookmarkEnd w:id="19"/>
      <w:hyperlink r:id="rId15" w:history="1">
        <w:r>
          <w:rPr>
            <w:rFonts w:ascii="arial" w:eastAsia="arial" w:hAnsi="arial" w:cs="arial"/>
            <w:b w:val="0"/>
            <w:i/>
            <w:strike w:val="0"/>
            <w:noProof w:val="0"/>
            <w:color w:val="0077CC"/>
            <w:position w:val="0"/>
            <w:sz w:val="20"/>
            <w:u w:val="single"/>
            <w:vertAlign w:val="baseline"/>
          </w:rPr>
          <w:t>Jackson v. Virginia</w:t>
        </w:r>
      </w:hyperlink>
      <w:hyperlink r:id="rId15"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(emphasis in original). </w:t>
      </w:r>
      <w:bookmarkStart w:id="20" w:name="Bookmark_I68C5JP52N1R1T0030000400_2"/>
      <w:bookmarkEnd w:id="20"/>
      <w:r>
        <w:rPr>
          <w:rFonts w:ascii="arial" w:eastAsia="arial" w:hAnsi="arial" w:cs="arial"/>
          <w:b w:val="0"/>
          <w:i w:val="0"/>
          <w:strike w:val="0"/>
          <w:noProof w:val="0"/>
          <w:color w:val="000000"/>
          <w:position w:val="0"/>
          <w:sz w:val="20"/>
          <w:u w:val="none"/>
          <w:vertAlign w:val="baseline"/>
        </w:rPr>
        <w:t xml:space="preserve">The question on appeal is not whether the jury's verdict was correct but whether it was rational. </w:t>
      </w:r>
      <w:bookmarkStart w:id="21" w:name="Bookmark_I68C5JP52N1R1T0020000400"/>
      <w:bookmarkEnd w:id="21"/>
      <w:hyperlink r:id="rId16" w:history="1">
        <w:r>
          <w:rPr>
            <w:rFonts w:ascii="arial" w:eastAsia="arial" w:hAnsi="arial" w:cs="arial"/>
            <w:b w:val="0"/>
            <w:i/>
            <w:strike w:val="0"/>
            <w:noProof w:val="0"/>
            <w:color w:val="0077CC"/>
            <w:position w:val="0"/>
            <w:sz w:val="20"/>
            <w:u w:val="single"/>
            <w:vertAlign w:val="baseline"/>
          </w:rPr>
          <w:t>United States v. Lopez-Urbina</w:t>
        </w:r>
      </w:hyperlink>
      <w:hyperlink r:id="rId16" w:history="1">
        <w:r>
          <w:rPr>
            <w:rFonts w:ascii="arial" w:eastAsia="arial" w:hAnsi="arial" w:cs="arial"/>
            <w:b w:val="0"/>
            <w:i/>
            <w:strike w:val="0"/>
            <w:noProof w:val="0"/>
            <w:color w:val="0077CC"/>
            <w:position w:val="0"/>
            <w:sz w:val="20"/>
            <w:u w:val="single"/>
            <w:vertAlign w:val="baseline"/>
          </w:rPr>
          <w:t>, 434 F.3d 750, 757 (5th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 w:name="Bookmark_para_6"/>
      <w:bookmarkEnd w:id="22"/>
      <w:bookmarkStart w:id="23" w:name="Bookmark_I68C5JP52N1R1T0050000400"/>
      <w:bookmarkEnd w:id="23"/>
      <w:r>
        <w:rPr>
          <w:rFonts w:ascii="arial" w:eastAsia="arial" w:hAnsi="arial" w:cs="arial"/>
          <w:b w:val="0"/>
          <w:i w:val="0"/>
          <w:strike w:val="0"/>
          <w:noProof w:val="0"/>
          <w:color w:val="000000"/>
          <w:position w:val="0"/>
          <w:sz w:val="20"/>
          <w:u w:val="none"/>
          <w:vertAlign w:val="baseline"/>
        </w:rPr>
        <w:t>The jury's verdict was rational. There was testimony by an eyewitness, corroborated by cellphone video, that Jefferson spoke with a driver who dropped off an alien who then boarded the trailer; testimony by a witness that he and Jefferson were recruited by the same individual to transport illegal aliens; and testimony by one of the aliens found on the trailer that he was brought to the trailer by smugglers and witnessed Jefferson close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trailer door. From this evidence, the jury could have reasonably inferred that Jefferson knowingly agreed, either expressly or tacitly, with one or more other people to transport illegal aliens within the United States</w:t>
      </w:r>
      <w:r>
        <w:rPr>
          <w:rFonts w:ascii="arial" w:eastAsia="arial" w:hAnsi="arial" w:cs="arial"/>
          <w:b w:val="0"/>
          <w:i/>
          <w:strike w:val="0"/>
          <w:noProof w:val="0"/>
          <w:color w:val="000000"/>
          <w:position w:val="0"/>
          <w:sz w:val="20"/>
          <w:u w:val="none"/>
          <w:vertAlign w:val="baseline"/>
        </w:rPr>
        <w:t xml:space="preserve">. </w:t>
      </w:r>
      <w:bookmarkStart w:id="24" w:name="Bookmark_I68C5JP52HM6GP0020000400"/>
      <w:bookmarkEnd w:id="24"/>
      <w:r>
        <w:rPr>
          <w:rFonts w:ascii="arial" w:eastAsia="arial" w:hAnsi="arial" w:cs="arial"/>
          <w:b w:val="0"/>
          <w:i/>
          <w:strike w:val="0"/>
          <w:noProof w:val="0"/>
          <w:color w:val="000000"/>
          <w:position w:val="0"/>
          <w:sz w:val="20"/>
          <w:u w:val="none"/>
          <w:vertAlign w:val="baseline"/>
        </w:rPr>
        <w:t>See</w:t>
      </w:r>
      <w:bookmarkStart w:id="25" w:name="Bookmark_I68C5JP52HM6GP0020000400_2"/>
      <w:bookmarkEnd w:id="25"/>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1324(a)(1)(A)(v)(I)</w:t>
        </w:r>
      </w:hyperlink>
      <w:r>
        <w:rPr>
          <w:rFonts w:ascii="arial" w:eastAsia="arial" w:hAnsi="arial" w:cs="arial"/>
          <w:b w:val="0"/>
          <w:i w:val="0"/>
          <w:strike w:val="0"/>
          <w:noProof w:val="0"/>
          <w:color w:val="000000"/>
          <w:position w:val="0"/>
          <w:sz w:val="20"/>
          <w:u w:val="none"/>
          <w:vertAlign w:val="baseline"/>
        </w:rPr>
        <w:t xml:space="preserve">; </w:t>
      </w:r>
      <w:bookmarkStart w:id="26" w:name="Bookmark_I68C5JP52N1R1T0040000400"/>
      <w:bookmarkEnd w:id="26"/>
      <w:hyperlink r:id="rId14" w:history="1">
        <w:r>
          <w:rPr>
            <w:rFonts w:ascii="arial" w:eastAsia="arial" w:hAnsi="arial" w:cs="arial"/>
            <w:b w:val="0"/>
            <w:i/>
            <w:strike w:val="0"/>
            <w:noProof w:val="0"/>
            <w:color w:val="0077CC"/>
            <w:position w:val="0"/>
            <w:sz w:val="20"/>
            <w:u w:val="single"/>
            <w:vertAlign w:val="baseline"/>
          </w:rPr>
          <w:t>Vargas-Ocampo</w:t>
        </w:r>
      </w:hyperlink>
      <w:hyperlink r:id="rId14" w:history="1">
        <w:r>
          <w:rPr>
            <w:rFonts w:ascii="arial" w:eastAsia="arial" w:hAnsi="arial" w:cs="arial"/>
            <w:b w:val="0"/>
            <w:i/>
            <w:strike w:val="0"/>
            <w:noProof w:val="0"/>
            <w:color w:val="0077CC"/>
            <w:position w:val="0"/>
            <w:sz w:val="20"/>
            <w:u w:val="single"/>
            <w:vertAlign w:val="baseline"/>
          </w:rPr>
          <w:t>, 747 F.3d at 301-02</w:t>
        </w:r>
      </w:hyperlink>
      <w:r>
        <w:rPr>
          <w:rFonts w:ascii="arial" w:eastAsia="arial" w:hAnsi="arial" w:cs="arial"/>
          <w:b w:val="0"/>
          <w:i w:val="0"/>
          <w:strike w:val="0"/>
          <w:noProof w:val="0"/>
          <w:color w:val="000000"/>
          <w:position w:val="0"/>
          <w:sz w:val="20"/>
          <w:u w:val="none"/>
          <w:vertAlign w:val="baseline"/>
        </w:rPr>
        <w:t xml:space="preserve">. </w:t>
      </w:r>
      <w:bookmarkStart w:id="27" w:name="Bookmark_I68C5JP52HM6GP0020000400_3"/>
      <w:bookmarkEnd w:id="27"/>
      <w:r>
        <w:rPr>
          <w:rFonts w:ascii="arial" w:eastAsia="arial" w:hAnsi="arial" w:cs="arial"/>
          <w:b w:val="0"/>
          <w:i w:val="0"/>
          <w:strike w:val="0"/>
          <w:noProof w:val="0"/>
          <w:color w:val="000000"/>
          <w:position w:val="0"/>
          <w:sz w:val="20"/>
          <w:u w:val="none"/>
          <w:vertAlign w:val="baseline"/>
        </w:rPr>
        <w:t xml:space="preserve">Jefferson's "presence, association, and concerted action with others" involved in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when viewed in the light most favorable to the Government, was sufficient to establish the conspiracy element. </w:t>
      </w:r>
      <w:bookmarkStart w:id="28" w:name="Bookmark_I68C5JP52HM6GP0010000400"/>
      <w:bookmarkEnd w:id="28"/>
      <w:hyperlink r:id="rId17" w:history="1">
        <w:r>
          <w:rPr>
            <w:rFonts w:ascii="arial" w:eastAsia="arial" w:hAnsi="arial" w:cs="arial"/>
            <w:b w:val="0"/>
            <w:i/>
            <w:strike w:val="0"/>
            <w:noProof w:val="0"/>
            <w:color w:val="0077CC"/>
            <w:position w:val="0"/>
            <w:sz w:val="20"/>
            <w:u w:val="single"/>
            <w:vertAlign w:val="baseline"/>
          </w:rPr>
          <w:t>United States v. Jimenez-Elvirez</w:t>
        </w:r>
      </w:hyperlink>
      <w:hyperlink r:id="rId17" w:history="1">
        <w:r>
          <w:rPr>
            <w:rFonts w:ascii="arial" w:eastAsia="arial" w:hAnsi="arial" w:cs="arial"/>
            <w:b w:val="0"/>
            <w:i/>
            <w:strike w:val="0"/>
            <w:noProof w:val="0"/>
            <w:color w:val="0077CC"/>
            <w:position w:val="0"/>
            <w:sz w:val="20"/>
            <w:u w:val="single"/>
            <w:vertAlign w:val="baseline"/>
          </w:rPr>
          <w:t>, 862 F.3d 527, 533-34 (5th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7"/>
      <w:bookmarkEnd w:id="29"/>
      <w:bookmarkStart w:id="30" w:name="Bookmark_I68C5JP52HM6GP0040000400"/>
      <w:bookmarkEnd w:id="30"/>
      <w:r>
        <w:rPr>
          <w:rFonts w:ascii="arial" w:eastAsia="arial" w:hAnsi="arial" w:cs="arial"/>
          <w:b w:val="0"/>
          <w:i w:val="0"/>
          <w:strike w:val="0"/>
          <w:noProof w:val="0"/>
          <w:color w:val="000000"/>
          <w:position w:val="0"/>
          <w:sz w:val="20"/>
          <w:u w:val="none"/>
          <w:vertAlign w:val="baseline"/>
        </w:rPr>
        <w:t xml:space="preserve">As for Jefferson's challenge to the admission of certain extrinsic evidence—testimony by a Border Patrol Agent regarding a September 19, 2020, incident, during which the agent found 11 undocumented aliens hiding in the trailer compartment of a truck, and Jefferson present in the cab compartment of the same truck—we review the district court's evidentiary ruling for abuse of discretion, subject to harmless-error analysis. </w:t>
      </w:r>
      <w:bookmarkStart w:id="31" w:name="Bookmark_I68C5JP52N1R210010000400"/>
      <w:bookmarkEnd w:id="31"/>
      <w:r>
        <w:rPr>
          <w:rFonts w:ascii="arial" w:eastAsia="arial" w:hAnsi="arial" w:cs="arial"/>
          <w:b w:val="0"/>
          <w:i/>
          <w:strike w:val="0"/>
          <w:noProof w:val="0"/>
          <w:color w:val="000000"/>
          <w:position w:val="0"/>
          <w:sz w:val="20"/>
          <w:u w:val="none"/>
          <w:vertAlign w:val="baseline"/>
        </w:rPr>
        <w:t xml:space="preserve">See </w:t>
      </w:r>
      <w:bookmarkStart w:id="32" w:name="Bookmark_I68C5JP52HM6GP0030000400"/>
      <w:bookmarkEnd w:id="32"/>
      <w:hyperlink r:id="rId18" w:history="1">
        <w:r>
          <w:rPr>
            <w:rFonts w:ascii="arial" w:eastAsia="arial" w:hAnsi="arial" w:cs="arial"/>
            <w:b w:val="0"/>
            <w:i/>
            <w:strike w:val="0"/>
            <w:noProof w:val="0"/>
            <w:color w:val="0077CC"/>
            <w:position w:val="0"/>
            <w:sz w:val="20"/>
            <w:u w:val="single"/>
            <w:vertAlign w:val="baseline"/>
          </w:rPr>
          <w:t>United States v. Girod</w:t>
        </w:r>
      </w:hyperlink>
      <w:hyperlink r:id="rId18" w:history="1">
        <w:r>
          <w:rPr>
            <w:rFonts w:ascii="arial" w:eastAsia="arial" w:hAnsi="arial" w:cs="arial"/>
            <w:b w:val="0"/>
            <w:i/>
            <w:strike w:val="0"/>
            <w:noProof w:val="0"/>
            <w:color w:val="0077CC"/>
            <w:position w:val="0"/>
            <w:sz w:val="20"/>
            <w:u w:val="single"/>
            <w:vertAlign w:val="baseline"/>
          </w:rPr>
          <w:t>, 646 F.3d 304, 318 (5th Cir. 2011)</w:t>
        </w:r>
      </w:hyperlink>
      <w:r>
        <w:rPr>
          <w:rFonts w:ascii="arial" w:eastAsia="arial" w:hAnsi="arial" w:cs="arial"/>
          <w:b w:val="0"/>
          <w:i w:val="0"/>
          <w:strike w:val="0"/>
          <w:noProof w:val="0"/>
          <w:color w:val="000000"/>
          <w:position w:val="0"/>
          <w:sz w:val="20"/>
          <w:u w:val="none"/>
          <w:vertAlign w:val="baseline"/>
        </w:rPr>
        <w:t xml:space="preserve">. </w:t>
      </w:r>
      <w:bookmarkStart w:id="33" w:name="Bookmark_I68C5JP52N1R210030000400"/>
      <w:bookmarkEnd w:id="33"/>
      <w:r>
        <w:rPr>
          <w:rFonts w:ascii="arial" w:eastAsia="arial" w:hAnsi="arial" w:cs="arial"/>
          <w:b w:val="0"/>
          <w:i w:val="0"/>
          <w:strike w:val="0"/>
          <w:noProof w:val="0"/>
          <w:color w:val="000000"/>
          <w:position w:val="0"/>
          <w:sz w:val="20"/>
          <w:u w:val="none"/>
          <w:vertAlign w:val="baseline"/>
        </w:rPr>
        <w:t xml:space="preserve">Evidence of extrinsic acts is admissible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only if it is relevant to an issue other than the defendant's character and it possesses probative value that is not substantially outweighed by undue prejudice. </w:t>
      </w:r>
      <w:bookmarkStart w:id="34" w:name="Bookmark_I68C5JP52N1R210030000400_2"/>
      <w:bookmarkEnd w:id="34"/>
      <w:bookmarkStart w:id="35" w:name="Bookmark_I68C5JP52N1R210010000400_2"/>
      <w:bookmarkEnd w:id="35"/>
      <w:r>
        <w:rPr>
          <w:rFonts w:ascii="arial" w:eastAsia="arial" w:hAnsi="arial" w:cs="arial"/>
          <w:b w:val="0"/>
          <w:i/>
          <w:strike w:val="0"/>
          <w:noProof w:val="0"/>
          <w:color w:val="000000"/>
          <w:position w:val="0"/>
          <w:sz w:val="20"/>
          <w:u w:val="none"/>
          <w:vertAlign w:val="baseline"/>
        </w:rPr>
        <w:t xml:space="preserve">See </w:t>
      </w:r>
      <w:bookmarkStart w:id="36" w:name="Bookmark_I68C5JP52HM6GP0050000400"/>
      <w:bookmarkEnd w:id="36"/>
      <w:hyperlink r:id="rId19" w:history="1">
        <w:r>
          <w:rPr>
            <w:rFonts w:ascii="arial" w:eastAsia="arial" w:hAnsi="arial" w:cs="arial"/>
            <w:b w:val="0"/>
            <w:i/>
            <w:strike w:val="0"/>
            <w:noProof w:val="0"/>
            <w:color w:val="0077CC"/>
            <w:position w:val="0"/>
            <w:sz w:val="20"/>
            <w:u w:val="single"/>
            <w:vertAlign w:val="baseline"/>
          </w:rPr>
          <w:t>United States v. Beechum</w:t>
        </w:r>
      </w:hyperlink>
      <w:hyperlink r:id="rId19" w:history="1">
        <w:r>
          <w:rPr>
            <w:rFonts w:ascii="arial" w:eastAsia="arial" w:hAnsi="arial" w:cs="arial"/>
            <w:b w:val="0"/>
            <w:i/>
            <w:strike w:val="0"/>
            <w:noProof w:val="0"/>
            <w:color w:val="0077CC"/>
            <w:position w:val="0"/>
            <w:sz w:val="20"/>
            <w:u w:val="single"/>
            <w:vertAlign w:val="baseline"/>
          </w:rPr>
          <w:t>, 582 F.2d 898, 911 (5th Cir. 1978)</w:t>
        </w:r>
      </w:hyperlink>
      <w:r>
        <w:rPr>
          <w:rFonts w:ascii="arial" w:eastAsia="arial" w:hAnsi="arial" w:cs="arial"/>
          <w:b w:val="0"/>
          <w:i w:val="0"/>
          <w:strike w:val="0"/>
          <w:noProof w:val="0"/>
          <w:color w:val="000000"/>
          <w:position w:val="0"/>
          <w:sz w:val="20"/>
          <w:u w:val="none"/>
          <w:vertAlign w:val="baseline"/>
        </w:rPr>
        <w:t xml:space="preserve"> (en banc); </w:t>
      </w:r>
      <w:hyperlink r:id="rId11" w:history="1">
        <w:r>
          <w:rPr>
            <w:rFonts w:ascii="arial" w:eastAsia="arial" w:hAnsi="arial" w:cs="arial"/>
            <w:b w:val="0"/>
            <w:i/>
            <w:strike w:val="0"/>
            <w:noProof w:val="0"/>
            <w:color w:val="0077CC"/>
            <w:position w:val="0"/>
            <w:sz w:val="20"/>
            <w:u w:val="single"/>
            <w:vertAlign w:val="baseline"/>
          </w:rPr>
          <w:t>Fed. R. Evid. 404(b)</w:t>
        </w:r>
      </w:hyperlink>
      <w:r>
        <w:rPr>
          <w:rFonts w:ascii="arial" w:eastAsia="arial" w:hAnsi="arial" w:cs="arial"/>
          <w:b w:val="0"/>
          <w:i w:val="0"/>
          <w:strike w:val="0"/>
          <w:noProof w:val="0"/>
          <w:color w:val="000000"/>
          <w:position w:val="0"/>
          <w:sz w:val="20"/>
          <w:u w:val="none"/>
          <w:vertAlign w:val="baseline"/>
        </w:rPr>
        <w:t>. However, as a threshold matter, because evidence of a prior bad act is only conditionally relevant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under </w:t>
      </w:r>
      <w:hyperlink r:id="rId20" w:history="1">
        <w:r>
          <w:rPr>
            <w:rFonts w:ascii="arial" w:eastAsia="arial" w:hAnsi="arial" w:cs="arial"/>
            <w:b w:val="0"/>
            <w:i/>
            <w:strike w:val="0"/>
            <w:noProof w:val="0"/>
            <w:color w:val="0077CC"/>
            <w:position w:val="0"/>
            <w:sz w:val="20"/>
            <w:u w:val="single"/>
            <w:vertAlign w:val="baseline"/>
          </w:rPr>
          <w:t>Federal Rule of Evidence 104(b)</w:t>
        </w:r>
      </w:hyperlink>
      <w:r>
        <w:rPr>
          <w:rFonts w:ascii="arial" w:eastAsia="arial" w:hAnsi="arial" w:cs="arial"/>
          <w:b w:val="0"/>
          <w:i w:val="0"/>
          <w:strike w:val="0"/>
          <w:noProof w:val="0"/>
          <w:color w:val="000000"/>
          <w:position w:val="0"/>
          <w:sz w:val="20"/>
          <w:u w:val="none"/>
          <w:vertAlign w:val="baseline"/>
        </w:rPr>
        <w:t xml:space="preserve">, we must first "ascertain whether the jury was presented with sufficient evidence that the putative bad act actually occurred." </w:t>
      </w:r>
      <w:bookmarkStart w:id="37" w:name="Bookmark_I68C5JP52N1R210020000400"/>
      <w:bookmarkEnd w:id="37"/>
      <w:hyperlink r:id="rId21" w:history="1">
        <w:r>
          <w:rPr>
            <w:rFonts w:ascii="arial" w:eastAsia="arial" w:hAnsi="arial" w:cs="arial"/>
            <w:b w:val="0"/>
            <w:i/>
            <w:strike w:val="0"/>
            <w:noProof w:val="0"/>
            <w:color w:val="0077CC"/>
            <w:position w:val="0"/>
            <w:sz w:val="20"/>
            <w:u w:val="single"/>
            <w:vertAlign w:val="baseline"/>
          </w:rPr>
          <w:t>United States v. Gutierrez-Mendez</w:t>
        </w:r>
      </w:hyperlink>
      <w:hyperlink r:id="rId21" w:history="1">
        <w:r>
          <w:rPr>
            <w:rFonts w:ascii="arial" w:eastAsia="arial" w:hAnsi="arial" w:cs="arial"/>
            <w:b w:val="0"/>
            <w:i/>
            <w:strike w:val="0"/>
            <w:noProof w:val="0"/>
            <w:color w:val="0077CC"/>
            <w:position w:val="0"/>
            <w:sz w:val="20"/>
            <w:u w:val="single"/>
            <w:vertAlign w:val="baseline"/>
          </w:rPr>
          <w:t>, 752 F.3d 418, 423 (5th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8"/>
      <w:bookmarkEnd w:id="38"/>
      <w:bookmarkStart w:id="39" w:name="Bookmark_I68C5JP52N1R210050000400"/>
      <w:bookmarkEnd w:id="39"/>
      <w:r>
        <w:rPr>
          <w:rFonts w:ascii="arial" w:eastAsia="arial" w:hAnsi="arial" w:cs="arial"/>
          <w:b w:val="0"/>
          <w:i w:val="0"/>
          <w:strike w:val="0"/>
          <w:noProof w:val="0"/>
          <w:color w:val="000000"/>
          <w:position w:val="0"/>
          <w:sz w:val="20"/>
          <w:u w:val="none"/>
          <w:vertAlign w:val="baseline"/>
        </w:rPr>
        <w:t xml:space="preserve">Jefferson challenges the relevancy of the evidence under </w:t>
      </w:r>
      <w:hyperlink r:id="rId20" w:history="1">
        <w:r>
          <w:rPr>
            <w:rFonts w:ascii="arial" w:eastAsia="arial" w:hAnsi="arial" w:cs="arial"/>
            <w:b w:val="0"/>
            <w:i/>
            <w:strike w:val="0"/>
            <w:noProof w:val="0"/>
            <w:color w:val="0077CC"/>
            <w:position w:val="0"/>
            <w:sz w:val="20"/>
            <w:u w:val="single"/>
            <w:vertAlign w:val="baseline"/>
          </w:rPr>
          <w:t>Federal Rule of Evidence 104(b)</w:t>
        </w:r>
      </w:hyperlink>
      <w:r>
        <w:rPr>
          <w:rFonts w:ascii="arial" w:eastAsia="arial" w:hAnsi="arial" w:cs="arial"/>
          <w:b w:val="0"/>
          <w:i w:val="0"/>
          <w:strike w:val="0"/>
          <w:noProof w:val="0"/>
          <w:color w:val="000000"/>
          <w:position w:val="0"/>
          <w:sz w:val="20"/>
          <w:u w:val="none"/>
          <w:vertAlign w:val="baseline"/>
        </w:rPr>
        <w:t xml:space="preserve">, without addressing the relevancy of the evidence under </w:t>
      </w:r>
      <w:hyperlink r:id="rId11"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Even assuming that the evidence was erroneously admitted, given that there is ample evidence supporting Jefferson's guilt and that the error does not appear to have substantially influenced the jury's verdict, any error was harmless. </w:t>
      </w:r>
      <w:r>
        <w:rPr>
          <w:rFonts w:ascii="arial" w:eastAsia="arial" w:hAnsi="arial" w:cs="arial"/>
          <w:b w:val="0"/>
          <w:i/>
          <w:strike w:val="0"/>
          <w:noProof w:val="0"/>
          <w:color w:val="000000"/>
          <w:position w:val="0"/>
          <w:sz w:val="20"/>
          <w:u w:val="none"/>
          <w:vertAlign w:val="baseline"/>
        </w:rPr>
        <w:t xml:space="preserve">See </w:t>
      </w:r>
      <w:bookmarkStart w:id="40" w:name="Bookmark_I68C5JP52N1R210040000400"/>
      <w:bookmarkEnd w:id="40"/>
      <w:hyperlink r:id="rId22" w:history="1">
        <w:r>
          <w:rPr>
            <w:rFonts w:ascii="arial" w:eastAsia="arial" w:hAnsi="arial" w:cs="arial"/>
            <w:b w:val="0"/>
            <w:i/>
            <w:strike w:val="0"/>
            <w:noProof w:val="0"/>
            <w:color w:val="0077CC"/>
            <w:position w:val="0"/>
            <w:sz w:val="20"/>
            <w:u w:val="single"/>
            <w:vertAlign w:val="baseline"/>
          </w:rPr>
          <w:t>United States v. Flores</w:t>
        </w:r>
      </w:hyperlink>
      <w:hyperlink r:id="rId22" w:history="1">
        <w:r>
          <w:rPr>
            <w:rFonts w:ascii="arial" w:eastAsia="arial" w:hAnsi="arial" w:cs="arial"/>
            <w:b w:val="0"/>
            <w:i/>
            <w:strike w:val="0"/>
            <w:noProof w:val="0"/>
            <w:color w:val="0077CC"/>
            <w:position w:val="0"/>
            <w:sz w:val="20"/>
            <w:u w:val="single"/>
            <w:vertAlign w:val="baseline"/>
          </w:rPr>
          <w:t>, 640 F.3d 638, 643 (5th Cir. 2011)</w:t>
        </w:r>
      </w:hyperlink>
      <w:r>
        <w:rPr>
          <w:rFonts w:ascii="arial" w:eastAsia="arial" w:hAnsi="arial" w:cs="arial"/>
          <w:b w:val="0"/>
          <w:i w:val="0"/>
          <w:strike w:val="0"/>
          <w:noProof w:val="0"/>
          <w:color w:val="000000"/>
          <w:position w:val="0"/>
          <w:sz w:val="20"/>
          <w:u w:val="none"/>
          <w:vertAlign w:val="baseline"/>
        </w:rPr>
        <w:t xml:space="preserve">; </w:t>
      </w:r>
      <w:bookmarkStart w:id="41" w:name="Bookmark_I68C5JP62SF88F0010000400"/>
      <w:bookmarkEnd w:id="41"/>
      <w:hyperlink r:id="rId18" w:history="1">
        <w:r>
          <w:rPr>
            <w:rFonts w:ascii="arial" w:eastAsia="arial" w:hAnsi="arial" w:cs="arial"/>
            <w:b w:val="0"/>
            <w:i/>
            <w:strike w:val="0"/>
            <w:noProof w:val="0"/>
            <w:color w:val="0077CC"/>
            <w:position w:val="0"/>
            <w:sz w:val="20"/>
            <w:u w:val="single"/>
            <w:vertAlign w:val="baseline"/>
          </w:rPr>
          <w:t>United States v. Girod</w:t>
        </w:r>
      </w:hyperlink>
      <w:hyperlink r:id="rId18" w:history="1">
        <w:r>
          <w:rPr>
            <w:rFonts w:ascii="arial" w:eastAsia="arial" w:hAnsi="arial" w:cs="arial"/>
            <w:b w:val="0"/>
            <w:i/>
            <w:strike w:val="0"/>
            <w:noProof w:val="0"/>
            <w:color w:val="0077CC"/>
            <w:position w:val="0"/>
            <w:sz w:val="20"/>
            <w:u w:val="single"/>
            <w:vertAlign w:val="baseline"/>
          </w:rPr>
          <w:t>, 646 F.3d 304, 318 (5th Cir. 2011)</w:t>
        </w:r>
      </w:hyperlink>
      <w:r>
        <w:rPr>
          <w:rFonts w:ascii="arial" w:eastAsia="arial" w:hAnsi="arial" w:cs="arial"/>
          <w:b w:val="0"/>
          <w:i w:val="0"/>
          <w:strike w:val="0"/>
          <w:noProof w:val="0"/>
          <w:color w:val="000000"/>
          <w:position w:val="0"/>
          <w:sz w:val="20"/>
          <w:u w:val="none"/>
          <w:vertAlign w:val="baseline"/>
        </w:rPr>
        <w:t>. The judgment of the district court is 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5th Cir. R. 47.5.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Jefferson, 2023 U.S. App. LEXIS 13003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statutes-legislation&amp;id=urn:contentItem:6182-R703-GXJ9-32BN-00000-00&amp;context=1519360" TargetMode="External" /><Relationship Id="rId12" Type="http://schemas.openxmlformats.org/officeDocument/2006/relationships/hyperlink" Target="https://advance.lexis.com/api/document?collection=cases&amp;id=urn:contentItem:5RD1-CND1-F04K-N43H-00000-00&amp;context=1519360" TargetMode="External" /><Relationship Id="rId13" Type="http://schemas.openxmlformats.org/officeDocument/2006/relationships/hyperlink" Target="https://advance.lexis.com/api/document?collection=statutes-legislation&amp;id=urn:contentItem:5GYC-2731-FG36-13WD-00000-00&amp;context=1519360" TargetMode="External" /><Relationship Id="rId14" Type="http://schemas.openxmlformats.org/officeDocument/2006/relationships/hyperlink" Target="https://advance.lexis.com/api/document?collection=cases&amp;id=urn:contentItem:5BV4-J3H1-F04K-N017-00000-00&amp;context=1519360" TargetMode="External" /><Relationship Id="rId15" Type="http://schemas.openxmlformats.org/officeDocument/2006/relationships/hyperlink" Target="https://advance.lexis.com/api/document?collection=cases&amp;id=urn:contentItem:3S4X-8100-003B-S11K-00000-00&amp;context=1519360" TargetMode="External" /><Relationship Id="rId16" Type="http://schemas.openxmlformats.org/officeDocument/2006/relationships/hyperlink" Target="https://advance.lexis.com/api/document?collection=cases&amp;id=urn:contentItem:4GWC-YKX0-0038-X22X-00000-00&amp;context=1519360" TargetMode="External" /><Relationship Id="rId17" Type="http://schemas.openxmlformats.org/officeDocument/2006/relationships/hyperlink" Target="https://advance.lexis.com/api/document?collection=cases&amp;id=urn:contentItem:5P0F-GTC1-F04K-N1WG-00000-00&amp;context=1519360" TargetMode="External" /><Relationship Id="rId18" Type="http://schemas.openxmlformats.org/officeDocument/2006/relationships/hyperlink" Target="https://advance.lexis.com/api/document?collection=cases&amp;id=urn:contentItem:82P5-W5X1-652R-315S-00000-00&amp;context=1519360" TargetMode="External" /><Relationship Id="rId19" Type="http://schemas.openxmlformats.org/officeDocument/2006/relationships/hyperlink" Target="https://advance.lexis.com/api/document?collection=cases&amp;id=urn:contentItem:3S4W-X7Y0-0039-M2W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991-FG36-11WJ-00000-00&amp;context=1519360" TargetMode="External" /><Relationship Id="rId21" Type="http://schemas.openxmlformats.org/officeDocument/2006/relationships/hyperlink" Target="https://advance.lexis.com/api/document?collection=cases&amp;id=urn:contentItem:5C65-5PJ1-F04K-N04C-00000-00&amp;context=1519360" TargetMode="External" /><Relationship Id="rId22" Type="http://schemas.openxmlformats.org/officeDocument/2006/relationships/hyperlink" Target="https://advance.lexis.com/api/document?collection=cases&amp;id=urn:contentItem:52SN-4J91-F04K-N094-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W-PHT1-F4GK-M45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Jefferson, 2023 U.S. App. LEXIS 13003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urn:user:PA186186283</vt:lpwstr>
  </property>
</Properties>
</file>