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Otero-Guevara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Decided; July 24,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23-20218-CR-ALTMAN/REID</w:t>
      </w:r>
    </w:p>
    <w:p>
      <w:pPr>
        <w:keepNext w:val="0"/>
        <w:spacing w:after="0" w:line="240" w:lineRule="atLeast"/>
        <w:ind w:right="0"/>
        <w:jc w:val="both"/>
      </w:pPr>
      <w:bookmarkStart w:id="0" w:name="Bookmark_8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128756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JUAN DAVID OTERO-GUEVARA,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change of plea, district judge, guilty plea, RECOMMENDATION, sentencing, plea agreement, proceedings, assigned, maximum, term of imprisonment, sentencing hearing, supervised release, entry of the plea, fully understand, charged offense, factual basis, mental health, plea colloquy, adjudicated, addiction, inquired, proffer, reasons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Juan David Otero-Guevara, 07886-506, YOB: 2001 SPANISH, Defendant: Chad Piotrowski, Law Offices of Chad Piotrowski,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Audrey Pence Tomanelli, LEAD ATTORNEY, US Attorney's Office, Miami, FL; Daren Grove, United States Attorney's Office, Miami,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LISETTE M. REID,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LISETTE M. REID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ON CHANGE OF PLEA</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matter is before the Court upon the Honorable Roy K. Altman's Order of Referral [ECF No. 15], to conduct a Change of Plea Hearing for Defendant Juan David Otero-Guevara in this case. The Court having conducted the Change of Plea Hearing on July 21, 2023, to determine whether Defendant has knowingly and voluntarily entered a guilty plea,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Defendant's change of plea be accepted for the following reasons:</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1. The Court convened a hearing to permit Defendant to enter a change of plea. At the outset of the hearing, Defendant was advised of his right to have these proceedings conducted by the district judge assigned to his case. Additionally, it was explained that the district judge assigned to this case would be the sentencing judge and conduct the sentencing hearing, and would make all findings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rulings concerning Defendant's sentence, and decide whether to accept the Government's recommendations as to sentencing.</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2. Defendant was informed that he did not have to permit a federal magistrate judge to conduct the Change of Plea Hearing and could request that the Change of Plea Hearing be conducted by the district judge assigned to the case. Defendant, his attorney, and the Government all consented on the record to the Undersigned conducting the hearing.</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3. Further, the Undersigned inquired into whether Defendant had ever been treated for mental health or addiction issues, and whether he was under the influence of any prescribed or proscribed substances at the time of the Hearing. He denied any mental health or addiction issues and stated he was able to fully understand the proceedings. Based on Defendant's responses to these inquires, the Court determined Defendant was competent and able to fully understand the proceedings.</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4. The Court conducted a plea colloquy in accordance with </w:t>
      </w:r>
      <w:hyperlink r:id="rId9" w:history="1">
        <w:r>
          <w:rPr>
            <w:rFonts w:ascii="arial" w:eastAsia="arial" w:hAnsi="arial" w:cs="arial"/>
            <w:b w:val="0"/>
            <w:i/>
            <w:strike w:val="0"/>
            <w:noProof w:val="0"/>
            <w:color w:val="0077CC"/>
            <w:position w:val="0"/>
            <w:sz w:val="20"/>
            <w:u w:val="single"/>
            <w:vertAlign w:val="baseline"/>
          </w:rPr>
          <w:t>Fed. R. Crim. P. 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5. The parties entered into a written plea agreement in this case. The Undersigned reviewed the plea agreement on the record and the Defendant acknowledged on the record that he had signed and understood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it. Defendant pleaded guilty to the Indictment, which charges him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in violation of </w:t>
      </w:r>
      <w:hyperlink r:id="rId10"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6. The Court ensured that Defendant understood the terms of the plea agreement and that the plea agreement represented, in its entirety, the understanding Defendant has with the Government.</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7. The Government stated on the record a factual basis for the entry of the plea that included all essential elements of the offense to which Defendant is pleading guilty and any sentencing enhancement and/or aggravating factors that may be applicable. Specifically, the Court reviewed with Defendant the Government's factual proffer, to assure that a factual basis for the entry of the plea exists. Defendant assented to the accuracy of the proffer and acknowledged his participation in the offense.</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8. Further, the Court reviewed with Defendant the possible minimum and maximum penalties for the charged offense. Defendant acknowledged that he understood these possible penalties. Defendant was further advised that the Court may impose a maximum term of imprisonment of twenty years, followed by a maximum term of three years' supervised release. The Court also advised Defendant that,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addition to a term of imprisonment and supervised release, the Court may also impose a fine of up to $250,000 and will impose a special assessment in the amount of $100.</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9. Defendant acknowledged that he had reviewed the Indictment, discussed the charge against him with his attorney, and was satisfied with the legal representation he received, and had a full opportunity to discuss the facts of the case with his attorney.</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10. Based upon the foregoing and the plea colloquy conducted by the Court, it is recommended that Defendant be found to have freely and voluntarily pleaded guilty as to the Indictment and that Defendant be adjudicated guilty of the offense charged.</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11. A pre-sentence investigation report is being prepared. Sentencing is set before District Judge Roy K. Altman.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 xml:space="preserve">For the foregoing reasons,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Defendant's guilty plea be accepted, Defendant be adjudicated guilty as to the charge set forth in the Indictment to which he has entered a plea of guilty, and that a sentencing hearing be conducted for final disposition of this matter.</w:t>
      </w:r>
    </w:p>
    <w:p>
      <w:pPr>
        <w:keepNext w:val="0"/>
        <w:spacing w:before="240" w:after="0" w:line="260" w:lineRule="atLeast"/>
        <w:ind w:left="0" w:right="0" w:firstLine="0"/>
        <w:jc w:val="both"/>
      </w:pPr>
      <w:bookmarkStart w:id="20" w:name="Bookmark_para_14"/>
      <w:bookmarkEnd w:id="20"/>
      <w:bookmarkStart w:id="21" w:name="Bookmark_I68V5SRD2D6NM20020000400"/>
      <w:bookmarkEnd w:id="21"/>
      <w:r>
        <w:rPr>
          <w:rFonts w:ascii="arial" w:eastAsia="arial" w:hAnsi="arial" w:cs="arial"/>
          <w:b w:val="0"/>
          <w:i w:val="0"/>
          <w:strike w:val="0"/>
          <w:noProof w:val="0"/>
          <w:color w:val="000000"/>
          <w:position w:val="0"/>
          <w:sz w:val="20"/>
          <w:u w:val="none"/>
          <w:vertAlign w:val="baseline"/>
        </w:rPr>
        <w:t xml:space="preserve">Objections to this Report may be filed with the district judge within </w:t>
      </w:r>
      <w:r>
        <w:rPr>
          <w:rFonts w:ascii="arial" w:eastAsia="arial" w:hAnsi="arial" w:cs="arial"/>
          <w:b/>
          <w:i w:val="0"/>
          <w:strike w:val="0"/>
          <w:noProof w:val="0"/>
          <w:color w:val="000000"/>
          <w:position w:val="0"/>
          <w:sz w:val="20"/>
          <w:u w:val="none"/>
          <w:vertAlign w:val="baseline"/>
        </w:rPr>
        <w:t>five</w:t>
      </w:r>
      <w:r>
        <w:rPr>
          <w:rFonts w:ascii="arial" w:eastAsia="arial" w:hAnsi="arial" w:cs="arial"/>
          <w:b w:val="0"/>
          <w:i w:val="0"/>
          <w:strike w:val="0"/>
          <w:noProof w:val="0"/>
          <w:color w:val="000000"/>
          <w:position w:val="0"/>
          <w:sz w:val="20"/>
          <w:u w:val="none"/>
          <w:vertAlign w:val="baseline"/>
        </w:rPr>
        <w:t xml:space="preserve"> (5) days of receipt of a copy of the Report.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Failure to timely file objections waives a party's right to review issues related to the Defendant's plea under </w:t>
      </w:r>
      <w:hyperlink r:id="rId9" w:history="1">
        <w:r>
          <w:rPr>
            <w:rFonts w:ascii="arial" w:eastAsia="arial" w:hAnsi="arial" w:cs="arial"/>
            <w:b w:val="0"/>
            <w:i/>
            <w:strike w:val="0"/>
            <w:noProof w:val="0"/>
            <w:color w:val="0077CC"/>
            <w:position w:val="0"/>
            <w:sz w:val="20"/>
            <w:u w:val="single"/>
            <w:vertAlign w:val="baseline"/>
          </w:rPr>
          <w:t>Fed. R. Crim. P. 11</w:t>
        </w:r>
      </w:hyperlink>
      <w:r>
        <w:rPr>
          <w:rFonts w:ascii="arial" w:eastAsia="arial" w:hAnsi="arial" w:cs="arial"/>
          <w:b w:val="0"/>
          <w:i w:val="0"/>
          <w:strike w:val="0"/>
          <w:noProof w:val="0"/>
          <w:color w:val="000000"/>
          <w:position w:val="0"/>
          <w:sz w:val="20"/>
          <w:u w:val="none"/>
          <w:vertAlign w:val="baseline"/>
        </w:rPr>
        <w:t xml:space="preserve"> before the District Judge or the Court of Appeals.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Crim. P. 59(b)(1)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xml:space="preserve">; </w:t>
      </w:r>
      <w:bookmarkStart w:id="22" w:name="Bookmark_I68V5SRD2D6NM20010000400"/>
      <w:bookmarkEnd w:id="22"/>
      <w:hyperlink r:id="rId13" w:history="1">
        <w:r>
          <w:rPr>
            <w:rFonts w:ascii="arial" w:eastAsia="arial" w:hAnsi="arial" w:cs="arial"/>
            <w:b w:val="0"/>
            <w:i/>
            <w:strike w:val="0"/>
            <w:noProof w:val="0"/>
            <w:color w:val="0077CC"/>
            <w:position w:val="0"/>
            <w:sz w:val="20"/>
            <w:u w:val="single"/>
            <w:vertAlign w:val="baseline"/>
          </w:rPr>
          <w:t>Harrigan v. Metro-Dade Police Dep't Station #4</w:t>
        </w:r>
      </w:hyperlink>
      <w:hyperlink r:id="rId13" w:history="1">
        <w:r>
          <w:rPr>
            <w:rFonts w:ascii="arial" w:eastAsia="arial" w:hAnsi="arial" w:cs="arial"/>
            <w:b w:val="0"/>
            <w:i/>
            <w:strike w:val="0"/>
            <w:noProof w:val="0"/>
            <w:color w:val="0077CC"/>
            <w:position w:val="0"/>
            <w:sz w:val="20"/>
            <w:u w:val="single"/>
            <w:vertAlign w:val="baseline"/>
          </w:rPr>
          <w:t>, 977 F.3d 1185, 1191-92 (11th Cir. 2020)</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5"/>
      <w:bookmarkEnd w:id="23"/>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this 21st day of July, 2023.</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/s/ Lisette M. Reid</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LISETTE M. REID</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Otero-Guevara, 2023 U.S. Dist. LEXIS 128756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42-D6RV-H00J-00000-00&amp;context=1519360" TargetMode="External" /><Relationship Id="rId11" Type="http://schemas.openxmlformats.org/officeDocument/2006/relationships/hyperlink" Target="https://advance.lexis.com/api/document?collection=statutes-legislation&amp;id=urn:contentItem:5GYC-2731-FG36-1402-00000-00&amp;context=1519360" TargetMode="External" /><Relationship Id="rId12" Type="http://schemas.openxmlformats.org/officeDocument/2006/relationships/hyperlink" Target="https://advance.lexis.com/api/document?collection=statutes-legislation&amp;id=urn:contentItem:5GYY-HS51-FG36-11F0-00000-00&amp;context=1519360" TargetMode="External" /><Relationship Id="rId13" Type="http://schemas.openxmlformats.org/officeDocument/2006/relationships/hyperlink" Target="https://advance.lexis.com/api/document?collection=cases&amp;id=urn:contentItem:612B-BK11-JSXV-G2Y4-00000-00&amp;context=1519360" TargetMode="External" /><Relationship Id="rId14" Type="http://schemas.openxmlformats.org/officeDocument/2006/relationships/hyperlink" Target="https://advance.lexis.com/api/document?collection=statutes-legislation&amp;id=urn:contentItem:8SG9-5HW2-D6RV-H0BK-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T0-WJT1-JGBH-B4JH-00000-00&amp;context=1519360" TargetMode="External" /><Relationship Id="rId9" Type="http://schemas.openxmlformats.org/officeDocument/2006/relationships/hyperlink" Target="https://advance.lexis.com/api/document?collection=statutes-legislation&amp;id=urn:contentItem:5GYC-2731-FG36-13T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Otero-Guevara, 2023 U.S. Dist. LEXIS 128756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Doc::urn:hlct:5|contextualFeaturePermID::1519360</vt:lpwstr>
  </property>
  <property fmtid="{D5CDD505-2E9C-101B-9397-08002B2CF9AE}" pid="5" name="UserPermID">
    <vt:lpwstr>urn:user:PA186186283</vt:lpwstr>
  </property>
</Properties>
</file>