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Whittington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Texas, Sherman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Decided; August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4:12-CR-208-SDJ-AGD</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153732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SCOTT TRAVIS WHITTINGTON (1)</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Sentence imposed by </w:t>
      </w:r>
      <w:hyperlink r:id="rId9" w:history="1">
        <w:r>
          <w:rPr>
            <w:rFonts w:ascii="arial" w:eastAsia="arial" w:hAnsi="arial" w:cs="arial"/>
            <w:b w:val="0"/>
            <w:i/>
            <w:strike w:val="0"/>
            <w:noProof w:val="0"/>
            <w:color w:val="0077CC"/>
            <w:position w:val="0"/>
            <w:sz w:val="20"/>
            <w:u w:val="single"/>
            <w:vertAlign w:val="baseline"/>
          </w:rPr>
          <w:t>United States v. Whittington, 2023 U.S. Dist. LEXIS 149670 (E.D. Tex., Aug. 24,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supervised release, firearms, probation officer, imprisonment, report and recommendation, possession of a firearm, serial number, allegations, supervision, conditions, recommends, sentenced, counts, rifles, term of imprisonment, months imprisonment, served concurrently, factual basis, weapons, barrel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Tracey M Batson, LEAD ATTORNEY, U.S. Attorney's Office, U S Dept of Justice, Plano, TX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AILEEN GOLDMAN DURRETT,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AILEEN GOLDMAN DURRETT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Now before the court is the request for revocation of Defendant Scott Travis Whittington's ("Defendant") supervised release. After the District Judge referred the matter to this court for a report and recommendation, the court conducted a hearing on July 6, 2023, to determine whether Defendant violated his supervised release. Defendant was represented by Brian O'Shea of the Federal Public Defender's Office. The Government was represented by Tracey M. Batson.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Defendant was sentenced on June 13, 2013, before The Honorable Richard A. Schell of the Eastern District of Texas after pleading guilty to Counts 1 through 3 of the Information as follows: Count 1: Receipt or Possession of an Unregistered Firearm; Count 2: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and Count 3: Embezzlement of Government Property. All three counts are Class C felonies. These offenses carried a statutory maximum imprisonment term of 10 years. The guideline imprisonment range,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based on a total offense level of 31 and a criminal history category of I, was 108 to 120 months. Defendant was subsequently sentenced to 120 months imprisonment on each of counts 1, 2, and 3, to be served concurrently, followed by a 3-year term of supervised release as to each count, also to be served concurrently, subject to the standard conditions of release, plus special conditions to include financial disclosure and $300.00 special assessment. On March 25, 2021, Defendant completed his period of imprisonment and began service of the supervision term. On April 27, 2022, this case was reassigned to The Honorable Sean D. Jordan, U.S. District Judge for the Eastern District of Texas.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June 30, 2023, the United States Probation Officer executed a Second Amended Petition for Warrant or Summons for Offender Under Supervision (Dkt. #47, Sealed). The Second Amended Petition asserts that Defendant violated three (3) conditions of supervision, as follows: (1) The defendant shall not commit another federal, state, or local crime; (2) The defendant shall work regularly at a lawful occupation, unless excused by the probation officer for schooling, training, or other acceptable reasons;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(3) The defendant shall notify the probation officer at least ten days prior to any change in residence or employment (Dkt. #47 at pp 1-3, Sealed).</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Second Amended Petition alleges that Defendant committed the following acts: (1) On April 26, 2022, United States Probation Officers Shruti Bhakta and Austin LaBudda conducted an unscheduled home visit at Defendant's residence located in Lewisville, Texas. During the visit, officers observed several assault style firearms in the home and within Defendant's possession. Defendant was subsequently arrested by Lewisville PD officers and charged with Felon in Possession of a Firearm in violation of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On April 27, 2022, Joseph Tessitore Jr., a Special Agent with the United States Department of Justice, Bureau of Alcohol, Tobacco, Firearms, and Explosives (AFT) informed the US Probation Office that Defendant possessed several prohibited National Firearms Act (NFA) weapons. The weapons include: three rifles with barrels less than 16 inches which makes them short barrel rifles, one silencer, and one may be a machine gun (ATF was awaiting confirmation through headquarters). This is a violation of </w:t>
      </w:r>
      <w:hyperlink r:id="rId11" w:history="1">
        <w:r>
          <w:rPr>
            <w:rFonts w:ascii="arial" w:eastAsia="arial" w:hAnsi="arial" w:cs="arial"/>
            <w:b w:val="0"/>
            <w:i/>
            <w:strike w:val="0"/>
            <w:noProof w:val="0"/>
            <w:color w:val="0077CC"/>
            <w:position w:val="0"/>
            <w:sz w:val="20"/>
            <w:u w:val="single"/>
            <w:vertAlign w:val="baseline"/>
          </w:rPr>
          <w:t>26 U.S.C. § 5861(D)</w:t>
        </w:r>
      </w:hyperlink>
      <w:r>
        <w:rPr>
          <w:rFonts w:ascii="arial" w:eastAsia="arial" w:hAnsi="arial" w:cs="arial"/>
          <w:b w:val="0"/>
          <w:i w:val="0"/>
          <w:strike w:val="0"/>
          <w:noProof w:val="0"/>
          <w:color w:val="000000"/>
          <w:position w:val="0"/>
          <w:sz w:val="20"/>
          <w:u w:val="none"/>
          <w:vertAlign w:val="baseline"/>
        </w:rPr>
        <w:t>. The description of the firearms are: (1) Sigarms (Swiss), SG 55102, unknown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caliber bearing serial number 0458 (Suspected MG), (2) Rock River Arms, LAR-15 5.56 mm rifle bearing serial number CM177533, and (3) Ceska Zbrojovka (CZ), Scorpion Evo 3 S1, 9mm pistol bearing serial number F051082. Defendant was convicted of Felon in Possession of Firearms in violation of </w:t>
      </w:r>
      <w:hyperlink r:id="rId10"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under Docket No. 4:22-cr-00116-001 in the Eastern District of Texas. On June 12, 2023, he was sentenced to 71 months imprisonment followed by a 3-year term of supervised release. According to the factual basis, the offense involved possession of a firearm or destructive device of a type described in </w:t>
      </w:r>
      <w:hyperlink r:id="rId12" w:history="1">
        <w:r>
          <w:rPr>
            <w:rFonts w:ascii="arial" w:eastAsia="arial" w:hAnsi="arial" w:cs="arial"/>
            <w:b w:val="0"/>
            <w:i/>
            <w:strike w:val="0"/>
            <w:noProof w:val="0"/>
            <w:color w:val="0077CC"/>
            <w:position w:val="0"/>
            <w:sz w:val="20"/>
            <w:u w:val="single"/>
            <w:vertAlign w:val="baseline"/>
          </w:rPr>
          <w:t>26 U.S.C. § 5845(A)</w:t>
        </w:r>
      </w:hyperlink>
      <w:r>
        <w:rPr>
          <w:rFonts w:ascii="arial" w:eastAsia="arial" w:hAnsi="arial" w:cs="arial"/>
          <w:b w:val="0"/>
          <w:i w:val="0"/>
          <w:strike w:val="0"/>
          <w:noProof w:val="0"/>
          <w:color w:val="000000"/>
          <w:position w:val="0"/>
          <w:sz w:val="20"/>
          <w:u w:val="none"/>
          <w:vertAlign w:val="baseline"/>
        </w:rPr>
        <w:t>. The firearms listed above are also included in the factual basis in the plea agreement; (2) Defendant failed to maintain lawful employment during the months of October through December 2021 and January through April 2022; and (3) On February 23, 2022, USPO Bhakta contacted Defendant regarding his unemployment. Defendant advised this officer that he was laid off from the company back in September 2021 and had not been employed since (Dkt. #47 at pp. 1-3, Sealed).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Prior to the Government putting on its case, Defendant entered a plea of true to allegations 1, 2, and 3 of the Petition. Having considered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Second Amended Petition and the plea of true to allegations 1, 2, and 3, the court finds that Defendant did violate his conditions of supervised release.</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Defendant waived his right to allocute before the District Judge and his right to object to the report and recommendation of this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Pursuant to the Sentencing Reform Act of 1984, the court recommends that Defendant's supervised release be revoked and that he be committed to the custody of the Bureau of Prisons to be imprisoned for an additional term of imprisonment of fifteen (15) months as to each count to run concurrently and to be served consecutively to the term of imprisonment imposed in 4:22-cr-00116-001, with no term of supervised release to follow.</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court also recommends that Defendant be housed in the Bureau of Prisons facility in Seagoville, Texas, if appropriate.</w:t>
      </w:r>
    </w:p>
    <w:p>
      <w:pPr>
        <w:keepNext w:val="0"/>
        <w:spacing w:before="200" w:after="0" w:line="260" w:lineRule="atLeast"/>
        <w:ind w:left="0" w:right="0" w:firstLine="0"/>
        <w:jc w:val="both"/>
      </w:pPr>
      <w:bookmarkStart w:id="16" w:name="Bookmark_para_9"/>
      <w:bookmarkEnd w:id="16"/>
      <w:r>
        <w:rPr>
          <w:rFonts w:ascii="arial" w:eastAsia="arial" w:hAnsi="arial" w:cs="arial"/>
          <w:b/>
          <w:i w:val="0"/>
          <w:strike w:val="0"/>
          <w:noProof w:val="0"/>
          <w:color w:val="000000"/>
          <w:position w:val="0"/>
          <w:sz w:val="20"/>
          <w:u w:val="none"/>
          <w:vertAlign w:val="baseline"/>
        </w:rPr>
        <w:t>SIGNED this 4th day of August,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/s/ Aileen Goldman Durrett</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AILEEN GOLDMAN DURRETT</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Whittington, 2023 U.S. Dist. LEXIS 153732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6C7N-FD63-RRVR-741R-00000-00&amp;context=1519360" TargetMode="External" /><Relationship Id="rId11" Type="http://schemas.openxmlformats.org/officeDocument/2006/relationships/hyperlink" Target="https://advance.lexis.com/api/document?collection=statutes-legislation&amp;id=urn:contentItem:8SN7-CJF2-D6RV-H3GR-00000-00&amp;context=1519360" TargetMode="External" /><Relationship Id="rId12" Type="http://schemas.openxmlformats.org/officeDocument/2006/relationships/hyperlink" Target="https://advance.lexis.com/api/document?collection=statutes-legislation&amp;id=urn:contentItem:8TSF-8302-8T6X-72MB-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2J-RWT1-JSJC-X04C-00000-00&amp;context=1519360" TargetMode="External" /><Relationship Id="rId9" Type="http://schemas.openxmlformats.org/officeDocument/2006/relationships/hyperlink" Target="https://advance.lexis.com/api/document?collection=cases&amp;id=urn:contentItem:6919-JY01-JX8W-M33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Whittington, 2023 U.S. Dist. LEXIS 153732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urn:user:PA186186283</vt:lpwstr>
  </property>
</Properties>
</file>