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Briones v. Guerra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Mcallen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2023, Decided; May 12, 2023,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7:22-CV-0405</w:t>
      </w:r>
    </w:p>
    <w:p>
      <w:pPr>
        <w:keepNext w:val="0"/>
        <w:spacing w:after="0" w:line="240" w:lineRule="atLeast"/>
        <w:ind w:right="0"/>
        <w:jc w:val="both"/>
      </w:pPr>
      <w:bookmarkStart w:id="0" w:name="Bookmark_6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175932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6321777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ABRAHAM BRIONES, Plaintiff, VS. EDDIE GUERRA, SHERIFF OF HIDALGO COUNTY, et al.,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recommendation, district court, detention, thirty days, prosecute, orders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Abraham Briones, Plaintiff, Pro se, Beeville,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 SCOTT HACKER,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 SCOTT HACKER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Plaintiff ABRAHAM BRIONES, proceeding pro se, brings this civil action seeking redress for alleged violations of his constitutional rights during the period of his pretrial detention at the Hidalgo County Adult Detention Center, claiming that officials were indifferent to his medical needs. (Dkt. No. 1). Several times now, Plaintiff has failed to comply with orders that he complete his application to proceed in forma pauperis. Moreover, while Plaintiff appears to have been released from the detention center and into the custody of the Texas Department of Criminal Justice (the "TDCJ"), Plaintiff has not provided notice of his change of address.</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This case has been referred to the undersigned Magistrate Judge for report and recommendation pursuant to </w:t>
      </w:r>
      <w:hyperlink r:id="rId10"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Upon review of the record and the relevant law, the Magistrate Judge RECOMMENDS that this case be DISMISSED for the failure to prosecute pursuant to </w:t>
      </w:r>
      <w:hyperlink r:id="rId11" w:history="1">
        <w:r>
          <w:rPr>
            <w:rFonts w:ascii="arial" w:eastAsia="arial" w:hAnsi="arial" w:cs="arial"/>
            <w:b w:val="0"/>
            <w:i/>
            <w:strike w:val="0"/>
            <w:noProof w:val="0"/>
            <w:color w:val="0077CC"/>
            <w:position w:val="0"/>
            <w:sz w:val="20"/>
            <w:u w:val="single"/>
            <w:vertAlign w:val="baseline"/>
          </w:rPr>
          <w:t>Rule 41(b) of the Federal Rules of Civil Procedure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PROCEDURAL BACKGROUND</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On November 23, 2022, the Clerk of Court received Plaintiffs complaint. (Dkt. No. 1). The complaint was sent from the detention center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dated November 19, 2022.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No. 1-3). The factual allegations giving rise to Plaintiff's claim of medical indifference are alleged to have occurred in July of 2022, such that Plaintiff seems to take issue with the medical treatment he received (or lack thereof) at the time of his booking.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1 at 3).</w:t>
      </w:r>
    </w:p>
    <w:p>
      <w:pPr>
        <w:keepNext w:val="0"/>
        <w:spacing w:before="24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Following the filing of his complaint, Plaintiff submitted an application to proceed in forma pauperis. (Dkt. No. 3). The application failed to meet the requirements of </w:t>
      </w:r>
      <w:hyperlink r:id="rId12" w:history="1">
        <w:r>
          <w:rPr>
            <w:rFonts w:ascii="arial" w:eastAsia="arial" w:hAnsi="arial" w:cs="arial"/>
            <w:b w:val="0"/>
            <w:i/>
            <w:strike w:val="0"/>
            <w:noProof w:val="0"/>
            <w:color w:val="0077CC"/>
            <w:position w:val="0"/>
            <w:sz w:val="20"/>
            <w:u w:val="single"/>
            <w:vertAlign w:val="baseline"/>
          </w:rPr>
          <w:t>28 U.S.C. § 1915</w:t>
        </w:r>
      </w:hyperlink>
      <w:r>
        <w:rPr>
          <w:rFonts w:ascii="arial" w:eastAsia="arial" w:hAnsi="arial" w:cs="arial"/>
          <w:b w:val="0"/>
          <w:i w:val="0"/>
          <w:strike w:val="0"/>
          <w:noProof w:val="0"/>
          <w:color w:val="000000"/>
          <w:position w:val="0"/>
          <w:sz w:val="20"/>
          <w:u w:val="none"/>
          <w:vertAlign w:val="baseline"/>
        </w:rPr>
        <w:t xml:space="preserve"> of the Prison Litigation Reform Act. Although the application included an affidavit of indigency, Plaintiff failed to provide a certified copy of his inmate trust fund account statement for the six-month period preceding the filing of the case.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 1915(a)(1)</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On December 14, 2022, the Magistrate Judge ordered Plaintiff to submit the trust fund account statement. (Dkt. No. 4 at 2). Compliance was ordered within thirty days.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specifically advised of his obligation to keep the Clerk advised in writing of his current address.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was also warned that failure to comply with the order could result in the dismissal of his case for the failure to prosecute under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Rule 41 of the Federal Rules of Civil Procedure</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Otherwise, the Magistrate Judge denied a motion by Plaintiff for the appointment of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Rather than submit his trust fund statement, Plaintiff filed a series of motions, including a motion for entry of default (Dkt. No. 8), along with a notice of appeal (Dkt. No. 9).</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On February 14, 2023, the Magistrate Judge issued an order addressing Plaintiffs motion for entry of default. (Dkt. No. 12). Noting that the complaint had yet to be served, the Magistrate Judge ordered Plaintiff, within thirty days, to either voluntarily withdraw the motion or submit a brief showing good cause why the motion should not be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Contemporaneously, Plaintiff was ordered a second time to submit his trust fund account statement within thirty days. (Dkt. No. 13). In so ordering Plaintiff, the Magistrate Judge noted that although the subject of the appeal was unclear, the matter of the in forma pauperis application was not otherwise appealable.</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 n.1). Yet again, Plaintiff was advised of his obligation to provide an updated addressed and warned that failure to comply with the order could lead to the dismissal of 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This Magistrate Judge's orders, which</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were mailed to Plaintiff at the detention center, were returned to the Clerk in their original envelopes with postal stamps reading, "RETURN TO SENDER * NOT DELIVERABLE AS ADDRESSED * UNABLE TO FORWARD" and handwritten notations reading, "Released[.]"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Nos. 14, 16, 17).</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Indeed, public records indicate that Plaintiff was intermittently transferred from the detention center to the custody of the TDCJ and is currently serving a sentence of imprisonment at the Garza West Unit in Beeville, Texas for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persons.</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On March 27, 2023, the Magistrate Judge issued yet another order that Plaintiff either submit a certified copy of his trust fund account statement or an affidavit detailing his unsuccessful efforts to obtain the statement. (Dkt. No. 19 at 2). Plaintiff was afforded thirty days to comply and again warned that failure to do so could lead to a </w:t>
      </w:r>
      <w:hyperlink r:id="rId11" w:history="1">
        <w:r>
          <w:rPr>
            <w:rFonts w:ascii="arial" w:eastAsia="arial" w:hAnsi="arial" w:cs="arial"/>
            <w:b w:val="0"/>
            <w:i/>
            <w:strike w:val="0"/>
            <w:noProof w:val="0"/>
            <w:color w:val="0077CC"/>
            <w:position w:val="0"/>
            <w:sz w:val="20"/>
            <w:u w:val="single"/>
            <w:vertAlign w:val="baseline"/>
          </w:rPr>
          <w:t>Rule 41</w:t>
        </w:r>
      </w:hyperlink>
      <w:r>
        <w:rPr>
          <w:rFonts w:ascii="arial" w:eastAsia="arial" w:hAnsi="arial" w:cs="arial"/>
          <w:b w:val="0"/>
          <w:i w:val="0"/>
          <w:strike w:val="0"/>
          <w:noProof w:val="0"/>
          <w:color w:val="000000"/>
          <w:position w:val="0"/>
          <w:sz w:val="20"/>
          <w:u w:val="none"/>
          <w:vertAlign w:val="baseline"/>
        </w:rPr>
        <w:t xml:space="preserve"> dismissal.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 copy of the order was mailed to Plaintiff at the Garza West Unit.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Now, more than thirty days have passed, but Plaintiff has failed to comply with the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STANDARDS</w:t>
      </w:r>
    </w:p>
    <w:p>
      <w:pPr>
        <w:keepNext w:val="0"/>
        <w:spacing w:before="240" w:after="0" w:line="260" w:lineRule="atLeast"/>
        <w:ind w:left="0" w:right="0" w:firstLine="0"/>
        <w:jc w:val="both"/>
      </w:pPr>
      <w:bookmarkStart w:id="21" w:name="Bookmark_para_13"/>
      <w:bookmarkEnd w:id="21"/>
      <w:hyperlink r:id="rId11" w:history="1">
        <w:r>
          <w:rPr>
            <w:rFonts w:ascii="arial" w:eastAsia="arial" w:hAnsi="arial" w:cs="arial"/>
            <w:b w:val="0"/>
            <w:i/>
            <w:strike w:val="0"/>
            <w:color w:val="0077CC"/>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provides that "[i]f the plaintiff fails to prosecute or to comply with these rules or a court order, a defendant may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move to dismiss the action or any claim against it." </w:t>
      </w:r>
      <w:hyperlink r:id="rId11" w:history="1">
        <w:r>
          <w:rPr>
            <w:rFonts w:ascii="arial" w:eastAsia="arial" w:hAnsi="arial" w:cs="arial"/>
            <w:b w:val="0"/>
            <w:i/>
            <w:strike w:val="0"/>
            <w:noProof w:val="0"/>
            <w:color w:val="0077CC"/>
            <w:position w:val="0"/>
            <w:sz w:val="20"/>
            <w:u w:val="single"/>
            <w:vertAlign w:val="baseline"/>
          </w:rPr>
          <w:t>Fed. R. Civ. P. 41(b)</w:t>
        </w:r>
      </w:hyperlink>
      <w:r>
        <w:rPr>
          <w:rFonts w:ascii="arial" w:eastAsia="arial" w:hAnsi="arial" w:cs="arial"/>
          <w:b w:val="0"/>
          <w:i w:val="0"/>
          <w:strike w:val="0"/>
          <w:noProof w:val="0"/>
          <w:color w:val="000000"/>
          <w:position w:val="0"/>
          <w:sz w:val="20"/>
          <w:u w:val="none"/>
          <w:vertAlign w:val="baseline"/>
        </w:rPr>
        <w:t xml:space="preserve">. A district court may also dismiss an action sua sponte under </w:t>
      </w:r>
      <w:hyperlink r:id="rId11"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Larson v. Scott</w:t>
        </w:r>
      </w:hyperlink>
      <w:hyperlink r:id="rId13" w:history="1">
        <w:r>
          <w:rPr>
            <w:rFonts w:ascii="arial" w:eastAsia="arial" w:hAnsi="arial" w:cs="arial"/>
            <w:b w:val="0"/>
            <w:i/>
            <w:strike w:val="0"/>
            <w:noProof w:val="0"/>
            <w:color w:val="0077CC"/>
            <w:position w:val="0"/>
            <w:sz w:val="20"/>
            <w:u w:val="single"/>
            <w:vertAlign w:val="baseline"/>
          </w:rPr>
          <w:t>, 157 F.3d 1030, 1031 (5th Cir. 1998)</w:t>
        </w:r>
      </w:hyperlink>
      <w:r>
        <w:rPr>
          <w:rFonts w:ascii="arial" w:eastAsia="arial" w:hAnsi="arial" w:cs="arial"/>
          <w:b w:val="0"/>
          <w:i w:val="0"/>
          <w:strike w:val="0"/>
          <w:noProof w:val="0"/>
          <w:color w:val="000000"/>
          <w:position w:val="0"/>
          <w:sz w:val="20"/>
          <w:u w:val="none"/>
          <w:vertAlign w:val="baseline"/>
        </w:rPr>
        <w:t xml:space="preserve">. This authority derives from a court's inherent power to control its docket, prevent undue delays in the disposition of cases, and avoid congested calendars. </w:t>
      </w:r>
      <w:hyperlink r:id="rId14" w:history="1">
        <w:r>
          <w:rPr>
            <w:rFonts w:ascii="arial" w:eastAsia="arial" w:hAnsi="arial" w:cs="arial"/>
            <w:b w:val="0"/>
            <w:i/>
            <w:strike w:val="0"/>
            <w:noProof w:val="0"/>
            <w:color w:val="0077CC"/>
            <w:position w:val="0"/>
            <w:sz w:val="20"/>
            <w:u w:val="single"/>
            <w:vertAlign w:val="baseline"/>
          </w:rPr>
          <w:t>Link v. Wabash R.R. Co.</w:t>
        </w:r>
      </w:hyperlink>
      <w:hyperlink r:id="rId14" w:history="1">
        <w:r>
          <w:rPr>
            <w:rFonts w:ascii="arial" w:eastAsia="arial" w:hAnsi="arial" w:cs="arial"/>
            <w:b w:val="0"/>
            <w:i/>
            <w:strike w:val="0"/>
            <w:noProof w:val="0"/>
            <w:color w:val="0077CC"/>
            <w:position w:val="0"/>
            <w:sz w:val="20"/>
            <w:u w:val="single"/>
            <w:vertAlign w:val="baseline"/>
          </w:rPr>
          <w:t>, 370 U.S. 626, 629-31, 82 S. Ct. 1386, 8 L. Ed. 2d 734 (1962)</w:t>
        </w:r>
      </w:hyperlink>
      <w:r>
        <w:rPr>
          <w:rFonts w:ascii="arial" w:eastAsia="arial" w:hAnsi="arial" w:cs="arial"/>
          <w:b w:val="0"/>
          <w:i w:val="0"/>
          <w:strike w:val="0"/>
          <w:noProof w:val="0"/>
          <w:color w:val="000000"/>
          <w:position w:val="0"/>
          <w:sz w:val="20"/>
          <w:u w:val="none"/>
          <w:vertAlign w:val="baseline"/>
        </w:rPr>
        <w:t xml:space="preserve">. A </w:t>
      </w:r>
      <w:hyperlink r:id="rId11"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dismissal may be either with or without prejudice. </w:t>
      </w:r>
      <w:hyperlink r:id="rId15" w:history="1">
        <w:r>
          <w:rPr>
            <w:rFonts w:ascii="arial" w:eastAsia="arial" w:hAnsi="arial" w:cs="arial"/>
            <w:b w:val="0"/>
            <w:i/>
            <w:strike w:val="0"/>
            <w:noProof w:val="0"/>
            <w:color w:val="0077CC"/>
            <w:position w:val="0"/>
            <w:sz w:val="20"/>
            <w:u w:val="single"/>
            <w:vertAlign w:val="baseline"/>
          </w:rPr>
          <w:t>Callip v. Harris Cnty. Child Welfare Dep't</w:t>
        </w:r>
      </w:hyperlink>
      <w:hyperlink r:id="rId15" w:history="1">
        <w:r>
          <w:rPr>
            <w:rFonts w:ascii="arial" w:eastAsia="arial" w:hAnsi="arial" w:cs="arial"/>
            <w:b w:val="0"/>
            <w:i/>
            <w:strike w:val="0"/>
            <w:noProof w:val="0"/>
            <w:color w:val="0077CC"/>
            <w:position w:val="0"/>
            <w:sz w:val="20"/>
            <w:u w:val="single"/>
            <w:vertAlign w:val="baseline"/>
          </w:rPr>
          <w:t>, 757 F.2d 1513, 1519 (5th Cir. 1985)</w:t>
        </w:r>
      </w:hyperlink>
      <w:r>
        <w:rPr>
          <w:rFonts w:ascii="arial" w:eastAsia="arial" w:hAnsi="arial" w:cs="arial"/>
          <w:b w:val="0"/>
          <w:i w:val="0"/>
          <w:strike w:val="0"/>
          <w:noProof w:val="0"/>
          <w:color w:val="000000"/>
          <w:position w:val="0"/>
          <w:sz w:val="20"/>
          <w:u w:val="none"/>
          <w:vertAlign w:val="baseline"/>
        </w:rPr>
        <w:t xml:space="preserve"> (per curiam) ("Unless an involuntary order of dismissal specifies that it is without prejudice, . . . it 'operates as an adjudication on the merits.'" (quoting </w:t>
      </w:r>
      <w:hyperlink r:id="rId11" w:history="1">
        <w:r>
          <w:rPr>
            <w:rFonts w:ascii="arial" w:eastAsia="arial" w:hAnsi="arial" w:cs="arial"/>
            <w:b w:val="0"/>
            <w:i/>
            <w:strike w:val="0"/>
            <w:noProof w:val="0"/>
            <w:color w:val="0077CC"/>
            <w:position w:val="0"/>
            <w:sz w:val="20"/>
            <w:u w:val="single"/>
            <w:vertAlign w:val="baseline"/>
          </w:rPr>
          <w:t>Fed. R. Civ. P. 41(b)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 xml:space="preserve">Dismissal with prejudice is reserved for the most egregious cases, where there is a clear record of delay or contumacious conduct, and lesser sanctions would not serve the best interests of justice.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Such a dismissal must be based on at least one of three aggravating factors: (i) delay caused by the plaintiff themselves and not their attorney; (ii) actual prejudice to the defendant; or (iii) delay caused by intentional conduct. </w:t>
      </w:r>
      <w:hyperlink r:id="rId16" w:history="1">
        <w:r>
          <w:rPr>
            <w:rFonts w:ascii="arial" w:eastAsia="arial" w:hAnsi="arial" w:cs="arial"/>
            <w:b w:val="0"/>
            <w:i/>
            <w:strike w:val="0"/>
            <w:noProof w:val="0"/>
            <w:color w:val="0077CC"/>
            <w:position w:val="0"/>
            <w:sz w:val="20"/>
            <w:u w:val="single"/>
            <w:vertAlign w:val="baseline"/>
          </w:rPr>
          <w:t>Berry v. CIGNA/RSI-CIGNA</w:t>
        </w:r>
      </w:hyperlink>
      <w:hyperlink r:id="rId16" w:history="1">
        <w:r>
          <w:rPr>
            <w:rFonts w:ascii="arial" w:eastAsia="arial" w:hAnsi="arial" w:cs="arial"/>
            <w:b w:val="0"/>
            <w:i/>
            <w:strike w:val="0"/>
            <w:noProof w:val="0"/>
            <w:color w:val="0077CC"/>
            <w:position w:val="0"/>
            <w:sz w:val="20"/>
            <w:u w:val="single"/>
            <w:vertAlign w:val="baseline"/>
          </w:rPr>
          <w:t>, 975 F.2d 1188, 1191 (5th Cir. 1992)</w:t>
        </w:r>
      </w:hyperlink>
      <w:r>
        <w:rPr>
          <w:rFonts w:ascii="arial" w:eastAsia="arial" w:hAnsi="arial" w:cs="arial"/>
          <w:b w:val="0"/>
          <w:i w:val="0"/>
          <w:strike w:val="0"/>
          <w:noProof w:val="0"/>
          <w:color w:val="000000"/>
          <w:position w:val="0"/>
          <w:sz w:val="20"/>
          <w:u w:val="none"/>
          <w:vertAlign w:val="baseline"/>
        </w:rPr>
        <w:t xml:space="preserve">. If a plaintiff would be barred from re-asserting their claims because the statute of limitations period has expired, a </w:t>
      </w:r>
      <w:hyperlink r:id="rId11"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dismissal is tantamount to a dismissal with prejudice and subject, therefore, to the same heightened standard.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3" w:name="Bookmark_para_15"/>
      <w:bookmarkEnd w:id="23"/>
      <w:bookmarkStart w:id="24" w:name="Bookmark_I6B1DK6528T4PM0020000400"/>
      <w:bookmarkEnd w:id="24"/>
      <w:r>
        <w:rPr>
          <w:rFonts w:ascii="arial" w:eastAsia="arial" w:hAnsi="arial" w:cs="arial"/>
          <w:b w:val="0"/>
          <w:i w:val="0"/>
          <w:strike w:val="0"/>
          <w:noProof w:val="0"/>
          <w:color w:val="000000"/>
          <w:position w:val="0"/>
          <w:sz w:val="20"/>
          <w:u w:val="none"/>
          <w:vertAlign w:val="baseline"/>
        </w:rPr>
        <w:t>"While a court should be appropriately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lenient with a party who is proceeding pro se, the right of self-representation does not exempt a party from compliance with relevant rules of procedural and substantive law." </w:t>
      </w:r>
      <w:bookmarkStart w:id="25" w:name="Bookmark_I6B1DK6528T4PM0010000400"/>
      <w:bookmarkEnd w:id="25"/>
      <w:hyperlink r:id="rId17" w:history="1">
        <w:r>
          <w:rPr>
            <w:rFonts w:ascii="arial" w:eastAsia="arial" w:hAnsi="arial" w:cs="arial"/>
            <w:b w:val="0"/>
            <w:i/>
            <w:strike w:val="0"/>
            <w:noProof w:val="0"/>
            <w:color w:val="0077CC"/>
            <w:position w:val="0"/>
            <w:sz w:val="20"/>
            <w:u w:val="single"/>
            <w:vertAlign w:val="baseline"/>
          </w:rPr>
          <w:t>Rodriguez-Madrigal v. United States</w:t>
        </w:r>
      </w:hyperlink>
      <w:hyperlink r:id="rId17" w:history="1">
        <w:r>
          <w:rPr>
            <w:rFonts w:ascii="arial" w:eastAsia="arial" w:hAnsi="arial" w:cs="arial"/>
            <w:b w:val="0"/>
            <w:i/>
            <w:strike w:val="0"/>
            <w:noProof w:val="0"/>
            <w:color w:val="0077CC"/>
            <w:position w:val="0"/>
            <w:sz w:val="20"/>
            <w:u w:val="single"/>
            <w:vertAlign w:val="baseline"/>
          </w:rPr>
          <w:t>, 2016 U.S. Dist. LEXIS 153505, 2016 WL 6581339, at *3 (S.D. Tex. Oct. 10, 2016)</w:t>
        </w:r>
      </w:hyperlink>
      <w:r>
        <w:rPr>
          <w:rFonts w:ascii="arial" w:eastAsia="arial" w:hAnsi="arial" w:cs="arial"/>
          <w:b w:val="0"/>
          <w:i w:val="0"/>
          <w:strike w:val="0"/>
          <w:noProof w:val="0"/>
          <w:color w:val="000000"/>
          <w:position w:val="0"/>
          <w:sz w:val="20"/>
          <w:u w:val="none"/>
          <w:vertAlign w:val="baseline"/>
        </w:rPr>
        <w:t xml:space="preserve"> (citing </w:t>
      </w:r>
      <w:bookmarkStart w:id="26" w:name="Bookmark_I699KYPP28T4PN0010000400"/>
      <w:bookmarkEnd w:id="26"/>
      <w:hyperlink r:id="rId18" w:history="1">
        <w:r>
          <w:rPr>
            <w:rFonts w:ascii="arial" w:eastAsia="arial" w:hAnsi="arial" w:cs="arial"/>
            <w:b w:val="0"/>
            <w:i/>
            <w:strike w:val="0"/>
            <w:noProof w:val="0"/>
            <w:color w:val="0077CC"/>
            <w:position w:val="0"/>
            <w:sz w:val="20"/>
            <w:u w:val="single"/>
            <w:vertAlign w:val="baseline"/>
          </w:rPr>
          <w:t>Hulsey v. Texas</w:t>
        </w:r>
      </w:hyperlink>
      <w:hyperlink r:id="rId18" w:history="1">
        <w:r>
          <w:rPr>
            <w:rFonts w:ascii="arial" w:eastAsia="arial" w:hAnsi="arial" w:cs="arial"/>
            <w:b w:val="0"/>
            <w:i/>
            <w:strike w:val="0"/>
            <w:noProof w:val="0"/>
            <w:color w:val="0077CC"/>
            <w:position w:val="0"/>
            <w:sz w:val="20"/>
            <w:u w:val="single"/>
            <w:vertAlign w:val="baseline"/>
          </w:rPr>
          <w:t>, 929 F.2d 168, 171 (5th Cir. 1991)</w:t>
        </w:r>
      </w:hyperlink>
      <w:r>
        <w:rPr>
          <w:rFonts w:ascii="arial" w:eastAsia="arial" w:hAnsi="arial" w:cs="arial"/>
          <w:b w:val="0"/>
          <w:i w:val="0"/>
          <w:strike w:val="0"/>
          <w:noProof w:val="0"/>
          <w:color w:val="000000"/>
          <w:position w:val="0"/>
          <w:sz w:val="20"/>
          <w:u w:val="none"/>
          <w:vertAlign w:val="baseline"/>
        </w:rPr>
        <w:t xml:space="preserve">) (quotations omitted),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27" w:name="Bookmark_I6B1DK6528T4PM0030000400"/>
      <w:bookmarkEnd w:id="27"/>
      <w:hyperlink r:id="rId19" w:history="1">
        <w:r>
          <w:rPr>
            <w:rFonts w:ascii="arial" w:eastAsia="arial" w:hAnsi="arial" w:cs="arial"/>
            <w:b w:val="0"/>
            <w:i/>
            <w:strike w:val="0"/>
            <w:noProof w:val="0"/>
            <w:color w:val="0077CC"/>
            <w:position w:val="0"/>
            <w:sz w:val="20"/>
            <w:u w:val="single"/>
            <w:vertAlign w:val="baseline"/>
          </w:rPr>
          <w:t>2016 U.S. Dist. LEXIS 153450, 2016 WL 6583717 (S.D. Tex. Nov. 3,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6"/>
      <w:bookmarkEnd w:id="28"/>
      <w:r>
        <w:rPr>
          <w:rFonts w:ascii="arial" w:eastAsia="arial" w:hAnsi="arial" w:cs="arial"/>
          <w:b w:val="0"/>
          <w:i w:val="0"/>
          <w:strike w:val="0"/>
          <w:noProof w:val="0"/>
          <w:color w:val="000000"/>
          <w:position w:val="0"/>
          <w:sz w:val="20"/>
          <w:u w:val="none"/>
          <w:vertAlign w:val="baseline"/>
        </w:rPr>
        <w:t xml:space="preserve">"[L]itigants, including prisoners, 'bear the burden of filing notice of a change of address in such a way that will bring the attention of the court to the address change." </w:t>
      </w:r>
      <w:hyperlink r:id="rId20" w:history="1">
        <w:r>
          <w:rPr>
            <w:rFonts w:ascii="arial" w:eastAsia="arial" w:hAnsi="arial" w:cs="arial"/>
            <w:b w:val="0"/>
            <w:i/>
            <w:strike w:val="0"/>
            <w:noProof w:val="0"/>
            <w:color w:val="0077CC"/>
            <w:position w:val="0"/>
            <w:sz w:val="20"/>
            <w:u w:val="single"/>
            <w:vertAlign w:val="baseline"/>
          </w:rPr>
          <w:t>Snyder v. Nolen</w:t>
        </w:r>
      </w:hyperlink>
      <w:hyperlink r:id="rId20" w:history="1">
        <w:r>
          <w:rPr>
            <w:rFonts w:ascii="arial" w:eastAsia="arial" w:hAnsi="arial" w:cs="arial"/>
            <w:b w:val="0"/>
            <w:i/>
            <w:strike w:val="0"/>
            <w:noProof w:val="0"/>
            <w:color w:val="0077CC"/>
            <w:position w:val="0"/>
            <w:sz w:val="20"/>
            <w:u w:val="single"/>
            <w:vertAlign w:val="baseline"/>
          </w:rPr>
          <w:t>, 380 F.3d 279, 285 (7th Cir. 2004)</w:t>
        </w:r>
      </w:hyperlink>
      <w:r>
        <w:rPr>
          <w:rFonts w:ascii="arial" w:eastAsia="arial" w:hAnsi="arial" w:cs="arial"/>
          <w:b w:val="0"/>
          <w:i w:val="0"/>
          <w:strike w:val="0"/>
          <w:noProof w:val="0"/>
          <w:color w:val="000000"/>
          <w:position w:val="0"/>
          <w:sz w:val="20"/>
          <w:u w:val="none"/>
          <w:vertAlign w:val="baseline"/>
        </w:rPr>
        <w:t xml:space="preserve"> (per curiam) (quoting </w:t>
      </w:r>
      <w:hyperlink r:id="rId21" w:history="1">
        <w:r>
          <w:rPr>
            <w:rFonts w:ascii="arial" w:eastAsia="arial" w:hAnsi="arial" w:cs="arial"/>
            <w:b w:val="0"/>
            <w:i/>
            <w:strike w:val="0"/>
            <w:noProof w:val="0"/>
            <w:color w:val="0077CC"/>
            <w:position w:val="0"/>
            <w:sz w:val="20"/>
            <w:u w:val="single"/>
            <w:vertAlign w:val="baseline"/>
          </w:rPr>
          <w:t>Theede v. U.S. Dep't of Lab.</w:t>
        </w:r>
      </w:hyperlink>
      <w:hyperlink r:id="rId21" w:history="1">
        <w:r>
          <w:rPr>
            <w:rFonts w:ascii="arial" w:eastAsia="arial" w:hAnsi="arial" w:cs="arial"/>
            <w:b w:val="0"/>
            <w:i/>
            <w:strike w:val="0"/>
            <w:noProof w:val="0"/>
            <w:color w:val="0077CC"/>
            <w:position w:val="0"/>
            <w:sz w:val="20"/>
            <w:u w:val="single"/>
            <w:vertAlign w:val="baseline"/>
          </w:rPr>
          <w:t>, 172 F.3d 1262, 1267 (10th Cir. 1999)</w:t>
        </w:r>
      </w:hyperlink>
      <w:r>
        <w:rPr>
          <w:rFonts w:ascii="arial" w:eastAsia="arial" w:hAnsi="arial" w:cs="arial"/>
          <w:b w:val="0"/>
          <w:i w:val="0"/>
          <w:strike w:val="0"/>
          <w:noProof w:val="0"/>
          <w:color w:val="000000"/>
          <w:position w:val="0"/>
          <w:sz w:val="20"/>
          <w:u w:val="none"/>
          <w:vertAlign w:val="baseline"/>
        </w:rPr>
        <w:t xml:space="preserve">). This requirement is memorialized in the Local Rules for the Southern District of Texas, which provide that "[a] lawyer or pro se litigant is responsible for keeping the clerk advised in writing of [their] current address." S.D. Tex. L.R. 83.4. Indeed, a district court may involuntarily dismiss a pro se litigant's lawsuit under </w:t>
      </w:r>
      <w:hyperlink r:id="rId11"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for failure to maintain a current mailing address insofar as such failure suggests that the litigant has lost interest in pursuing their claims.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Figueroa-Hernandez v. United States</w:t>
        </w:r>
      </w:hyperlink>
      <w:hyperlink r:id="rId22" w:history="1">
        <w:r>
          <w:rPr>
            <w:rFonts w:ascii="arial" w:eastAsia="arial" w:hAnsi="arial" w:cs="arial"/>
            <w:b w:val="0"/>
            <w:i/>
            <w:strike w:val="0"/>
            <w:noProof w:val="0"/>
            <w:color w:val="0077CC"/>
            <w:position w:val="0"/>
            <w:sz w:val="20"/>
            <w:u w:val="single"/>
            <w:vertAlign w:val="baseline"/>
          </w:rPr>
          <w:t>, 2005 U.S. Dist. LEXIS 51400, 2005 WL 2263462, at *3 (S.D. Tex. Aug. 31,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No. 7:02-CV-0398 (S.D. Tex. Sept. 14, 2005).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29" w:name="Bookmark_para_17"/>
      <w:bookmarkEnd w:id="29"/>
      <w:r>
        <w:rPr>
          <w:rFonts w:ascii="arial" w:eastAsia="arial" w:hAnsi="arial" w:cs="arial"/>
          <w:b w:val="0"/>
          <w:i w:val="0"/>
          <w:strike w:val="0"/>
          <w:noProof w:val="0"/>
          <w:color w:val="000000"/>
          <w:position w:val="0"/>
          <w:sz w:val="20"/>
          <w:u w:val="none"/>
          <w:vertAlign w:val="baseline"/>
        </w:rPr>
        <w:t xml:space="preserve">Here, Plaintiff has failed to comply with multiple court orders that he complete his in forma pauperis application, which supports a </w:t>
      </w:r>
      <w:hyperlink r:id="rId11"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dismissal. </w:t>
      </w:r>
      <w:r>
        <w:rPr>
          <w:rFonts w:ascii="arial" w:eastAsia="arial" w:hAnsi="arial" w:cs="arial"/>
          <w:b w:val="0"/>
          <w:i/>
          <w:strike w:val="0"/>
          <w:noProof w:val="0"/>
          <w:color w:val="000000"/>
          <w:position w:val="0"/>
          <w:sz w:val="20"/>
          <w:u w:val="none"/>
          <w:vertAlign w:val="baseline"/>
        </w:rPr>
        <w:t xml:space="preserve">See </w:t>
      </w:r>
      <w:hyperlink r:id="rId23" w:history="1">
        <w:r>
          <w:rPr>
            <w:rFonts w:ascii="arial" w:eastAsia="arial" w:hAnsi="arial" w:cs="arial"/>
            <w:b w:val="0"/>
            <w:i/>
            <w:strike w:val="0"/>
            <w:noProof w:val="0"/>
            <w:color w:val="0077CC"/>
            <w:position w:val="0"/>
            <w:sz w:val="20"/>
            <w:u w:val="single"/>
            <w:vertAlign w:val="baseline"/>
          </w:rPr>
          <w:t>Jones v. Meier</w:t>
        </w:r>
      </w:hyperlink>
      <w:hyperlink r:id="rId23" w:history="1">
        <w:r>
          <w:rPr>
            <w:rFonts w:ascii="arial" w:eastAsia="arial" w:hAnsi="arial" w:cs="arial"/>
            <w:b w:val="0"/>
            <w:i/>
            <w:strike w:val="0"/>
            <w:noProof w:val="0"/>
            <w:color w:val="0077CC"/>
            <w:position w:val="0"/>
            <w:sz w:val="20"/>
            <w:u w:val="single"/>
            <w:vertAlign w:val="baseline"/>
          </w:rPr>
          <w:t>, 2002 U.S. Dist. LEXIS 24132, 2002 WL 31936492, at *1-2 (N.D. Tex. Dec. 16, 2002)</w:t>
        </w:r>
      </w:hyperlink>
      <w:r>
        <w:rPr>
          <w:rFonts w:ascii="arial" w:eastAsia="arial" w:hAnsi="arial" w:cs="arial"/>
          <w:b w:val="0"/>
          <w:i w:val="0"/>
          <w:strike w:val="0"/>
          <w:noProof w:val="0"/>
          <w:color w:val="000000"/>
          <w:position w:val="0"/>
          <w:sz w:val="20"/>
          <w:u w:val="none"/>
          <w:vertAlign w:val="baseline"/>
        </w:rPr>
        <w:t xml:space="preserve">. Also supporting a </w:t>
      </w:r>
      <w:hyperlink r:id="rId11"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dismissal is the fact that Plaintiff has failed to provide an updated address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compliance with the Local Rules. </w:t>
      </w:r>
      <w:r>
        <w:rPr>
          <w:rFonts w:ascii="arial" w:eastAsia="arial" w:hAnsi="arial" w:cs="arial"/>
          <w:b w:val="0"/>
          <w:i/>
          <w:strike w:val="0"/>
          <w:noProof w:val="0"/>
          <w:color w:val="000000"/>
          <w:position w:val="0"/>
          <w:sz w:val="20"/>
          <w:u w:val="none"/>
          <w:vertAlign w:val="baseline"/>
        </w:rPr>
        <w:t xml:space="preserve">See </w:t>
      </w:r>
      <w:hyperlink r:id="rId24" w:history="1">
        <w:r>
          <w:rPr>
            <w:rFonts w:ascii="arial" w:eastAsia="arial" w:hAnsi="arial" w:cs="arial"/>
            <w:b w:val="0"/>
            <w:i/>
            <w:strike w:val="0"/>
            <w:noProof w:val="0"/>
            <w:color w:val="0077CC"/>
            <w:position w:val="0"/>
            <w:sz w:val="20"/>
            <w:u w:val="single"/>
            <w:vertAlign w:val="baseline"/>
          </w:rPr>
          <w:t>Lewis v. Hardy</w:t>
        </w:r>
      </w:hyperlink>
      <w:hyperlink r:id="rId24" w:history="1">
        <w:r>
          <w:rPr>
            <w:rFonts w:ascii="arial" w:eastAsia="arial" w:hAnsi="arial" w:cs="arial"/>
            <w:b w:val="0"/>
            <w:i/>
            <w:strike w:val="0"/>
            <w:noProof w:val="0"/>
            <w:color w:val="0077CC"/>
            <w:position w:val="0"/>
            <w:sz w:val="20"/>
            <w:u w:val="single"/>
            <w:vertAlign w:val="baseline"/>
          </w:rPr>
          <w:t>, 248 F. App'x 589, 593 n.1 (5th Cir. 2007)</w:t>
        </w:r>
      </w:hyperlink>
      <w:r>
        <w:rPr>
          <w:rFonts w:ascii="arial" w:eastAsia="arial" w:hAnsi="arial" w:cs="arial"/>
          <w:b w:val="0"/>
          <w:i w:val="0"/>
          <w:strike w:val="0"/>
          <w:noProof w:val="0"/>
          <w:color w:val="000000"/>
          <w:position w:val="0"/>
          <w:sz w:val="20"/>
          <w:u w:val="none"/>
          <w:vertAlign w:val="baseline"/>
        </w:rPr>
        <w:t xml:space="preserve"> (per curiam) ("[T]he failure of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to notify the district court of an address change may be considered by the district court as an additional cause for dismissal for failure to prosecute."); </w:t>
      </w:r>
      <w:r>
        <w:rPr>
          <w:rFonts w:ascii="arial" w:eastAsia="arial" w:hAnsi="arial" w:cs="arial"/>
          <w:b w:val="0"/>
          <w:i/>
          <w:strike w:val="0"/>
          <w:noProof w:val="0"/>
          <w:color w:val="000000"/>
          <w:position w:val="0"/>
          <w:sz w:val="20"/>
          <w:u w:val="none"/>
          <w:vertAlign w:val="baseline"/>
        </w:rPr>
        <w:t xml:space="preserve">see also </w:t>
      </w:r>
      <w:hyperlink r:id="rId25" w:history="1">
        <w:r>
          <w:rPr>
            <w:rFonts w:ascii="arial" w:eastAsia="arial" w:hAnsi="arial" w:cs="arial"/>
            <w:b w:val="0"/>
            <w:i/>
            <w:strike w:val="0"/>
            <w:noProof w:val="0"/>
            <w:color w:val="0077CC"/>
            <w:position w:val="0"/>
            <w:sz w:val="20"/>
            <w:u w:val="single"/>
            <w:vertAlign w:val="baseline"/>
          </w:rPr>
          <w:t>Carey v. King</w:t>
        </w:r>
      </w:hyperlink>
      <w:hyperlink r:id="rId25" w:history="1">
        <w:r>
          <w:rPr>
            <w:rFonts w:ascii="arial" w:eastAsia="arial" w:hAnsi="arial" w:cs="arial"/>
            <w:b w:val="0"/>
            <w:i/>
            <w:strike w:val="0"/>
            <w:noProof w:val="0"/>
            <w:color w:val="0077CC"/>
            <w:position w:val="0"/>
            <w:sz w:val="20"/>
            <w:u w:val="single"/>
            <w:vertAlign w:val="baseline"/>
          </w:rPr>
          <w:t>, 856 F.2d 1439, 1441 (9th Cir. 1988)</w:t>
        </w:r>
      </w:hyperlink>
      <w:r>
        <w:rPr>
          <w:rFonts w:ascii="arial" w:eastAsia="arial" w:hAnsi="arial" w:cs="arial"/>
          <w:b w:val="0"/>
          <w:i w:val="0"/>
          <w:strike w:val="0"/>
          <w:noProof w:val="0"/>
          <w:color w:val="000000"/>
          <w:position w:val="0"/>
          <w:sz w:val="20"/>
          <w:u w:val="none"/>
          <w:vertAlign w:val="baseline"/>
        </w:rPr>
        <w:t xml:space="preserve"> (per curiam) (affirming dismissal for the failure to comply with a local rule requiring pro se litigants to keep the court apprised of their correct address); </w:t>
      </w:r>
      <w:hyperlink r:id="rId26" w:history="1">
        <w:r>
          <w:rPr>
            <w:rFonts w:ascii="arial" w:eastAsia="arial" w:hAnsi="arial" w:cs="arial"/>
            <w:b w:val="0"/>
            <w:i/>
            <w:strike w:val="0"/>
            <w:noProof w:val="0"/>
            <w:color w:val="0077CC"/>
            <w:position w:val="0"/>
            <w:sz w:val="20"/>
            <w:u w:val="single"/>
            <w:vertAlign w:val="baseline"/>
          </w:rPr>
          <w:t>Day v. Cockrell</w:t>
        </w:r>
      </w:hyperlink>
      <w:hyperlink r:id="rId26" w:history="1">
        <w:r>
          <w:rPr>
            <w:rFonts w:ascii="arial" w:eastAsia="arial" w:hAnsi="arial" w:cs="arial"/>
            <w:b w:val="0"/>
            <w:i/>
            <w:strike w:val="0"/>
            <w:noProof w:val="0"/>
            <w:color w:val="0077CC"/>
            <w:position w:val="0"/>
            <w:sz w:val="20"/>
            <w:u w:val="single"/>
            <w:vertAlign w:val="baseline"/>
          </w:rPr>
          <w:t>, 2002 U.S. Dist. LEXIS 22640, 2002 WL 31757777, at *1 (N.D. Tex. Nov. 21, 2002)</w:t>
        </w:r>
      </w:hyperlink>
      <w:r>
        <w:rPr>
          <w:rFonts w:ascii="arial" w:eastAsia="arial" w:hAnsi="arial" w:cs="arial"/>
          <w:b w:val="0"/>
          <w:i w:val="0"/>
          <w:strike w:val="0"/>
          <w:noProof w:val="0"/>
          <w:color w:val="000000"/>
          <w:position w:val="0"/>
          <w:sz w:val="20"/>
          <w:u w:val="none"/>
          <w:vertAlign w:val="baseline"/>
        </w:rPr>
        <w:t xml:space="preserve"> (dismissing habeas petition where the petitioner failed to notify the court of his change of address and orders were returned to the court as undeliverable). Indeed, the circumstances suggest that Plaintiff has simply lost interest in pursuing this case</w:t>
      </w:r>
      <w:r>
        <w:rPr>
          <w:rFonts w:ascii="arial" w:eastAsia="arial" w:hAnsi="arial" w:cs="arial"/>
          <w:b w:val="0"/>
          <w:i/>
          <w:strike w:val="0"/>
          <w:noProof w:val="0"/>
          <w:color w:val="000000"/>
          <w:position w:val="0"/>
          <w:sz w:val="20"/>
          <w:u w:val="none"/>
          <w:vertAlign w:val="baseline"/>
        </w:rPr>
        <w:t xml:space="preserve">. See </w:t>
      </w:r>
      <w:hyperlink r:id="rId22" w:history="1">
        <w:r>
          <w:rPr>
            <w:rFonts w:ascii="arial" w:eastAsia="arial" w:hAnsi="arial" w:cs="arial"/>
            <w:b w:val="0"/>
            <w:i/>
            <w:strike w:val="0"/>
            <w:noProof w:val="0"/>
            <w:color w:val="0077CC"/>
            <w:position w:val="0"/>
            <w:sz w:val="20"/>
            <w:u w:val="single"/>
            <w:vertAlign w:val="baseline"/>
          </w:rPr>
          <w:t>Figueroa-Hernandez</w:t>
        </w:r>
      </w:hyperlink>
      <w:hyperlink r:id="rId22" w:history="1">
        <w:r>
          <w:rPr>
            <w:rFonts w:ascii="arial" w:eastAsia="arial" w:hAnsi="arial" w:cs="arial"/>
            <w:b w:val="0"/>
            <w:i/>
            <w:strike w:val="0"/>
            <w:noProof w:val="0"/>
            <w:color w:val="0077CC"/>
            <w:position w:val="0"/>
            <w:sz w:val="20"/>
            <w:u w:val="single"/>
            <w:vertAlign w:val="baseline"/>
          </w:rPr>
          <w:t>, 2005 U.S. Dist. LEXIS 51400, 2005 WL 2263462, at *3</w:t>
        </w:r>
      </w:hyperlink>
      <w:r>
        <w:rPr>
          <w:rFonts w:ascii="arial" w:eastAsia="arial" w:hAnsi="arial" w:cs="arial"/>
          <w:b w:val="0"/>
          <w:i w:val="0"/>
          <w:strike w:val="0"/>
          <w:noProof w:val="0"/>
          <w:color w:val="000000"/>
          <w:position w:val="0"/>
          <w:sz w:val="20"/>
          <w:u w:val="none"/>
          <w:vertAlign w:val="baseline"/>
        </w:rPr>
        <w:t xml:space="preserve"> (concluding that the failure to advise the clerk of any address changes suggests that a litigant has lost interest in pursuing their claims).</w:t>
      </w:r>
    </w:p>
    <w:p>
      <w:pPr>
        <w:keepNext w:val="0"/>
        <w:spacing w:before="200" w:after="0" w:line="260" w:lineRule="atLeast"/>
        <w:ind w:left="0" w:right="0" w:firstLine="0"/>
        <w:jc w:val="both"/>
      </w:pPr>
      <w:bookmarkStart w:id="30" w:name="Bookmark_para_18"/>
      <w:bookmarkEnd w:id="30"/>
      <w:r>
        <w:rPr>
          <w:rFonts w:ascii="arial" w:eastAsia="arial" w:hAnsi="arial" w:cs="arial"/>
          <w:b w:val="0"/>
          <w:i w:val="0"/>
          <w:strike w:val="0"/>
          <w:noProof w:val="0"/>
          <w:color w:val="000000"/>
          <w:position w:val="0"/>
          <w:sz w:val="20"/>
          <w:u w:val="none"/>
          <w:vertAlign w:val="baseline"/>
        </w:rPr>
        <w:t xml:space="preserve">It bears noting that the heightened dismissal-with-prejudice standard does not apply to Plaintiffs claim of medical indifference because the limitations period on that claim has yet to expire. The generally applicable limitations period borrowed from Texas law is at least two years. </w:t>
      </w:r>
      <w:r>
        <w:rPr>
          <w:rFonts w:ascii="arial" w:eastAsia="arial" w:hAnsi="arial" w:cs="arial"/>
          <w:b w:val="0"/>
          <w:i/>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A.W. v. Feenstra</w:t>
        </w:r>
      </w:hyperlink>
      <w:hyperlink r:id="rId27" w:history="1">
        <w:r>
          <w:rPr>
            <w:rFonts w:ascii="arial" w:eastAsia="arial" w:hAnsi="arial" w:cs="arial"/>
            <w:b w:val="0"/>
            <w:i/>
            <w:strike w:val="0"/>
            <w:noProof w:val="0"/>
            <w:color w:val="0077CC"/>
            <w:position w:val="0"/>
            <w:sz w:val="20"/>
            <w:u w:val="single"/>
            <w:vertAlign w:val="baseline"/>
          </w:rPr>
          <w:t>, 2015 U.S. Dist. LEXIS 97346, 2015 WL 4537750, at *6 (S.D. Tex. July 27, 2015)</w:t>
        </w:r>
      </w:hyperlink>
      <w:r>
        <w:rPr>
          <w:rFonts w:ascii="arial" w:eastAsia="arial" w:hAnsi="arial" w:cs="arial"/>
          <w:b w:val="0"/>
          <w:i w:val="0"/>
          <w:strike w:val="0"/>
          <w:noProof w:val="0"/>
          <w:color w:val="000000"/>
          <w:position w:val="0"/>
          <w:sz w:val="20"/>
          <w:u w:val="none"/>
          <w:vertAlign w:val="baseline"/>
        </w:rPr>
        <w:t xml:space="preserve"> (citing </w:t>
      </w:r>
      <w:hyperlink r:id="rId28" w:history="1">
        <w:r>
          <w:rPr>
            <w:rFonts w:ascii="arial" w:eastAsia="arial" w:hAnsi="arial" w:cs="arial"/>
            <w:b w:val="0"/>
            <w:i/>
            <w:strike w:val="0"/>
            <w:noProof w:val="0"/>
            <w:color w:val="0077CC"/>
            <w:position w:val="0"/>
            <w:sz w:val="20"/>
            <w:u w:val="single"/>
            <w:vertAlign w:val="baseline"/>
          </w:rPr>
          <w:t>Piotrowski v. City of Houston</w:t>
        </w:r>
      </w:hyperlink>
      <w:hyperlink r:id="rId28" w:history="1">
        <w:r>
          <w:rPr>
            <w:rFonts w:ascii="arial" w:eastAsia="arial" w:hAnsi="arial" w:cs="arial"/>
            <w:b w:val="0"/>
            <w:i/>
            <w:strike w:val="0"/>
            <w:noProof w:val="0"/>
            <w:color w:val="0077CC"/>
            <w:position w:val="0"/>
            <w:sz w:val="20"/>
            <w:u w:val="single"/>
            <w:vertAlign w:val="baseline"/>
          </w:rPr>
          <w:t>, 51 F.3d 512, 514 n.5 (5th Cir. 1995)</w:t>
        </w:r>
      </w:hyperlink>
      <w:r>
        <w:rPr>
          <w:rFonts w:ascii="arial" w:eastAsia="arial" w:hAnsi="arial" w:cs="arial"/>
          <w:b w:val="0"/>
          <w:i w:val="0"/>
          <w:strike w:val="0"/>
          <w:noProof w:val="0"/>
          <w:color w:val="000000"/>
          <w:position w:val="0"/>
          <w:sz w:val="20"/>
          <w:u w:val="none"/>
          <w:vertAlign w:val="baseline"/>
        </w:rPr>
        <w:t>). Less than one year has passed since Plaintiff was rendered the supposedly inadequate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medical treatment.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31" w:name="Bookmark_para_19"/>
      <w:bookmarkEnd w:id="31"/>
      <w:r>
        <w:rPr>
          <w:rFonts w:ascii="arial" w:eastAsia="arial" w:hAnsi="arial" w:cs="arial"/>
          <w:b w:val="0"/>
          <w:i w:val="0"/>
          <w:strike w:val="0"/>
          <w:noProof w:val="0"/>
          <w:color w:val="000000"/>
          <w:position w:val="0"/>
          <w:sz w:val="20"/>
          <w:u w:val="none"/>
          <w:vertAlign w:val="baseline"/>
        </w:rPr>
        <w:t xml:space="preserve">After review of the record and relevant law, the Magistrate Judge RECOMMENDS that Plaintiff's civil rights action be DISMISSED for the failure to prosecute pursuant to </w:t>
      </w:r>
      <w:hyperlink r:id="rId11"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Notice to the Parties</w:t>
      </w:r>
    </w:p>
    <w:p>
      <w:pPr>
        <w:keepNext w:val="0"/>
        <w:spacing w:before="240" w:after="0" w:line="260" w:lineRule="atLeast"/>
        <w:ind w:left="0" w:right="0" w:firstLine="0"/>
        <w:jc w:val="both"/>
      </w:pPr>
      <w:bookmarkStart w:id="32" w:name="Bookmark_para_20"/>
      <w:bookmarkEnd w:id="32"/>
      <w:r>
        <w:rPr>
          <w:rFonts w:ascii="arial" w:eastAsia="arial" w:hAnsi="arial" w:cs="arial"/>
          <w:b w:val="0"/>
          <w:i w:val="0"/>
          <w:strike w:val="0"/>
          <w:noProof w:val="0"/>
          <w:color w:val="000000"/>
          <w:position w:val="0"/>
          <w:sz w:val="20"/>
          <w:u w:val="none"/>
          <w:vertAlign w:val="baseline"/>
        </w:rPr>
        <w:t xml:space="preserve">Within fourteen (14) days after being served a copy of this report, a party may serve and file specific, written objections to the proposed recommendations. </w:t>
      </w:r>
      <w:hyperlink r:id="rId10"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Fed. R. Civ. P. 72(b)</w:t>
        </w:r>
      </w:hyperlink>
      <w:r>
        <w:rPr>
          <w:rFonts w:ascii="arial" w:eastAsia="arial" w:hAnsi="arial" w:cs="arial"/>
          <w:b w:val="0"/>
          <w:i w:val="0"/>
          <w:strike w:val="0"/>
          <w:noProof w:val="0"/>
          <w:color w:val="000000"/>
          <w:position w:val="0"/>
          <w:sz w:val="20"/>
          <w:u w:val="none"/>
          <w:vertAlign w:val="baseline"/>
        </w:rPr>
        <w:t>. Failure to file written objections within fourteen (14) days after service shall bar an aggrieved party from de novo review by the District Court on an issue covered in this report and from appellate review of factual findings accepted or adopted by the District Court, except on grounds of clear error or manifest injustice.</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Directive to Clerk of Court</w:t>
      </w:r>
    </w:p>
    <w:p>
      <w:pPr>
        <w:keepNext w:val="0"/>
        <w:spacing w:before="200" w:after="0" w:line="260" w:lineRule="atLeast"/>
        <w:ind w:left="0" w:right="0" w:firstLine="0"/>
        <w:jc w:val="both"/>
      </w:pPr>
      <w:bookmarkStart w:id="33" w:name="Bookmark_para_21"/>
      <w:bookmarkEnd w:id="33"/>
      <w:r>
        <w:rPr>
          <w:rFonts w:ascii="arial" w:eastAsia="arial" w:hAnsi="arial" w:cs="arial"/>
          <w:b w:val="0"/>
          <w:i w:val="0"/>
          <w:strike w:val="0"/>
          <w:noProof w:val="0"/>
          <w:color w:val="000000"/>
          <w:position w:val="0"/>
          <w:sz w:val="20"/>
          <w:u w:val="none"/>
          <w:vertAlign w:val="baseline"/>
        </w:rPr>
        <w:t>The Clerk of Court is DIRECTED to forward a copy of this report to Plaintiff at the address currently on record by any receipted means.</w:t>
      </w:r>
    </w:p>
    <w:p>
      <w:pPr>
        <w:keepNext w:val="0"/>
        <w:spacing w:before="200" w:after="0" w:line="260" w:lineRule="atLeast"/>
        <w:ind w:left="0" w:right="0" w:firstLine="0"/>
        <w:jc w:val="both"/>
      </w:pPr>
      <w:bookmarkStart w:id="34" w:name="Bookmark_para_22"/>
      <w:bookmarkEnd w:id="34"/>
      <w:r>
        <w:rPr>
          <w:rFonts w:ascii="arial" w:eastAsia="arial" w:hAnsi="arial" w:cs="arial"/>
          <w:b w:val="0"/>
          <w:i w:val="0"/>
          <w:strike w:val="0"/>
          <w:noProof w:val="0"/>
          <w:color w:val="000000"/>
          <w:position w:val="0"/>
          <w:sz w:val="20"/>
          <w:u w:val="none"/>
          <w:vertAlign w:val="baseline"/>
        </w:rPr>
        <w:t>DONE at McAllen, Texas this 12th day of May 2023.</w:t>
      </w:r>
    </w:p>
    <w:p>
      <w:pPr>
        <w:keepNext w:val="0"/>
        <w:spacing w:before="200" w:after="0" w:line="260" w:lineRule="atLeast"/>
        <w:ind w:left="0" w:right="0" w:firstLine="0"/>
        <w:jc w:val="both"/>
      </w:pPr>
      <w:bookmarkStart w:id="35" w:name="Bookmark_para_23"/>
      <w:bookmarkEnd w:id="35"/>
      <w:r>
        <w:rPr>
          <w:rFonts w:ascii="arial" w:eastAsia="arial" w:hAnsi="arial" w:cs="arial"/>
          <w:b w:val="0"/>
          <w:i w:val="0"/>
          <w:strike w:val="0"/>
          <w:noProof w:val="0"/>
          <w:color w:val="000000"/>
          <w:position w:val="0"/>
          <w:sz w:val="20"/>
          <w:u w:val="none"/>
          <w:vertAlign w:val="baseline"/>
        </w:rPr>
        <w:t>/s/ J. Scott Hacker</w:t>
      </w:r>
    </w:p>
    <w:p>
      <w:pPr>
        <w:keepNext w:val="0"/>
        <w:spacing w:before="200" w:after="0" w:line="260" w:lineRule="atLeast"/>
        <w:ind w:left="0" w:right="0" w:firstLine="0"/>
        <w:jc w:val="both"/>
      </w:pPr>
      <w:bookmarkStart w:id="36" w:name="Bookmark_para_24"/>
      <w:bookmarkEnd w:id="36"/>
      <w:r>
        <w:rPr>
          <w:rFonts w:ascii="arial" w:eastAsia="arial" w:hAnsi="arial" w:cs="arial"/>
          <w:b w:val="0"/>
          <w:i w:val="0"/>
          <w:strike w:val="0"/>
          <w:noProof w:val="0"/>
          <w:color w:val="000000"/>
          <w:position w:val="0"/>
          <w:sz w:val="20"/>
          <w:u w:val="none"/>
          <w:vertAlign w:val="baseline"/>
        </w:rPr>
        <w:t>J. SCOTT HACKER</w:t>
      </w:r>
    </w:p>
    <w:p>
      <w:pPr>
        <w:keepNext w:val="0"/>
        <w:spacing w:before="200" w:after="0" w:line="260" w:lineRule="atLeast"/>
        <w:ind w:left="0" w:right="0" w:firstLine="0"/>
        <w:jc w:val="both"/>
      </w:pPr>
      <w:bookmarkStart w:id="37" w:name="Bookmark_para_25"/>
      <w:bookmarkEnd w:id="37"/>
      <w:r>
        <w:rPr>
          <w:rFonts w:ascii="arial" w:eastAsia="arial" w:hAnsi="arial" w:cs="arial"/>
          <w:b w:val="0"/>
          <w:i w:val="0"/>
          <w:strike w:val="0"/>
          <w:noProof w:val="0"/>
          <w:color w:val="000000"/>
          <w:position w:val="0"/>
          <w:sz w:val="20"/>
          <w:u w:val="none"/>
          <w:vertAlign w:val="baseline"/>
        </w:rPr>
        <w:t>United States Magistrate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The appeal was recently dismissed for want of prosecution insofar as Plaintiff failed to either pay the appellate filing fees or otherwise move to proceed in forma pauperis on appeal.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18).</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8" w:name="Bookmark_fnpara_2"/>
      <w:bookmarkEnd w:id="18"/>
      <w:r>
        <w:rPr>
          <w:rFonts w:ascii="arial" w:eastAsia="arial" w:hAnsi="arial" w:cs="arial"/>
          <w:b w:val="0"/>
          <w:i w:val="0"/>
          <w:strike w:val="0"/>
          <w:noProof w:val="0"/>
          <w:color w:val="000000"/>
          <w:position w:val="0"/>
          <w:sz w:val="18"/>
          <w:u w:val="none"/>
          <w:vertAlign w:val="baseline"/>
        </w:rPr>
        <w:t>For information about Plaintiffs incarceration, his TDCJ number, 02432790, can be used to query the TDCJ's Inmate Information Search page at https://inmate.tdcj.texas.gov/InmateSearch/start.action (last visited May 9, 2023). Plaintiff's projected release date is June 11, 2023.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Briones v. Guerra, 2023 U.S. Dist. LEXIS 175932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BK-00000-00&amp;context=1519360" TargetMode="External" /><Relationship Id="rId11" Type="http://schemas.openxmlformats.org/officeDocument/2006/relationships/hyperlink" Target="https://advance.lexis.com/api/document?collection=statutes-legislation&amp;id=urn:contentItem:5GYC-22N1-6N19-F026-00000-00&amp;context=1519360" TargetMode="External" /><Relationship Id="rId12" Type="http://schemas.openxmlformats.org/officeDocument/2006/relationships/hyperlink" Target="https://advance.lexis.com/api/document?collection=statutes-legislation&amp;id=urn:contentItem:8SG9-5HW2-D6RV-H0RK-00000-00&amp;context=1519360" TargetMode="External" /><Relationship Id="rId13" Type="http://schemas.openxmlformats.org/officeDocument/2006/relationships/hyperlink" Target="https://advance.lexis.com/api/document?collection=cases&amp;id=urn:contentItem:3V09-9TC0-0038-X145-00000-00&amp;context=1519360" TargetMode="External" /><Relationship Id="rId14" Type="http://schemas.openxmlformats.org/officeDocument/2006/relationships/hyperlink" Target="https://advance.lexis.com/api/document?collection=cases&amp;id=urn:contentItem:3S4X-H7H0-003B-S4YS-00000-00&amp;context=1519360" TargetMode="External" /><Relationship Id="rId15" Type="http://schemas.openxmlformats.org/officeDocument/2006/relationships/hyperlink" Target="https://advance.lexis.com/api/document?collection=cases&amp;id=urn:contentItem:3S4X-HYK0-0039-P2PW-00000-00&amp;context=1519360" TargetMode="External" /><Relationship Id="rId16" Type="http://schemas.openxmlformats.org/officeDocument/2006/relationships/hyperlink" Target="https://advance.lexis.com/api/document?collection=cases&amp;id=urn:contentItem:3S4X-07X0-008H-V2RS-00000-00&amp;context=1519360" TargetMode="External" /><Relationship Id="rId17" Type="http://schemas.openxmlformats.org/officeDocument/2006/relationships/hyperlink" Target="https://advance.lexis.com/api/document?collection=cases&amp;id=urn:contentItem:5M3K-HVB1-F04F-C03V-00000-00&amp;context=1519360" TargetMode="External" /><Relationship Id="rId18" Type="http://schemas.openxmlformats.org/officeDocument/2006/relationships/hyperlink" Target="https://advance.lexis.com/api/document?collection=cases&amp;id=urn:contentItem:3S4X-DN60-008H-V16M-00000-00&amp;context=1519360" TargetMode="External" /><Relationship Id="rId19" Type="http://schemas.openxmlformats.org/officeDocument/2006/relationships/hyperlink" Target="https://advance.lexis.com/api/document?collection=cases&amp;id=urn:contentItem:5M3G-64J1-F04F-C02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D34-MYY0-0038-X3JY-00000-00&amp;context=1519360" TargetMode="External" /><Relationship Id="rId21" Type="http://schemas.openxmlformats.org/officeDocument/2006/relationships/hyperlink" Target="https://advance.lexis.com/api/document?collection=cases&amp;id=urn:contentItem:3W7P-FR60-0038-X4DP-00000-00&amp;context=1519360" TargetMode="External" /><Relationship Id="rId22" Type="http://schemas.openxmlformats.org/officeDocument/2006/relationships/hyperlink" Target="https://advance.lexis.com/api/document?collection=cases&amp;id=urn:contentItem:5V73-YYV1-FH4C-X02K-00000-00&amp;context=1519360" TargetMode="External" /><Relationship Id="rId23" Type="http://schemas.openxmlformats.org/officeDocument/2006/relationships/hyperlink" Target="https://advance.lexis.com/api/document?collection=cases&amp;id=urn:contentItem:47GF-Y320-0038-Y1H9-00000-00&amp;context=1519360" TargetMode="External" /><Relationship Id="rId24" Type="http://schemas.openxmlformats.org/officeDocument/2006/relationships/hyperlink" Target="https://advance.lexis.com/api/document?collection=cases&amp;id=urn:contentItem:4PS5-N4P0-TXFX-72X4-00000-00&amp;context=1519360" TargetMode="External" /><Relationship Id="rId25" Type="http://schemas.openxmlformats.org/officeDocument/2006/relationships/hyperlink" Target="https://advance.lexis.com/api/document?collection=cases&amp;id=urn:contentItem:3S4W-Y8R0-001B-K1M8-00000-00&amp;context=1519360" TargetMode="External" /><Relationship Id="rId26" Type="http://schemas.openxmlformats.org/officeDocument/2006/relationships/hyperlink" Target="https://advance.lexis.com/api/document?collection=cases&amp;id=urn:contentItem:479M-V9N0-0038-Y4N7-00000-00&amp;context=1519360" TargetMode="External" /><Relationship Id="rId27" Type="http://schemas.openxmlformats.org/officeDocument/2006/relationships/hyperlink" Target="https://advance.lexis.com/api/document?collection=cases&amp;id=urn:contentItem:5GJ3-S951-F04F-C2GB-00000-00&amp;context=1519360" TargetMode="External" /><Relationship Id="rId28" Type="http://schemas.openxmlformats.org/officeDocument/2006/relationships/hyperlink" Target="https://advance.lexis.com/api/document?collection=cases&amp;id=urn:contentItem:3S4X-FJG0-001T-D1R0-00000-00&amp;context=1519360" TargetMode="External" /><Relationship Id="rId29" Type="http://schemas.openxmlformats.org/officeDocument/2006/relationships/hyperlink" Target="https://advance.lexis.com/api/document?collection=statutes-legislation&amp;id=urn:contentItem:69J2-YYM3-RSTH-12MB-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90-4NB1-FG68-G00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Briones v. Guerra, 2023 U.S. Dist. LEXIS 175932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60</vt:lpwstr>
  </property>
  <property fmtid="{D5CDD505-2E9C-101B-9397-08002B2CF9AE}" pid="3" name="LADocCount">
    <vt:lpwstr>1</vt:lpwstr>
  </property>
  <property fmtid="{D5CDD505-2E9C-101B-9397-08002B2CF9AE}" pid="4" name="LADocumentID:60">
    <vt:lpwstr>Doc::urn:hlct:5|contextualFeaturePermID::1519360</vt:lpwstr>
  </property>
  <property fmtid="{D5CDD505-2E9C-101B-9397-08002B2CF9AE}" pid="5" name="UserPermID">
    <vt:lpwstr>urn:user:PA186186283</vt:lpwstr>
  </property>
</Properties>
</file>