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Estate of Holliman v. Turner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Mississippi, Greenville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2023, Decided; September 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4:22-CV-75-DMB-JMV</w:t>
      </w:r>
    </w:p>
    <w:p>
      <w:pPr>
        <w:keepNext w:val="0"/>
        <w:spacing w:after="0" w:line="240" w:lineRule="atLeast"/>
        <w:ind w:right="0"/>
        <w:jc w:val="both"/>
      </w:pPr>
      <w:bookmarkStart w:id="0" w:name="Bookmark_4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155179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5673443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ESTATE OF ROOSEVELT HOLLIMAN; and MICHELLE LUMZY, individually and in her capacity as the Administratrix of the Estate of Roosevelt Holliman, PLAINTIFFS v. MARSHAL TURNER,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Est. of Holliman v. Turner, 2023 U.S. Dist. LEXIS 155178 (N.D. Miss., Sept. 1,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official capacity, immunity</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The Estate of Roosevelt Holliman, Plaintiff: Charles R. McRae, LEAD ATTORNEY, MCRAE LAW FIRM, Jackson, MS; Hillary Mara Nappi, LEAD ATTORNEY, Hach Rose Schirripa &amp; Cheverie LLP, New York, NY; Joseph Cannizzo, Jr., Lento Law Group, P.C., Birmingham, 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Michelle Lumzy, individually and in her capacity as Administratrix of the Estate of Roosevelt Holliman, Plaintiff: Charles R. McRae, LEAD ATTORNEY, MCRAE LAW FIRM, Jackson, MS; Frank Rocco Schirripa, LEAD ATTORNEY, PRO HAC VICE, Hach Rose Schirripa &amp; Cheverie, New York, NY; Hillary Mara Nappi, LEAD ATTORNEY, PRO HAC VICE, Hach Rose Schirripa &amp; Cheverie LLP, New York, NY; Joseph Cannizzo, Jr., LEAD ATTORNEY, PRO HAC VICE, Lento Law Group, P.C., Birmingham, 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Marshal Turner, Pelicia Hall, Jacqueline Banks, Lola Nelson, Defendants: Drew D. Guyton, LEAD ATTORNEY, MISSISSIPPI ATTORNEY GENERAL'S OFFICE, Jackson, 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Brenda S. Cox, Jeworski Mallett, Sean Smith, Defendants: Jackie R. Bost, II, LEAD ATTORNEY, Office of the Attorney General, Jackson, MS; Drew D. Guyton, MISSISSIPPI ATTORNEY GENERAL'S OFFICE, Jackson, MS.</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Debra M. Brown,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Debra M. Brown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Roosevelt Holliman was stabbed to death in his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cell by fellow inmates at the Mississippi State Penitentiary in Parchman, Mississippi. Holliman's estate and the administratrix of his estate sued multiple Mississippi Department of Corrections employees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alleging violations of Holliman's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as well as wrongful death under Mississippi law. The Court dismissed some claims and defendants on earlier motions. Three of the remaining defendants—Timothy Morris, Lee Simon, and Mike Hatten—have moved to dismiss "any official capacity claims" against them. Because the amended complaint contains no "official capacity" claims against these defendants, there are no such claims to dismiss.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Procedural History</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May 20, 2022, the Estate of Roosevelt Holliman and Michelle Lumzy, individually and in her capacity as the Administratrix of the Estate of Roosevelt Holliman, filed a complaint in the United States District Court for the Northern District of Mississippi against Marshal Turner, Brenda S. Cox, Pelicia Hall, Jeworski Mallett, Sean Smith, Timothy Morris, Lee Simon, Marylen Sturdivant, Mike Hatten, Jacqueline Banks, Rita Bonner, Lola Nelson, Chanel Red Connor, and John Doe. Doc. #1. Because Hatten, Banks, Bonner, and Nelson were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named in the "Parties" section of the complaint but not listed in the caption,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plaintiffs filed an amended complaint on July 7, 2022, adding them to the caption. Doc. #16.</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Asserting jurisdiction under </w:t>
      </w:r>
      <w:hyperlink r:id="rId14"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 xml:space="preserve">, the amended complaint alleges claims in four counts, all of which arise from the circumstances surrounding Holliman's death while he was an inmate at Parchman: (1) Count I, Violation of Civil Rights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 Failure to Protect; (2) Count II, Violation of Civil Rights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Failure to Train &amp; Supervise; (3) Count III, Violation of Civil Rights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 Cruel and Unusual Punishment; and (4) Count IV, Wrongful Death under Mississippi State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14-19. The plaintiffs seek "compensatory damages;" "punitive damages;" and "reasonable attorney's fees and costs;" and for the Estate only, under the Mississippi Wrongful Death Act, "fair and equitable damages, including, but not limited to, reasonable medical, hospital, funeral, and burial expenses ...; reasonable compensation for Mr. Holliman's pain and suffering ...; ... damages for the loss of Mr. Holliman's financial support, society, and companionship; as well as any other damages cognizable under law;" and "[a]ny such</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other relief as appears just and proper."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19-20.</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On February 10, 2023, this Court granted the motions to dismiss of Turner, Banks, Cox, Hall, Mallett, Nelson, and Smith based on failure to state a claim and dismissed those defendants without prejudice. Doc. #87.</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On January 25, 2023, Morris, Simon, and Hatten filed a joint motion to dismiss "any official capacity claims"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Doc. #78. The motion is fully briefed. Docs. #79, #85,</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Standard</w:t>
      </w:r>
    </w:p>
    <w:p>
      <w:pPr>
        <w:keepNext w:val="0"/>
        <w:spacing w:before="240" w:after="0" w:line="260" w:lineRule="atLeast"/>
        <w:ind w:left="0" w:right="0" w:firstLine="0"/>
        <w:jc w:val="both"/>
      </w:pPr>
      <w:bookmarkStart w:id="15" w:name="Bookmark_para_6"/>
      <w:bookmarkEnd w:id="15"/>
      <w:bookmarkStart w:id="16" w:name="Bookmark_I693VRP528T3WB0020000400"/>
      <w:bookmarkEnd w:id="16"/>
      <w:r>
        <w:rPr>
          <w:rFonts w:ascii="arial" w:eastAsia="arial" w:hAnsi="arial" w:cs="arial"/>
          <w:b w:val="0"/>
          <w:i w:val="0"/>
          <w:strike w:val="0"/>
          <w:noProof w:val="0"/>
          <w:color w:val="000000"/>
          <w:position w:val="0"/>
          <w:sz w:val="20"/>
          <w:u w:val="none"/>
          <w:vertAlign w:val="baseline"/>
        </w:rPr>
        <w:t xml:space="preserve">Motions under </w:t>
      </w:r>
      <w:r>
        <w:rPr>
          <w:rFonts w:ascii="arial" w:eastAsia="arial" w:hAnsi="arial" w:cs="arial"/>
          <w:b w:val="0"/>
          <w:i/>
          <w:strike w:val="0"/>
          <w:noProof w:val="0"/>
          <w:color w:val="000000"/>
          <w:position w:val="0"/>
          <w:sz w:val="20"/>
          <w:u w:val="none"/>
          <w:vertAlign w:val="baseline"/>
        </w:rPr>
        <w:t>Federal Rule of Civil Procedure 12(b)(1)</w:t>
      </w:r>
      <w:r>
        <w:rPr>
          <w:rFonts w:ascii="arial" w:eastAsia="arial" w:hAnsi="arial" w:cs="arial"/>
          <w:b w:val="0"/>
          <w:i w:val="0"/>
          <w:strike w:val="0"/>
          <w:noProof w:val="0"/>
          <w:color w:val="000000"/>
          <w:position w:val="0"/>
          <w:sz w:val="20"/>
          <w:u w:val="none"/>
          <w:vertAlign w:val="baseline"/>
        </w:rPr>
        <w:t xml:space="preserve"> challenge a court's subject matter jurisdiction. "Where, as here, the movant mounts a facial attack on jurisdiction based only on the allegations in the complaint, the court simply considers the sufficiency of the allegations in the complaint because they are presumed to be true." </w:t>
      </w:r>
      <w:bookmarkStart w:id="17" w:name="Bookmark_I693VRP528T3WB0010000400"/>
      <w:bookmarkEnd w:id="17"/>
      <w:hyperlink r:id="rId15" w:history="1">
        <w:r>
          <w:rPr>
            <w:rFonts w:ascii="arial" w:eastAsia="arial" w:hAnsi="arial" w:cs="arial"/>
            <w:b w:val="0"/>
            <w:i/>
            <w:strike w:val="0"/>
            <w:noProof w:val="0"/>
            <w:color w:val="0077CC"/>
            <w:position w:val="0"/>
            <w:sz w:val="20"/>
            <w:u w:val="single"/>
            <w:vertAlign w:val="baseline"/>
          </w:rPr>
          <w:t>Lee v. Verizon Communs., Inc.</w:t>
        </w:r>
      </w:hyperlink>
      <w:hyperlink r:id="rId15" w:history="1">
        <w:r>
          <w:rPr>
            <w:rFonts w:ascii="arial" w:eastAsia="arial" w:hAnsi="arial" w:cs="arial"/>
            <w:b w:val="0"/>
            <w:i/>
            <w:strike w:val="0"/>
            <w:noProof w:val="0"/>
            <w:color w:val="0077CC"/>
            <w:position w:val="0"/>
            <w:sz w:val="20"/>
            <w:u w:val="single"/>
            <w:vertAlign w:val="baseline"/>
          </w:rPr>
          <w:t>, 837 F.3d 523, 533 (5th Cir. 2016)</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Relevant Factual Allegations</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At all relevant times, the Mississippi Department of Corrections ("MDOC") employed Timothy Morris as a Warden, Lee Simon as a Deputy Warden, and Mike Hatten as a supervisor. Doc. #16 at 4.</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 xml:space="preserve">On January 2, 2020, Roosevelt Holliman was in his cell in "Unit 29 in Area 1 of Parchman Farms," the "Mississippi State Penitentiary ... in Parchman, Mississippi."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6. Unit 29 is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 segregated section for prisoners "with heightened security and greater restrictions than general population."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xml:space="preserve">In "the evening of January 1, 2020, or early morning of January 2, 2020," "Chanel Red Conner, also known as Redmond," a corrections officer at Parchman Farms, was on duty in Holliman's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Redmond "was involved in gang related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 Parchman Farms" and "wanted to 'get rid' of a prisoner as a result of his involvement with an opposing gang. This prisoner was not ... Holliman."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Redmond left Holliman's unit "and went to the neighboring unit where she released several inmates and provided them with large knives" that had been "chained to the kitchen tables."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Officer John Doe was the officer on duty in the neighboring unit when "Redmond instructed the prisoners to carry out the murder."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Doe "did nothing to stop ... Redmond or the prisoners with whom she had provided ... weapons."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Redmond and the armed prisoners returned to Holliman's unit, where she unlocked or provided the armed prisoners with keys to unlock Holliman's cell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Holliman was "stabbed to death by the prisoners [Redmond] released."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 w:name="Bookmark_para_10"/>
      <w:bookmarkEnd w:id="21"/>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Redmond contacted Michelle Lumzy, Holliman's sister and the administratrix of his estate, to "explain[] that the death of [Holliman] was a mistake and ... to apologize to [Lumzy] for causing the death of her brother."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7. The public explanation of Holliman's death is that he "was killed in a 'gang fight.'"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Redmond continues to work for MDOC at Parchman Farms "and was not terminated nor disciplined for her conduct."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 xml:space="preserve">When Holliman was killed on January 2, 2020, Parchman Farms was already "on lock down as a result of 'major disturbances,' i.e. several violent altercations and deaths within MDOC prisons."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On January 1, 2020, and January 3, 2020, respectively, other inmates in Unit 29 were stabbed to death as a result of gang related violence.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Analysis</w:t>
      </w:r>
    </w:p>
    <w:p>
      <w:pPr>
        <w:keepNext w:val="0"/>
        <w:spacing w:before="24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Morris, Simon, and Hatten argue that the "</w:t>
      </w:r>
      <w:hyperlink r:id="rId1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precludes claims against state officials acting in their official capacities" and "also immunizes states and their officials from state-law claims brought in federal court." Doc. #79 at 5. The plaintiffs respond that this case falls under the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 xml:space="preserve"> exception to </w:t>
      </w:r>
      <w:hyperlink r:id="rId1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sovereign immunity. Doc. #85 at 8-9. The defendants reply that no official capacity claims have been pled and, regardless, such would be barred by </w:t>
      </w:r>
      <w:hyperlink r:id="rId1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Doc. #88 at 1.</w:t>
      </w:r>
    </w:p>
    <w:p>
      <w:pPr>
        <w:keepNext w:val="0"/>
        <w:spacing w:before="240" w:after="0" w:line="260" w:lineRule="atLeast"/>
        <w:ind w:left="0" w:right="0" w:firstLine="0"/>
        <w:jc w:val="both"/>
      </w:pPr>
      <w:bookmarkStart w:id="24" w:name="Bookmark_para_13"/>
      <w:bookmarkEnd w:id="24"/>
      <w:bookmarkStart w:id="25" w:name="Bookmark_I693VRP528T3WB0040000400"/>
      <w:bookmarkEnd w:id="25"/>
      <w:bookmarkStart w:id="26" w:name="Bookmark_I693VRP62D6NBT0010000400"/>
      <w:bookmarkEnd w:id="26"/>
      <w:r>
        <w:rPr>
          <w:rFonts w:ascii="arial" w:eastAsia="arial" w:hAnsi="arial" w:cs="arial"/>
          <w:b w:val="0"/>
          <w:i w:val="0"/>
          <w:strike w:val="0"/>
          <w:noProof w:val="0"/>
          <w:color w:val="000000"/>
          <w:position w:val="0"/>
          <w:sz w:val="20"/>
          <w:u w:val="none"/>
          <w:vertAlign w:val="baseline"/>
        </w:rPr>
        <w:t xml:space="preserve">Under the </w:t>
      </w:r>
      <w:hyperlink r:id="rId1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"[d]efendants in an official-capacity action may assert sovereign immunity" but "sovereign immunity does not erect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 barrier against suits to impose individual and personal liability." </w:t>
      </w:r>
      <w:bookmarkStart w:id="27" w:name="Bookmark_I693VRP528T3WB0030000400"/>
      <w:bookmarkEnd w:id="27"/>
      <w:hyperlink r:id="rId17" w:history="1">
        <w:r>
          <w:rPr>
            <w:rFonts w:ascii="arial" w:eastAsia="arial" w:hAnsi="arial" w:cs="arial"/>
            <w:b w:val="0"/>
            <w:i/>
            <w:strike w:val="0"/>
            <w:noProof w:val="0"/>
            <w:color w:val="0077CC"/>
            <w:position w:val="0"/>
            <w:sz w:val="20"/>
            <w:u w:val="single"/>
            <w:vertAlign w:val="baseline"/>
          </w:rPr>
          <w:t>Lewis v. Clarke</w:t>
        </w:r>
      </w:hyperlink>
      <w:hyperlink r:id="rId17" w:history="1">
        <w:r>
          <w:rPr>
            <w:rFonts w:ascii="arial" w:eastAsia="arial" w:hAnsi="arial" w:cs="arial"/>
            <w:b w:val="0"/>
            <w:i/>
            <w:strike w:val="0"/>
            <w:noProof w:val="0"/>
            <w:color w:val="0077CC"/>
            <w:position w:val="0"/>
            <w:sz w:val="20"/>
            <w:u w:val="single"/>
            <w:vertAlign w:val="baseline"/>
          </w:rPr>
          <w:t>, 581 U.S. 155, 163, 137 S. Ct. 1285, 197 L. Ed. 2d 631 (2017)</w:t>
        </w:r>
      </w:hyperlink>
      <w:r>
        <w:rPr>
          <w:rFonts w:ascii="arial" w:eastAsia="arial" w:hAnsi="arial" w:cs="arial"/>
          <w:b w:val="0"/>
          <w:i w:val="0"/>
          <w:strike w:val="0"/>
          <w:noProof w:val="0"/>
          <w:color w:val="000000"/>
          <w:position w:val="0"/>
          <w:sz w:val="20"/>
          <w:u w:val="none"/>
          <w:vertAlign w:val="baseline"/>
        </w:rPr>
        <w:t xml:space="preserve"> (cleaned up). Likewise, the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 xml:space="preserve"> doctrine applies only to officers sued in their official capacities. </w:t>
      </w:r>
      <w:bookmarkStart w:id="28" w:name="Bookmark_I693VRP528T3WB0050000400"/>
      <w:bookmarkEnd w:id="28"/>
      <w:hyperlink r:id="rId18" w:history="1">
        <w:r>
          <w:rPr>
            <w:rFonts w:ascii="arial" w:eastAsia="arial" w:hAnsi="arial" w:cs="arial"/>
            <w:b w:val="0"/>
            <w:i/>
            <w:strike w:val="0"/>
            <w:noProof w:val="0"/>
            <w:color w:val="0077CC"/>
            <w:position w:val="0"/>
            <w:sz w:val="20"/>
            <w:u w:val="single"/>
            <w:vertAlign w:val="baseline"/>
          </w:rPr>
          <w:t>Williams ex rel. J.E. v. Reeves</w:t>
        </w:r>
      </w:hyperlink>
      <w:hyperlink r:id="rId18" w:history="1">
        <w:r>
          <w:rPr>
            <w:rFonts w:ascii="arial" w:eastAsia="arial" w:hAnsi="arial" w:cs="arial"/>
            <w:b w:val="0"/>
            <w:i/>
            <w:strike w:val="0"/>
            <w:noProof w:val="0"/>
            <w:color w:val="0077CC"/>
            <w:position w:val="0"/>
            <w:sz w:val="20"/>
            <w:u w:val="single"/>
            <w:vertAlign w:val="baseline"/>
          </w:rPr>
          <w:t>, 954 F.3d 729, 736 (5th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29" w:name="Bookmark_para_14"/>
      <w:bookmarkEnd w:id="29"/>
      <w:bookmarkStart w:id="30" w:name="Bookmark_I693VRP62D6NBT0030000400"/>
      <w:bookmarkEnd w:id="30"/>
      <w:r>
        <w:rPr>
          <w:rFonts w:ascii="arial" w:eastAsia="arial" w:hAnsi="arial" w:cs="arial"/>
          <w:b w:val="0"/>
          <w:i w:val="0"/>
          <w:strike w:val="0"/>
          <w:noProof w:val="0"/>
          <w:color w:val="000000"/>
          <w:position w:val="0"/>
          <w:sz w:val="20"/>
          <w:u w:val="none"/>
          <w:vertAlign w:val="baseline"/>
        </w:rPr>
        <w:t xml:space="preserve">[T]o establish </w:t>
      </w:r>
      <w:r>
        <w:rPr>
          <w:rFonts w:ascii="arial" w:eastAsia="arial" w:hAnsi="arial" w:cs="arial"/>
          <w:b w:val="0"/>
          <w:i/>
          <w:strike w:val="0"/>
          <w:noProof w:val="0"/>
          <w:color w:val="000000"/>
          <w:position w:val="0"/>
          <w:sz w:val="20"/>
          <w:u w:val="none"/>
          <w:vertAlign w:val="baseline"/>
        </w:rPr>
        <w:t>personal</w:t>
      </w:r>
      <w:r>
        <w:rPr>
          <w:rFonts w:ascii="arial" w:eastAsia="arial" w:hAnsi="arial" w:cs="arial"/>
          <w:b w:val="0"/>
          <w:i w:val="0"/>
          <w:strike w:val="0"/>
          <w:noProof w:val="0"/>
          <w:color w:val="000000"/>
          <w:position w:val="0"/>
          <w:sz w:val="20"/>
          <w:u w:val="none"/>
          <w:vertAlign w:val="baseline"/>
        </w:rPr>
        <w:t xml:space="preserve"> liability in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action, it is enough to show that the official, acting under the color of state law, caused the deprivation of a federal right. More is required in an official-capacity action, however, for a governmental entity is liable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only when the entity itself is a moving force behind the deprivation; thus, in an official-capacity suit the entity's policy or custom must have played a part in the violation of federal law.</w:t>
      </w:r>
    </w:p>
    <w:p>
      <w:pPr>
        <w:keepNext w:val="0"/>
        <w:spacing w:before="240" w:after="0" w:line="260" w:lineRule="atLeast"/>
        <w:ind w:left="0" w:right="0" w:firstLine="0"/>
        <w:jc w:val="both"/>
      </w:pPr>
      <w:bookmarkStart w:id="31" w:name="Bookmark_I693VRP62D6NBT0030000400_2"/>
      <w:bookmarkEnd w:id="31"/>
      <w:bookmarkStart w:id="32" w:name="Bookmark_I693VRP62D6NBT0020000400"/>
      <w:bookmarkEnd w:id="32"/>
      <w:hyperlink r:id="rId19" w:history="1">
        <w:r>
          <w:rPr>
            <w:rFonts w:ascii="arial" w:eastAsia="arial" w:hAnsi="arial" w:cs="arial"/>
            <w:b w:val="0"/>
            <w:i/>
            <w:strike w:val="0"/>
            <w:color w:val="0077CC"/>
            <w:sz w:val="20"/>
            <w:u w:val="single"/>
            <w:vertAlign w:val="baseline"/>
          </w:rPr>
          <w:t>Kentucky v. Graham</w:t>
        </w:r>
      </w:hyperlink>
      <w:hyperlink r:id="rId19" w:history="1">
        <w:r>
          <w:rPr>
            <w:rFonts w:ascii="arial" w:eastAsia="arial" w:hAnsi="arial" w:cs="arial"/>
            <w:b w:val="0"/>
            <w:i/>
            <w:strike w:val="0"/>
            <w:color w:val="0077CC"/>
            <w:sz w:val="20"/>
            <w:u w:val="single"/>
            <w:vertAlign w:val="baseline"/>
          </w:rPr>
          <w:t>, 473 U.S. 159, 166, 105 S. Ct. 3099, 87 L. Ed. 2d 114 (1985)</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33" w:name="Bookmark_para_15"/>
      <w:bookmarkEnd w:id="33"/>
      <w:r>
        <w:rPr>
          <w:rFonts w:ascii="arial" w:eastAsia="arial" w:hAnsi="arial" w:cs="arial"/>
          <w:b w:val="0"/>
          <w:i w:val="0"/>
          <w:strike w:val="0"/>
          <w:noProof w:val="0"/>
          <w:color w:val="000000"/>
          <w:position w:val="0"/>
          <w:sz w:val="20"/>
          <w:u w:val="none"/>
          <w:vertAlign w:val="baseline"/>
        </w:rPr>
        <w:t>Here, the plaintiffs sued the defendants in their individual and supervisory capacities. Doc. #16 at 2-4. The amended complaint does not allege any "official capacity" claims against the defendants. Because there are no official capacity claims alleged,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motion to dismiss them cannot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40" w:name="Bookmark_para_16"/>
      <w:bookmarkEnd w:id="40"/>
      <w:r>
        <w:rPr>
          <w:rFonts w:ascii="arial" w:eastAsia="arial" w:hAnsi="arial" w:cs="arial"/>
          <w:b w:val="0"/>
          <w:i w:val="0"/>
          <w:strike w:val="0"/>
          <w:noProof w:val="0"/>
          <w:color w:val="000000"/>
          <w:position w:val="0"/>
          <w:sz w:val="20"/>
          <w:u w:val="none"/>
          <w:vertAlign w:val="baseline"/>
        </w:rPr>
        <w:t xml:space="preserve">Morris, Simon, and Hatten's motion to dismiss any official capacity claims [78]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17"/>
      <w:bookmarkEnd w:id="41"/>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 this 1st day of September, 2023.</w:t>
      </w:r>
    </w:p>
    <w:p>
      <w:pPr>
        <w:keepNext w:val="0"/>
        <w:spacing w:before="200" w:after="0" w:line="260" w:lineRule="atLeast"/>
        <w:ind w:left="0" w:right="0" w:firstLine="0"/>
        <w:jc w:val="both"/>
      </w:pPr>
      <w:bookmarkStart w:id="42" w:name="Bookmark_para_18"/>
      <w:bookmarkEnd w:id="42"/>
      <w:r>
        <w:rPr>
          <w:rFonts w:ascii="arial" w:eastAsia="arial" w:hAnsi="arial" w:cs="arial"/>
          <w:b/>
          <w:i w:val="0"/>
          <w:strike w:val="0"/>
          <w:noProof w:val="0"/>
          <w:color w:val="000000"/>
          <w:position w:val="0"/>
          <w:sz w:val="20"/>
          <w:u w:val="none"/>
          <w:vertAlign w:val="baseline"/>
        </w:rPr>
        <w:t>/s/ Debra M. Brown</w:t>
      </w:r>
    </w:p>
    <w:p>
      <w:pPr>
        <w:keepNext w:val="0"/>
        <w:spacing w:before="200" w:after="0" w:line="260" w:lineRule="atLeast"/>
        <w:ind w:left="0" w:right="0" w:firstLine="0"/>
        <w:jc w:val="both"/>
      </w:pPr>
      <w:bookmarkStart w:id="43" w:name="Bookmark_para_19"/>
      <w:bookmarkEnd w:id="43"/>
      <w:r>
        <w:rPr>
          <w:rFonts w:ascii="arial" w:eastAsia="arial" w:hAnsi="arial" w:cs="arial"/>
          <w:b/>
          <w:i w:val="0"/>
          <w:strike w:val="0"/>
          <w:noProof w:val="0"/>
          <w:color w:val="000000"/>
          <w:position w:val="0"/>
          <w:sz w:val="20"/>
          <w:u w:val="none"/>
          <w:vertAlign w:val="baseline"/>
        </w:rPr>
        <w:t>UNITED</w:t>
      </w:r>
      <w:r>
        <w:rPr>
          <w:rFonts w:ascii="arial" w:eastAsia="arial" w:hAnsi="arial" w:cs="arial"/>
          <w:b/>
          <w:i w:val="0"/>
          <w:strike w:val="0"/>
          <w:noProof w:val="0"/>
          <w:color w:val="000000"/>
          <w:position w:val="0"/>
          <w:sz w:val="20"/>
          <w:u w:val="none"/>
          <w:vertAlign w:val="baseline"/>
        </w:rPr>
        <w:t> [*8] </w:t>
      </w:r>
      <w:r>
        <w:rPr>
          <w:rFonts w:ascii="arial" w:eastAsia="arial" w:hAnsi="arial" w:cs="arial"/>
          <w:b/>
          <w:i w:val="0"/>
          <w:strike w:val="0"/>
          <w:noProof w:val="0"/>
          <w:color w:val="000000"/>
          <w:position w:val="0"/>
          <w:sz w:val="20"/>
          <w:u w:val="none"/>
          <w:vertAlign w:val="baseline"/>
        </w:rPr>
        <w:t xml:space="preserve">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#1 at 1, 4.</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 xml:space="preserve">In violation of the Local Rules, the plaintiffs filed their response and memorandum brief as a single document on February 7, 2023.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#80. At the Clerk of Court's instruction, the plaintiffs filed their response and memorandum brief separately but used the login credentials of one attorney and the signature of another. Docs. #82, #83. The Clerk of Court then instructed the plaintiffs to refile using the login credentials of the signing attorney and the plaintiffs complied.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Docs. #84, #85.</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4" w:name="Bookmark_fnpara_3"/>
      <w:bookmarkEnd w:id="34"/>
      <w:bookmarkStart w:id="35" w:name="Bookmark_I693VRP62D6NBT0050000400"/>
      <w:bookmarkEnd w:id="35"/>
      <w:bookmarkStart w:id="36" w:name="Bookmark_I693VRP62N1R550040000400"/>
      <w:bookmarkEnd w:id="36"/>
      <w:r>
        <w:rPr>
          <w:rFonts w:ascii="arial" w:eastAsia="arial" w:hAnsi="arial" w:cs="arial"/>
          <w:b w:val="0"/>
          <w:i w:val="0"/>
          <w:strike w:val="0"/>
          <w:noProof w:val="0"/>
          <w:color w:val="000000"/>
          <w:position w:val="0"/>
          <w:sz w:val="18"/>
          <w:u w:val="none"/>
          <w:vertAlign w:val="baseline"/>
        </w:rPr>
        <w:t>"Inasmuch as [the plaintiffs] bring [</w:t>
      </w:r>
      <w:hyperlink r:id="rId1" w:history="1">
        <w:r>
          <w:rPr>
            <w:rFonts w:ascii="arial" w:eastAsia="arial" w:hAnsi="arial" w:cs="arial"/>
            <w:b w:val="0"/>
            <w:i/>
            <w:strike w:val="0"/>
            <w:noProof w:val="0"/>
            <w:color w:val="0077CC"/>
            <w:position w:val="0"/>
            <w:sz w:val="18"/>
            <w:u w:val="single"/>
            <w:vertAlign w:val="baseline"/>
          </w:rPr>
          <w:t>§1983</w:t>
        </w:r>
      </w:hyperlink>
      <w:r>
        <w:rPr>
          <w:rFonts w:ascii="arial" w:eastAsia="arial" w:hAnsi="arial" w:cs="arial"/>
          <w:b w:val="0"/>
          <w:i w:val="0"/>
          <w:strike w:val="0"/>
          <w:noProof w:val="0"/>
          <w:color w:val="000000"/>
          <w:position w:val="0"/>
          <w:sz w:val="18"/>
          <w:u w:val="none"/>
          <w:vertAlign w:val="baseline"/>
        </w:rPr>
        <w:t xml:space="preserve">] claims against these officials in their supervisory capacity, these claims fail .... In </w:t>
      </w:r>
      <w:r>
        <w:rPr>
          <w:rFonts w:ascii="arial" w:eastAsia="arial" w:hAnsi="arial" w:cs="arial"/>
          <w:b w:val="0"/>
          <w:i/>
          <w:strike w:val="0"/>
          <w:noProof w:val="0"/>
          <w:color w:val="000000"/>
          <w:position w:val="0"/>
          <w:sz w:val="18"/>
          <w:u w:val="none"/>
          <w:vertAlign w:val="baseline"/>
        </w:rPr>
        <w:t>Monell v. Department of Social Services of City of New York</w:t>
      </w:r>
      <w:r>
        <w:rPr>
          <w:rFonts w:ascii="arial" w:eastAsia="arial" w:hAnsi="arial" w:cs="arial"/>
          <w:b w:val="0"/>
          <w:i w:val="0"/>
          <w:strike w:val="0"/>
          <w:noProof w:val="0"/>
          <w:color w:val="000000"/>
          <w:position w:val="0"/>
          <w:sz w:val="18"/>
          <w:u w:val="none"/>
          <w:vertAlign w:val="baseline"/>
        </w:rPr>
        <w:t xml:space="preserve">, the [United States] Supreme Court held that the doctrine of </w:t>
      </w:r>
      <w:r>
        <w:rPr>
          <w:rFonts w:ascii="arial" w:eastAsia="arial" w:hAnsi="arial" w:cs="arial"/>
          <w:b w:val="0"/>
          <w:i/>
          <w:strike w:val="0"/>
          <w:noProof w:val="0"/>
          <w:color w:val="000000"/>
          <w:position w:val="0"/>
          <w:sz w:val="18"/>
          <w:u w:val="none"/>
          <w:vertAlign w:val="baseline"/>
        </w:rPr>
        <w:t>respondeat superior</w:t>
      </w:r>
      <w:r>
        <w:rPr>
          <w:rFonts w:ascii="arial" w:eastAsia="arial" w:hAnsi="arial" w:cs="arial"/>
          <w:b w:val="0"/>
          <w:i w:val="0"/>
          <w:strike w:val="0"/>
          <w:noProof w:val="0"/>
          <w:color w:val="000000"/>
          <w:position w:val="0"/>
          <w:sz w:val="18"/>
          <w:u w:val="none"/>
          <w:vertAlign w:val="baseline"/>
        </w:rPr>
        <w:t xml:space="preserve"> does not apply to claims brought under </w:t>
      </w:r>
      <w:hyperlink r:id="rId1" w:history="1">
        <w:r>
          <w:rPr>
            <w:rFonts w:ascii="arial" w:eastAsia="arial" w:hAnsi="arial" w:cs="arial"/>
            <w:b w:val="0"/>
            <w:i/>
            <w:strike w:val="0"/>
            <w:noProof w:val="0"/>
            <w:color w:val="0077CC"/>
            <w:position w:val="0"/>
            <w:sz w:val="18"/>
            <w:u w:val="single"/>
            <w:vertAlign w:val="baseline"/>
          </w:rPr>
          <w:t>section 1983</w:t>
        </w:r>
      </w:hyperlink>
      <w:r>
        <w:rPr>
          <w:rFonts w:ascii="arial" w:eastAsia="arial" w:hAnsi="arial" w:cs="arial"/>
          <w:b w:val="0"/>
          <w:i w:val="0"/>
          <w:strike w:val="0"/>
          <w:noProof w:val="0"/>
          <w:color w:val="000000"/>
          <w:position w:val="0"/>
          <w:sz w:val="18"/>
          <w:u w:val="none"/>
          <w:vertAlign w:val="baseline"/>
        </w:rPr>
        <w:t xml:space="preserve">." </w:t>
      </w:r>
      <w:bookmarkStart w:id="37" w:name="Bookmark_I693VRP62D6NBT0040000400"/>
      <w:bookmarkEnd w:id="37"/>
      <w:hyperlink r:id="rId2" w:history="1">
        <w:r>
          <w:rPr>
            <w:rFonts w:ascii="arial" w:eastAsia="arial" w:hAnsi="arial" w:cs="arial"/>
            <w:b w:val="0"/>
            <w:i/>
            <w:strike w:val="0"/>
            <w:noProof w:val="0"/>
            <w:color w:val="0077CC"/>
            <w:position w:val="0"/>
            <w:sz w:val="18"/>
            <w:u w:val="single"/>
            <w:vertAlign w:val="baseline"/>
          </w:rPr>
          <w:t>Torns v. City of Jackson</w:t>
        </w:r>
      </w:hyperlink>
      <w:hyperlink r:id="rId2" w:history="1">
        <w:r>
          <w:rPr>
            <w:rFonts w:ascii="arial" w:eastAsia="arial" w:hAnsi="arial" w:cs="arial"/>
            <w:b w:val="0"/>
            <w:i/>
            <w:strike w:val="0"/>
            <w:noProof w:val="0"/>
            <w:color w:val="0077CC"/>
            <w:position w:val="0"/>
            <w:sz w:val="18"/>
            <w:u w:val="single"/>
            <w:vertAlign w:val="baseline"/>
          </w:rPr>
          <w:t>, 622 F. App'x 414, 417 (5th Cir. 2015)</w:t>
        </w:r>
      </w:hyperlink>
      <w:r>
        <w:rPr>
          <w:rFonts w:ascii="arial" w:eastAsia="arial" w:hAnsi="arial" w:cs="arial"/>
          <w:b w:val="0"/>
          <w:i w:val="0"/>
          <w:strike w:val="0"/>
          <w:noProof w:val="0"/>
          <w:color w:val="000000"/>
          <w:position w:val="0"/>
          <w:sz w:val="18"/>
          <w:u w:val="none"/>
          <w:vertAlign w:val="baseline"/>
        </w:rPr>
        <w:t xml:space="preserve"> (citing </w:t>
      </w:r>
      <w:bookmarkStart w:id="38" w:name="Bookmark_I693VRP62N1R550010000400"/>
      <w:bookmarkEnd w:id="38"/>
      <w:hyperlink r:id="rId3" w:history="1">
        <w:r>
          <w:rPr>
            <w:rFonts w:ascii="arial" w:eastAsia="arial" w:hAnsi="arial" w:cs="arial"/>
            <w:b w:val="0"/>
            <w:i/>
            <w:strike w:val="0"/>
            <w:noProof w:val="0"/>
            <w:color w:val="0077CC"/>
            <w:position w:val="0"/>
            <w:sz w:val="18"/>
            <w:u w:val="single"/>
            <w:vertAlign w:val="baseline"/>
          </w:rPr>
          <w:t>436 U.S. 658, 692-93, 98 S. Ct. 2018, 56 L. Ed. 2d 611 (1978)</w:t>
        </w:r>
      </w:hyperlink>
      <w:r>
        <w:rPr>
          <w:rFonts w:ascii="arial" w:eastAsia="arial" w:hAnsi="arial" w:cs="arial"/>
          <w:b w:val="0"/>
          <w:i w:val="0"/>
          <w:strike w:val="0"/>
          <w:noProof w:val="0"/>
          <w:color w:val="000000"/>
          <w:position w:val="0"/>
          <w:sz w:val="18"/>
          <w:u w:val="none"/>
          <w:vertAlign w:val="baseline"/>
        </w:rPr>
        <w:t xml:space="preserve">). To the extent it may be argued the supervisory capacity claims in this case equate to official capacity claims, such is barred by </w:t>
      </w:r>
      <w:hyperlink r:id="rId4" w:history="1">
        <w:r>
          <w:rPr>
            <w:rFonts w:ascii="arial" w:eastAsia="arial" w:hAnsi="arial" w:cs="arial"/>
            <w:b w:val="0"/>
            <w:i/>
            <w:strike w:val="0"/>
            <w:noProof w:val="0"/>
            <w:color w:val="0077CC"/>
            <w:position w:val="0"/>
            <w:sz w:val="18"/>
            <w:u w:val="single"/>
            <w:vertAlign w:val="baseline"/>
          </w:rPr>
          <w:t>Eleventh Amendment</w:t>
        </w:r>
      </w:hyperlink>
      <w:r>
        <w:rPr>
          <w:rFonts w:ascii="arial" w:eastAsia="arial" w:hAnsi="arial" w:cs="arial"/>
          <w:b w:val="0"/>
          <w:i w:val="0"/>
          <w:strike w:val="0"/>
          <w:noProof w:val="0"/>
          <w:color w:val="000000"/>
          <w:position w:val="0"/>
          <w:sz w:val="18"/>
          <w:u w:val="none"/>
          <w:vertAlign w:val="baseline"/>
        </w:rPr>
        <w:t xml:space="preserve"> immunity because the claims are for money damages, not prospective relief. </w:t>
      </w:r>
      <w:bookmarkStart w:id="39" w:name="Bookmark_I693VRP62N1R550030000400"/>
      <w:bookmarkEnd w:id="39"/>
      <w:hyperlink r:id="rId5" w:history="1">
        <w:r>
          <w:rPr>
            <w:rFonts w:ascii="arial" w:eastAsia="arial" w:hAnsi="arial" w:cs="arial"/>
            <w:b w:val="0"/>
            <w:i/>
            <w:strike w:val="0"/>
            <w:noProof w:val="0"/>
            <w:color w:val="0077CC"/>
            <w:position w:val="0"/>
            <w:sz w:val="18"/>
            <w:u w:val="single"/>
            <w:vertAlign w:val="baseline"/>
          </w:rPr>
          <w:t>Oliver v. Scott</w:t>
        </w:r>
      </w:hyperlink>
      <w:hyperlink r:id="rId5" w:history="1">
        <w:r>
          <w:rPr>
            <w:rFonts w:ascii="arial" w:eastAsia="arial" w:hAnsi="arial" w:cs="arial"/>
            <w:b w:val="0"/>
            <w:i/>
            <w:strike w:val="0"/>
            <w:noProof w:val="0"/>
            <w:color w:val="0077CC"/>
            <w:position w:val="0"/>
            <w:sz w:val="18"/>
            <w:u w:val="single"/>
            <w:vertAlign w:val="baseline"/>
          </w:rPr>
          <w:t>, 276 F.3d 736, 742 (5th Cir. 2002)</w:t>
        </w:r>
      </w:hyperlink>
      <w:r>
        <w:rPr>
          <w:rFonts w:ascii="arial" w:eastAsia="arial" w:hAnsi="arial" w:cs="arial"/>
          <w:b w:val="0"/>
          <w:i w:val="0"/>
          <w:strike w:val="0"/>
          <w:noProof w:val="0"/>
          <w:color w:val="000000"/>
          <w:position w:val="0"/>
          <w:sz w:val="18"/>
          <w:u w:val="none"/>
          <w:vertAlign w:val="baseline"/>
        </w:rPr>
        <w:t xml:space="preserve"> ("[T]he </w:t>
      </w:r>
      <w:hyperlink r:id="rId4" w:history="1">
        <w:r>
          <w:rPr>
            <w:rFonts w:ascii="arial" w:eastAsia="arial" w:hAnsi="arial" w:cs="arial"/>
            <w:b w:val="0"/>
            <w:i/>
            <w:strike w:val="0"/>
            <w:noProof w:val="0"/>
            <w:color w:val="0077CC"/>
            <w:position w:val="0"/>
            <w:sz w:val="18"/>
            <w:u w:val="single"/>
            <w:vertAlign w:val="baseline"/>
          </w:rPr>
          <w:t>Eleventh Amendment</w:t>
        </w:r>
      </w:hyperlink>
      <w:r>
        <w:rPr>
          <w:rFonts w:ascii="arial" w:eastAsia="arial" w:hAnsi="arial" w:cs="arial"/>
          <w:b w:val="0"/>
          <w:i w:val="0"/>
          <w:strike w:val="0"/>
          <w:noProof w:val="0"/>
          <w:color w:val="000000"/>
          <w:position w:val="0"/>
          <w:sz w:val="18"/>
          <w:u w:val="none"/>
          <w:vertAlign w:val="baseline"/>
        </w:rPr>
        <w:t xml:space="preserve"> bars recovering </w:t>
      </w:r>
      <w:hyperlink r:id="rId1"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money damages from [state prison] officers in their official capacity.").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Estate of Holliman v. Turner, 2023 U.S. Dist. LEXIS 155179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30-C7D1-F81W-2001-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T9R-T502-8T6X-7323-00000-00&amp;context=1519360" TargetMode="External" /><Relationship Id="rId13" Type="http://schemas.openxmlformats.org/officeDocument/2006/relationships/hyperlink" Target="https://advance.lexis.com/api/document?collection=statutes-legislation&amp;id=urn:contentItem:8T9R-T5M2-D6RV-H38C-00000-00&amp;context=1519360" TargetMode="External" /><Relationship Id="rId14" Type="http://schemas.openxmlformats.org/officeDocument/2006/relationships/hyperlink" Target="https://advance.lexis.com/api/document?collection=statutes-legislation&amp;id=urn:contentItem:8SG9-5HW2-D6RV-H0G3-00000-00&amp;context=1519360" TargetMode="External" /><Relationship Id="rId15" Type="http://schemas.openxmlformats.org/officeDocument/2006/relationships/hyperlink" Target="https://advance.lexis.com/api/document?collection=cases&amp;id=urn:contentItem:5KPX-6301-F04K-N2WD-00000-00&amp;context=1519360" TargetMode="External" /><Relationship Id="rId16" Type="http://schemas.openxmlformats.org/officeDocument/2006/relationships/hyperlink" Target="https://advance.lexis.com/api/document?collection=statutes-legislation&amp;id=urn:contentItem:8T9R-T582-D6RV-H386-00000-00&amp;context=1519360" TargetMode="External" /><Relationship Id="rId17" Type="http://schemas.openxmlformats.org/officeDocument/2006/relationships/hyperlink" Target="https://advance.lexis.com/api/document?collection=cases&amp;id=urn:contentItem:5ND4-0281-F04K-F06K-00000-00&amp;context=1519360" TargetMode="External" /><Relationship Id="rId18" Type="http://schemas.openxmlformats.org/officeDocument/2006/relationships/hyperlink" Target="https://advance.lexis.com/api/document?collection=cases&amp;id=urn:contentItem:5YK2-DMC1-FGRY-B336-00000-00&amp;context=1519360" TargetMode="External" /><Relationship Id="rId19" Type="http://schemas.openxmlformats.org/officeDocument/2006/relationships/hyperlink" Target="https://advance.lexis.com/api/document?collection=cases&amp;id=urn:contentItem:3S4X-B0B0-0039-N4CK-00000-00&amp;context=1519360" TargetMode="External" /><Relationship Id="rId2" Type="http://schemas.openxmlformats.org/officeDocument/2006/relationships/settings" Target="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30-C7D1-F81W-200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HT-0712-D6RV-H526-00000-00&amp;context=1519360" TargetMode="External" /><Relationship Id="rId2" Type="http://schemas.openxmlformats.org/officeDocument/2006/relationships/hyperlink" Target="https://advance.lexis.com/api/document?collection=cases&amp;id=urn:contentItem:5GNX-J0B1-F04K-N1HY-00000-00&amp;context=1519360" TargetMode="External" /><Relationship Id="rId3" Type="http://schemas.openxmlformats.org/officeDocument/2006/relationships/hyperlink" Target="https://advance.lexis.com/api/document?collection=cases&amp;id=urn:contentItem:3S4X-8SP0-003B-S1RH-00000-00&amp;context=1519360" TargetMode="External" /><Relationship Id="rId4" Type="http://schemas.openxmlformats.org/officeDocument/2006/relationships/hyperlink" Target="https://advance.lexis.com/api/document?collection=statutes-legislation&amp;id=urn:contentItem:8T9R-T582-D6RV-H386-00000-00&amp;context=1519360" TargetMode="External" /><Relationship Id="rId5" Type="http://schemas.openxmlformats.org/officeDocument/2006/relationships/hyperlink" Target="https://advance.lexis.com/api/document?collection=cases&amp;id=urn:contentItem:44W6-7P30-0038-X0G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Estate of Holliman v. Turner, 2023 U.S. Dist. LEXIS 155179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Doc::urn:hlct:5|contextualFeaturePermID::1519360</vt:lpwstr>
  </property>
  <property fmtid="{D5CDD505-2E9C-101B-9397-08002B2CF9AE}" pid="5" name="UserPermID">
    <vt:lpwstr>urn:user:PA186186283</vt:lpwstr>
  </property>
</Properties>
</file>