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Smith v. Cooley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Louisiana, Lake Charles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Decided; December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2:23-cv-00138 SECTION P</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234264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9423304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JEFFERY SANCHEZ SMITH, D.O.C. # 344538 VERSUS KEITH COOLEY,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Judgment entered by </w:t>
      </w:r>
      <w:hyperlink r:id="rId9" w:history="1">
        <w:r>
          <w:rPr>
            <w:rFonts w:ascii="arial" w:eastAsia="arial" w:hAnsi="arial" w:cs="arial"/>
            <w:b w:val="0"/>
            <w:i/>
            <w:strike w:val="0"/>
            <w:noProof w:val="0"/>
            <w:color w:val="0077CC"/>
            <w:position w:val="0"/>
            <w:sz w:val="20"/>
            <w:u w:val="single"/>
            <w:vertAlign w:val="baseline"/>
          </w:rPr>
          <w:t>Smith v. Cooley, 2024 U.S. Dist. LEXIS 14563 (W.D. La., Jan. 26,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Smith v. Cooley, 2023 U.S. Dist. LEXIS 47364, 2023 WL 2569178 (W.D. La., Feb. 8,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motion to dismiss, prison, Recommendation, allegations, rights, physical injury, subject matter jurisdiction, official capacity, immunity, inmate, strip</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Jeffery Sanchez Smith, Plaintiff, Pro se, Kinder, LA.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KATHLEEN KAY, UNITED STATES MAGISTRATE JUDGE. JUDGE JAMES D. CAIN, JR.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KATHLEEN KAY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Before the court is a Motion to Dismiss filed by defendants Keith Cooley and Bobby Young. Doc. 24. This motion comes in response to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civil rights complaint filed by Jeffery Sanchez Smith ("Smith/Plaintiff"). Plaintiff filed an opposition to the defendants' motion. Doc. 29. The motion is now ripe for review. For the reasons below, we recommend that the Motion to Dismiss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Plaintiff's suit centers on allegations that his civil rights were violated as a result of a strip search that occurred at the Allen Correctional Center on October 28, 2022. Doc. 1. Specifically, he takes issue with the fact that the strip search was humiliating, degrading and unnecessary, as the inmates had neither traveled nor had contact with any persons outside of the security perimeter of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he complains that the language used by the officers is vulgar.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his Amended Complaint, plaintiff confirmed that the search was visual only and took place in the bathroom. Doc. 11, p. 2-3.</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He named as defendants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Warden Keith Cooley, Colonel Bobby Young, and Secretary of the Louisiana Department of Public Safety and Corrections, James M. Leblanc. On July 14, 2023, Leblanc was dismissed (doc. 20) and the suit was served upon Cooley and Young (doc. 17).</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Defendants Cooley and Young filed the instant Motion to Dismiss pursuant to </w:t>
      </w:r>
      <w:r>
        <w:rPr>
          <w:rFonts w:ascii="arial" w:eastAsia="arial" w:hAnsi="arial" w:cs="arial"/>
          <w:b w:val="0"/>
          <w:i/>
          <w:strike w:val="0"/>
          <w:noProof w:val="0"/>
          <w:color w:val="000000"/>
          <w:position w:val="0"/>
          <w:sz w:val="20"/>
          <w:u w:val="none"/>
          <w:vertAlign w:val="baseline"/>
        </w:rPr>
        <w:t>Rules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 of the Federal Rules of Civil Procedure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Legal Standards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Federal Rule of Civil Procedure 12(b)(1)</w:t>
      </w:r>
    </w:p>
    <w:p>
      <w:pPr>
        <w:keepNext w:val="0"/>
        <w:spacing w:before="240" w:after="0" w:line="260" w:lineRule="atLeast"/>
        <w:ind w:left="0" w:right="0" w:firstLine="0"/>
        <w:jc w:val="both"/>
      </w:pPr>
      <w:bookmarkStart w:id="13" w:name="Bookmark_para_5"/>
      <w:bookmarkEnd w:id="13"/>
      <w:bookmarkStart w:id="14" w:name="Bookmark_I6B7MJKM2D6N1J0020000400"/>
      <w:bookmarkEnd w:id="14"/>
      <w:bookmarkStart w:id="15" w:name="Bookmark_I6B7MJKM2D6N1J0040000400"/>
      <w:bookmarkEnd w:id="15"/>
      <w:r>
        <w:rPr>
          <w:rFonts w:ascii="arial" w:eastAsia="arial" w:hAnsi="arial" w:cs="arial"/>
          <w:b w:val="0"/>
          <w:i w:val="0"/>
          <w:strike w:val="0"/>
          <w:noProof w:val="0"/>
          <w:color w:val="000000"/>
          <w:position w:val="0"/>
          <w:sz w:val="20"/>
          <w:u w:val="none"/>
          <w:vertAlign w:val="baseline"/>
        </w:rPr>
        <w:t xml:space="preserve">A motion to dismiss for lack of subject matter jurisdiction, pursuant to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may be treated as either a facial or factual challenge to the court's jurisdiction. </w:t>
      </w:r>
      <w:bookmarkStart w:id="16" w:name="Bookmark_I6B7MJKM2D6N1J0010000400"/>
      <w:bookmarkEnd w:id="16"/>
      <w:hyperlink r:id="rId11" w:history="1">
        <w:r>
          <w:rPr>
            <w:rFonts w:ascii="arial" w:eastAsia="arial" w:hAnsi="arial" w:cs="arial"/>
            <w:b w:val="0"/>
            <w:i/>
            <w:strike w:val="0"/>
            <w:noProof w:val="0"/>
            <w:color w:val="0077CC"/>
            <w:position w:val="0"/>
            <w:sz w:val="20"/>
            <w:u w:val="single"/>
            <w:vertAlign w:val="baseline"/>
          </w:rPr>
          <w:t>Williamson v. Tucker</w:t>
        </w:r>
      </w:hyperlink>
      <w:hyperlink r:id="rId11" w:history="1">
        <w:r>
          <w:rPr>
            <w:rFonts w:ascii="arial" w:eastAsia="arial" w:hAnsi="arial" w:cs="arial"/>
            <w:b w:val="0"/>
            <w:i/>
            <w:strike w:val="0"/>
            <w:noProof w:val="0"/>
            <w:color w:val="0077CC"/>
            <w:position w:val="0"/>
            <w:sz w:val="20"/>
            <w:u w:val="single"/>
            <w:vertAlign w:val="baseline"/>
          </w:rPr>
          <w:t>, 645 F.2d 404, 412-13 (5th Cir.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454 U.S. 897, 102 S.Ct. 396, 70 L. Ed. 2d 212 (1981)</w:t>
      </w:r>
      <w:r>
        <w:rPr>
          <w:rFonts w:ascii="arial" w:eastAsia="arial" w:hAnsi="arial" w:cs="arial"/>
          <w:b w:val="0"/>
          <w:i w:val="0"/>
          <w:strike w:val="0"/>
          <w:noProof w:val="0"/>
          <w:color w:val="000000"/>
          <w:position w:val="0"/>
          <w:sz w:val="20"/>
          <w:u w:val="none"/>
          <w:vertAlign w:val="baseline"/>
        </w:rPr>
        <w:t xml:space="preserve">. </w:t>
      </w:r>
      <w:bookmarkStart w:id="17" w:name="Bookmark_I6B7MJKN2HM5R40010000400"/>
      <w:bookmarkEnd w:id="17"/>
      <w:r>
        <w:rPr>
          <w:rFonts w:ascii="arial" w:eastAsia="arial" w:hAnsi="arial" w:cs="arial"/>
          <w:b w:val="0"/>
          <w:i w:val="0"/>
          <w:strike w:val="0"/>
          <w:noProof w:val="0"/>
          <w:color w:val="000000"/>
          <w:position w:val="0"/>
          <w:sz w:val="20"/>
          <w:u w:val="none"/>
          <w:vertAlign w:val="baseline"/>
        </w:rPr>
        <w:t xml:space="preserve">Facial attacks, which question the sufficiency of the pleadings, require the court to consider the allegations in the complaint as true. </w:t>
      </w:r>
      <w:r>
        <w:rPr>
          <w:rFonts w:ascii="arial" w:eastAsia="arial" w:hAnsi="arial" w:cs="arial"/>
          <w:b w:val="0"/>
          <w:i/>
          <w:strike w:val="0"/>
          <w:noProof w:val="0"/>
          <w:color w:val="000000"/>
          <w:position w:val="0"/>
          <w:sz w:val="20"/>
          <w:u w:val="none"/>
          <w:vertAlign w:val="baseline"/>
        </w:rPr>
        <w:t xml:space="preserve">See </w:t>
      </w:r>
      <w:bookmarkStart w:id="18" w:name="Bookmark_I6B7MJKM2D6N1J0030000400"/>
      <w:bookmarkEnd w:id="18"/>
      <w:hyperlink r:id="rId12" w:history="1">
        <w:r>
          <w:rPr>
            <w:rFonts w:ascii="arial" w:eastAsia="arial" w:hAnsi="arial" w:cs="arial"/>
            <w:b w:val="0"/>
            <w:i/>
            <w:strike w:val="0"/>
            <w:noProof w:val="0"/>
            <w:color w:val="0077CC"/>
            <w:position w:val="0"/>
            <w:sz w:val="20"/>
            <w:u w:val="single"/>
            <w:vertAlign w:val="baseline"/>
          </w:rPr>
          <w:t>Spector v. L Q Motor Inns, Inc.</w:t>
        </w:r>
      </w:hyperlink>
      <w:hyperlink r:id="rId12" w:history="1">
        <w:r>
          <w:rPr>
            <w:rFonts w:ascii="arial" w:eastAsia="arial" w:hAnsi="arial" w:cs="arial"/>
            <w:b w:val="0"/>
            <w:i/>
            <w:strike w:val="0"/>
            <w:noProof w:val="0"/>
            <w:color w:val="0077CC"/>
            <w:position w:val="0"/>
            <w:sz w:val="20"/>
            <w:u w:val="single"/>
            <w:vertAlign w:val="baseline"/>
          </w:rPr>
          <w:t>, 517 F.2d 278, 281 (5th Cir. 1975)</w:t>
        </w:r>
      </w:hyperlink>
      <w:r>
        <w:rPr>
          <w:rFonts w:ascii="arial" w:eastAsia="arial" w:hAnsi="arial" w:cs="arial"/>
          <w:b w:val="0"/>
          <w:i w:val="0"/>
          <w:strike w:val="0"/>
          <w:noProof w:val="0"/>
          <w:color w:val="000000"/>
          <w:position w:val="0"/>
          <w:sz w:val="20"/>
          <w:u w:val="none"/>
          <w:vertAlign w:val="baseline"/>
        </w:rPr>
        <w:t xml:space="preserve">. </w:t>
      </w:r>
      <w:bookmarkStart w:id="19" w:name="Bookmark_I6B7MJKN2HM5R40010000400_2"/>
      <w:bookmarkEnd w:id="19"/>
      <w:r>
        <w:rPr>
          <w:rFonts w:ascii="arial" w:eastAsia="arial" w:hAnsi="arial" w:cs="arial"/>
          <w:b w:val="0"/>
          <w:i w:val="0"/>
          <w:strike w:val="0"/>
          <w:noProof w:val="0"/>
          <w:color w:val="000000"/>
          <w:position w:val="0"/>
          <w:sz w:val="20"/>
          <w:u w:val="none"/>
          <w:vertAlign w:val="baseline"/>
        </w:rPr>
        <w:t xml:space="preserve">During factual challenges to subject matter jurisdiction, courts are allowed to look outside of the pleadings and no presumptive truthfulness attaches to the allegations in the complaint. </w:t>
      </w:r>
      <w:bookmarkStart w:id="20" w:name="Bookmark_I6B7MJKM2D6N1J0050000400"/>
      <w:bookmarkEnd w:id="20"/>
      <w:hyperlink r:id="rId11" w:history="1">
        <w:r>
          <w:rPr>
            <w:rFonts w:ascii="arial" w:eastAsia="arial" w:hAnsi="arial" w:cs="arial"/>
            <w:b w:val="0"/>
            <w:i/>
            <w:strike w:val="0"/>
            <w:noProof w:val="0"/>
            <w:color w:val="0077CC"/>
            <w:position w:val="0"/>
            <w:sz w:val="20"/>
            <w:u w:val="single"/>
            <w:vertAlign w:val="baseline"/>
          </w:rPr>
          <w:t>Williamson</w:t>
        </w:r>
      </w:hyperlink>
      <w:hyperlink r:id="rId11" w:history="1">
        <w:r>
          <w:rPr>
            <w:rFonts w:ascii="arial" w:eastAsia="arial" w:hAnsi="arial" w:cs="arial"/>
            <w:b w:val="0"/>
            <w:i/>
            <w:strike w:val="0"/>
            <w:noProof w:val="0"/>
            <w:color w:val="0077CC"/>
            <w:position w:val="0"/>
            <w:sz w:val="20"/>
            <w:u w:val="single"/>
            <w:vertAlign w:val="baseline"/>
          </w:rPr>
          <w:t>, 645 F.2d at 413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21" w:name="Bookmark_I6B7MJKN2HM5R40020000400"/>
      <w:bookmarkEnd w:id="21"/>
      <w:hyperlink r:id="rId13" w:history="1">
        <w:r>
          <w:rPr>
            <w:rFonts w:ascii="arial" w:eastAsia="arial" w:hAnsi="arial" w:cs="arial"/>
            <w:b w:val="0"/>
            <w:i/>
            <w:strike w:val="0"/>
            <w:noProof w:val="0"/>
            <w:color w:val="0077CC"/>
            <w:position w:val="0"/>
            <w:sz w:val="20"/>
            <w:u w:val="single"/>
            <w:vertAlign w:val="baseline"/>
          </w:rPr>
          <w:t>Mortensen v. First Federal Savings and Loan Association</w:t>
        </w:r>
      </w:hyperlink>
      <w:hyperlink r:id="rId13" w:history="1">
        <w:r>
          <w:rPr>
            <w:rFonts w:ascii="arial" w:eastAsia="arial" w:hAnsi="arial" w:cs="arial"/>
            <w:b w:val="0"/>
            <w:i/>
            <w:strike w:val="0"/>
            <w:noProof w:val="0"/>
            <w:color w:val="0077CC"/>
            <w:position w:val="0"/>
            <w:sz w:val="20"/>
            <w:u w:val="single"/>
            <w:vertAlign w:val="baseline"/>
          </w:rPr>
          <w:t>, 549 F.2d 844, 891 (3rd Cir.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6"/>
      <w:bookmarkEnd w:id="22"/>
      <w:bookmarkStart w:id="23" w:name="Bookmark_I6B7MJKN2HM5R40050000400"/>
      <w:bookmarkEnd w:id="23"/>
      <w:bookmarkStart w:id="24" w:name="Bookmark_I6B7MJKN28T4RN0020000400"/>
      <w:bookmarkEnd w:id="24"/>
      <w:r>
        <w:rPr>
          <w:rFonts w:ascii="arial" w:eastAsia="arial" w:hAnsi="arial" w:cs="arial"/>
          <w:b w:val="0"/>
          <w:i w:val="0"/>
          <w:strike w:val="0"/>
          <w:noProof w:val="0"/>
          <w:color w:val="000000"/>
          <w:position w:val="0"/>
          <w:sz w:val="20"/>
          <w:u w:val="none"/>
          <w:vertAlign w:val="baseline"/>
        </w:rPr>
        <w:t xml:space="preserve">The district court has the ability to dismiss a complaint for lack of subject matter jurisdiction based on "(1) the complaint alone; (2) the complaint supplemented by undisputed facts evidenced in the record; or (3) the complaint supplemented by undisputed facts plus the court's resolution of disputed facts." </w:t>
      </w:r>
      <w:bookmarkStart w:id="25" w:name="Bookmark_I6B7MJKN2HM5R40040000400"/>
      <w:bookmarkEnd w:id="25"/>
      <w:hyperlink r:id="rId11" w:history="1">
        <w:r>
          <w:rPr>
            <w:rFonts w:ascii="arial" w:eastAsia="arial" w:hAnsi="arial" w:cs="arial"/>
            <w:b w:val="0"/>
            <w:i/>
            <w:strike w:val="0"/>
            <w:noProof w:val="0"/>
            <w:color w:val="0077CC"/>
            <w:position w:val="0"/>
            <w:sz w:val="20"/>
            <w:u w:val="single"/>
            <w:vertAlign w:val="baseline"/>
          </w:rPr>
          <w:t>Williamson</w:t>
        </w:r>
      </w:hyperlink>
      <w:hyperlink r:id="rId11" w:history="1">
        <w:r>
          <w:rPr>
            <w:rFonts w:ascii="arial" w:eastAsia="arial" w:hAnsi="arial" w:cs="arial"/>
            <w:b w:val="0"/>
            <w:i/>
            <w:strike w:val="0"/>
            <w:noProof w:val="0"/>
            <w:color w:val="0077CC"/>
            <w:position w:val="0"/>
            <w:sz w:val="20"/>
            <w:u w:val="single"/>
            <w:vertAlign w:val="baseline"/>
          </w:rPr>
          <w:t>, 645 F.2d at 413</w:t>
        </w:r>
      </w:hyperlink>
      <w:r>
        <w:rPr>
          <w:rFonts w:ascii="arial" w:eastAsia="arial" w:hAnsi="arial" w:cs="arial"/>
          <w:b w:val="0"/>
          <w:i w:val="0"/>
          <w:strike w:val="0"/>
          <w:noProof w:val="0"/>
          <w:color w:val="000000"/>
          <w:position w:val="0"/>
          <w:sz w:val="20"/>
          <w:u w:val="none"/>
          <w:vertAlign w:val="baseline"/>
        </w:rPr>
        <w:t>. If dismissal is sought for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jurisdictional defect that centers upon the lack of congressional waiver of the government's sovereign immunity, resolution is never appropriate byway of summary judgment, but must be resolved by way of a motion to dismiss for lack of subject matter jurisdiction. </w:t>
      </w:r>
      <w:bookmarkStart w:id="26" w:name="Bookmark_I6B7MJKN28T4RN0010000400"/>
      <w:bookmarkEnd w:id="26"/>
      <w:hyperlink r:id="rId14" w:history="1">
        <w:r>
          <w:rPr>
            <w:rFonts w:ascii="arial" w:eastAsia="arial" w:hAnsi="arial" w:cs="arial"/>
            <w:b w:val="0"/>
            <w:i/>
            <w:strike w:val="0"/>
            <w:noProof w:val="0"/>
            <w:color w:val="0077CC"/>
            <w:position w:val="0"/>
            <w:sz w:val="20"/>
            <w:u w:val="single"/>
            <w:vertAlign w:val="baseline"/>
          </w:rPr>
          <w:t>Stanley v. Central Intelligence Agency</w:t>
        </w:r>
      </w:hyperlink>
      <w:hyperlink r:id="rId14" w:history="1">
        <w:r>
          <w:rPr>
            <w:rFonts w:ascii="arial" w:eastAsia="arial" w:hAnsi="arial" w:cs="arial"/>
            <w:b w:val="0"/>
            <w:i/>
            <w:strike w:val="0"/>
            <w:noProof w:val="0"/>
            <w:color w:val="0077CC"/>
            <w:position w:val="0"/>
            <w:sz w:val="20"/>
            <w:u w:val="single"/>
            <w:vertAlign w:val="baseline"/>
          </w:rPr>
          <w:t>, 639 F.2d 1146, 1156-57 (5th Cir.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Federal Rule of Civil Procedure 12(b)(6)</w:t>
      </w:r>
    </w:p>
    <w:p>
      <w:pPr>
        <w:keepNext w:val="0"/>
        <w:spacing w:before="200" w:after="0" w:line="260" w:lineRule="atLeast"/>
        <w:ind w:left="0" w:right="0" w:firstLine="0"/>
        <w:jc w:val="both"/>
      </w:pPr>
      <w:bookmarkStart w:id="27" w:name="Bookmark_para_7"/>
      <w:bookmarkEnd w:id="27"/>
      <w:bookmarkStart w:id="28" w:name="Bookmark_I6B7MJKN28T4RN0040000400"/>
      <w:bookmarkEnd w:id="28"/>
      <w:bookmarkStart w:id="29" w:name="Bookmark_I6B7MJKN28T4RP0010000400"/>
      <w:bookmarkEnd w:id="29"/>
      <w:r>
        <w:rPr>
          <w:rFonts w:ascii="arial" w:eastAsia="arial" w:hAnsi="arial" w:cs="arial"/>
          <w:b w:val="0"/>
          <w:i w:val="0"/>
          <w:strike w:val="0"/>
          <w:noProof w:val="0"/>
          <w:color w:val="000000"/>
          <w:position w:val="0"/>
          <w:sz w:val="20"/>
          <w:u w:val="none"/>
          <w:vertAlign w:val="baseline"/>
        </w:rPr>
        <w:t xml:space="preserve">A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for failure to state a claim is appropriate when a defendant attacks the Complaint because it fails to state a legally cognizable claim. </w:t>
      </w:r>
      <w:bookmarkStart w:id="30" w:name="Bookmark_I6B7MJKN28T4RN0030000400"/>
      <w:bookmarkEnd w:id="30"/>
      <w:hyperlink r:id="rId15" w:history="1">
        <w:r>
          <w:rPr>
            <w:rFonts w:ascii="arial" w:eastAsia="arial" w:hAnsi="arial" w:cs="arial"/>
            <w:b w:val="0"/>
            <w:i/>
            <w:strike w:val="0"/>
            <w:noProof w:val="0"/>
            <w:color w:val="0077CC"/>
            <w:position w:val="0"/>
            <w:sz w:val="20"/>
            <w:u w:val="single"/>
            <w:vertAlign w:val="baseline"/>
          </w:rPr>
          <w:t>Bell Atl. Corp. v. Twombly</w:t>
        </w:r>
      </w:hyperlink>
      <w:hyperlink r:id="rId15" w:history="1">
        <w:r>
          <w:rPr>
            <w:rFonts w:ascii="arial" w:eastAsia="arial" w:hAnsi="arial" w:cs="arial"/>
            <w:b w:val="0"/>
            <w:i/>
            <w:strike w:val="0"/>
            <w:noProof w:val="0"/>
            <w:color w:val="0077CC"/>
            <w:position w:val="0"/>
            <w:sz w:val="20"/>
            <w:u w:val="single"/>
            <w:vertAlign w:val="baseline"/>
          </w:rPr>
          <w:t>, 550 U.S. 544, 127 S. Ct. 1955, 1973-74, 167 L. Ed. 2d 929 (2007)</w:t>
        </w:r>
      </w:hyperlink>
      <w:r>
        <w:rPr>
          <w:rFonts w:ascii="arial" w:eastAsia="arial" w:hAnsi="arial" w:cs="arial"/>
          <w:b w:val="0"/>
          <w:i w:val="0"/>
          <w:strike w:val="0"/>
          <w:noProof w:val="0"/>
          <w:color w:val="000000"/>
          <w:position w:val="0"/>
          <w:sz w:val="20"/>
          <w:u w:val="none"/>
          <w:vertAlign w:val="baseline"/>
        </w:rPr>
        <w:t xml:space="preserve">. A plaintiff satisfies this standard when he "pleads factual content that allows the court to draw the reasonable inference that the defendant is liable for the misconduct alleged." </w:t>
      </w:r>
      <w:bookmarkStart w:id="31" w:name="Bookmark_I6B7MJKN28T4RN0050000400"/>
      <w:bookmarkEnd w:id="31"/>
      <w:hyperlink r:id="rId16" w:history="1">
        <w:r>
          <w:rPr>
            <w:rFonts w:ascii="arial" w:eastAsia="arial" w:hAnsi="arial" w:cs="arial"/>
            <w:b w:val="0"/>
            <w:i/>
            <w:strike w:val="0"/>
            <w:noProof w:val="0"/>
            <w:color w:val="0077CC"/>
            <w:position w:val="0"/>
            <w:sz w:val="20"/>
            <w:u w:val="single"/>
            <w:vertAlign w:val="baseline"/>
          </w:rPr>
          <w:t>Gulf Coast Hotel-Motel Ass'n v. Miss. Gulf Coast Golf Course Ass'n</w:t>
        </w:r>
      </w:hyperlink>
      <w:hyperlink r:id="rId16" w:history="1">
        <w:r>
          <w:rPr>
            <w:rFonts w:ascii="arial" w:eastAsia="arial" w:hAnsi="arial" w:cs="arial"/>
            <w:b w:val="0"/>
            <w:i/>
            <w:strike w:val="0"/>
            <w:noProof w:val="0"/>
            <w:color w:val="0077CC"/>
            <w:position w:val="0"/>
            <w:sz w:val="20"/>
            <w:u w:val="single"/>
            <w:vertAlign w:val="baseline"/>
          </w:rPr>
          <w:t>, 658 F.3d 500, 504 (5th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32" w:name="Bookmark_I6B7MJKN28T4RP0020000400"/>
      <w:bookmarkEnd w:id="32"/>
      <w:hyperlink r:id="rId17" w:history="1">
        <w:r>
          <w:rPr>
            <w:rFonts w:ascii="arial" w:eastAsia="arial" w:hAnsi="arial" w:cs="arial"/>
            <w:b w:val="0"/>
            <w:i/>
            <w:strike w:val="0"/>
            <w:noProof w:val="0"/>
            <w:color w:val="0077CC"/>
            <w:position w:val="0"/>
            <w:sz w:val="20"/>
            <w:u w:val="single"/>
            <w:vertAlign w:val="baseline"/>
          </w:rPr>
          <w:t>Ashcroft v. Iqbal</w:t>
        </w:r>
      </w:hyperlink>
      <w:hyperlink r:id="rId1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33" w:name="Bookmark_I6B7MJKN28T4RP0050000400"/>
      <w:bookmarkEnd w:id="33"/>
      <w:r>
        <w:rPr>
          <w:rFonts w:ascii="arial" w:eastAsia="arial" w:hAnsi="arial" w:cs="arial"/>
          <w:b w:val="0"/>
          <w:i w:val="0"/>
          <w:strike w:val="0"/>
          <w:noProof w:val="0"/>
          <w:color w:val="000000"/>
          <w:position w:val="0"/>
          <w:sz w:val="20"/>
          <w:u w:val="none"/>
          <w:vertAlign w:val="baseline"/>
        </w:rPr>
        <w:t xml:space="preserve">Usually, in considering a motion to dismiss pursuant to Rule12(b)(6), a district court must limit itself to the face of the Complaint including attachments thereto. However, applicable jurisprudence establishes exceptions to this restriction wherein the Court may take judicial notice of documents or information which constitute matters of public record when considering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w:t>
      </w:r>
      <w:bookmarkStart w:id="34" w:name="Bookmark_I6B7MJKN28T4RP0040000400"/>
      <w:bookmarkEnd w:id="34"/>
      <w:hyperlink r:id="rId18" w:history="1">
        <w:r>
          <w:rPr>
            <w:rFonts w:ascii="arial" w:eastAsia="arial" w:hAnsi="arial" w:cs="arial"/>
            <w:b w:val="0"/>
            <w:i/>
            <w:strike w:val="0"/>
            <w:noProof w:val="0"/>
            <w:color w:val="0077CC"/>
            <w:position w:val="0"/>
            <w:sz w:val="20"/>
            <w:u w:val="single"/>
            <w:vertAlign w:val="baseline"/>
          </w:rPr>
          <w:t>Cinel v. Connick</w:t>
        </w:r>
      </w:hyperlink>
      <w:hyperlink r:id="rId18" w:history="1">
        <w:r>
          <w:rPr>
            <w:rFonts w:ascii="arial" w:eastAsia="arial" w:hAnsi="arial" w:cs="arial"/>
            <w:b w:val="0"/>
            <w:i/>
            <w:strike w:val="0"/>
            <w:noProof w:val="0"/>
            <w:color w:val="0077CC"/>
            <w:position w:val="0"/>
            <w:sz w:val="20"/>
            <w:u w:val="single"/>
            <w:vertAlign w:val="baseline"/>
          </w:rPr>
          <w:t>, 15 F.3d 1338, 1343 n.6 (5th Cir. 1994)</w:t>
        </w:r>
      </w:hyperlink>
      <w:r>
        <w:rPr>
          <w:rFonts w:ascii="arial" w:eastAsia="arial" w:hAnsi="arial" w:cs="arial"/>
          <w:b w:val="0"/>
          <w:i w:val="0"/>
          <w:strike w:val="0"/>
          <w:noProof w:val="0"/>
          <w:color w:val="000000"/>
          <w:position w:val="0"/>
          <w:sz w:val="20"/>
          <w:u w:val="none"/>
          <w:vertAlign w:val="baseline"/>
        </w:rPr>
        <w:t xml:space="preserve">; </w:t>
      </w:r>
      <w:bookmarkStart w:id="35" w:name="Bookmark_I6B7MJKP2D6N1T0010000400"/>
      <w:bookmarkEnd w:id="35"/>
      <w:r>
        <w:rPr>
          <w:rFonts w:ascii="arial" w:eastAsia="arial" w:hAnsi="arial" w:cs="arial"/>
          <w:b w:val="0"/>
          <w:i/>
          <w:strike w:val="0"/>
          <w:noProof w:val="0"/>
          <w:color w:val="000000"/>
          <w:position w:val="0"/>
          <w:sz w:val="20"/>
          <w:u w:val="none"/>
          <w:vertAlign w:val="baseline"/>
        </w:rPr>
        <w:t>Haygood v. Begue</w:t>
      </w:r>
      <w:r>
        <w:rPr>
          <w:rFonts w:ascii="arial" w:eastAsia="arial" w:hAnsi="arial" w:cs="arial"/>
          <w:b w:val="0"/>
          <w:i w:val="0"/>
          <w:strike w:val="0"/>
          <w:noProof w:val="0"/>
          <w:color w:val="000000"/>
          <w:position w:val="0"/>
          <w:sz w:val="20"/>
          <w:u w:val="none"/>
          <w:vertAlign w:val="baseline"/>
        </w:rPr>
        <w:t>, 2014 WL1320152 at 1 (W.D. La. March 31, 2014).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A. </w:t>
      </w:r>
      <w:hyperlink r:id="rId19" w:history="1">
        <w:r>
          <w:rPr>
            <w:rFonts w:ascii="arial" w:eastAsia="arial" w:hAnsi="arial" w:cs="arial"/>
            <w:b/>
            <w:i/>
            <w:strike w:val="0"/>
            <w:noProof w:val="0"/>
            <w:color w:val="0077CC"/>
            <w:position w:val="0"/>
            <w:sz w:val="20"/>
            <w:u w:val="single"/>
            <w:vertAlign w:val="baseline"/>
          </w:rPr>
          <w:t>Eleventh Amendment</w:t>
        </w:r>
      </w:hyperlink>
      <w:r>
        <w:rPr>
          <w:rFonts w:ascii="arial" w:eastAsia="arial" w:hAnsi="arial" w:cs="arial"/>
          <w:b/>
          <w:i/>
          <w:strike w:val="0"/>
          <w:noProof w:val="0"/>
          <w:color w:val="000000"/>
          <w:position w:val="0"/>
          <w:sz w:val="20"/>
          <w:u w:val="none"/>
          <w:vertAlign w:val="baseline"/>
        </w:rPr>
        <w:t xml:space="preserve"> Immunity</w:t>
      </w:r>
    </w:p>
    <w:p>
      <w:pPr>
        <w:keepNext w:val="0"/>
        <w:spacing w:before="240" w:after="0" w:line="260" w:lineRule="atLeast"/>
        <w:ind w:left="0" w:right="0" w:firstLine="0"/>
        <w:jc w:val="both"/>
      </w:pPr>
      <w:bookmarkStart w:id="36" w:name="Bookmark_para_8"/>
      <w:bookmarkEnd w:id="36"/>
      <w:bookmarkStart w:id="37" w:name="Bookmark_I6B7MJKP2D6N1T0040000400"/>
      <w:bookmarkEnd w:id="37"/>
      <w:r>
        <w:rPr>
          <w:rFonts w:ascii="arial" w:eastAsia="arial" w:hAnsi="arial" w:cs="arial"/>
          <w:b w:val="0"/>
          <w:i w:val="0"/>
          <w:strike w:val="0"/>
          <w:noProof w:val="0"/>
          <w:color w:val="000000"/>
          <w:position w:val="0"/>
          <w:sz w:val="20"/>
          <w:u w:val="none"/>
          <w:vertAlign w:val="baseline"/>
        </w:rPr>
        <w:t xml:space="preserve">In the Complaint, plaintiff specifically states that defendants are sued individually and in their official capacity. </w:t>
      </w:r>
      <w:bookmarkStart w:id="38" w:name="Bookmark_I6B7MJKP2SF8TB0010000400"/>
      <w:bookmarkEnd w:id="38"/>
      <w:r>
        <w:rPr>
          <w:rFonts w:ascii="arial" w:eastAsia="arial" w:hAnsi="arial" w:cs="arial"/>
          <w:b w:val="0"/>
          <w:i w:val="0"/>
          <w:strike w:val="0"/>
          <w:noProof w:val="0"/>
          <w:color w:val="000000"/>
          <w:position w:val="0"/>
          <w:sz w:val="20"/>
          <w:u w:val="none"/>
          <w:vertAlign w:val="baseline"/>
        </w:rPr>
        <w:t>Under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Eleventh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a non-consenting state is immune from any lawsuit seeking monetary damages or equitable relief brought in federal courts by her own citizens or by the citizens of another state. </w:t>
      </w:r>
      <w:bookmarkStart w:id="39" w:name="Bookmark_I6B7MJKP2D6N1T0030000400"/>
      <w:bookmarkEnd w:id="39"/>
      <w:hyperlink r:id="rId20" w:history="1">
        <w:r>
          <w:rPr>
            <w:rFonts w:ascii="arial" w:eastAsia="arial" w:hAnsi="arial" w:cs="arial"/>
            <w:b w:val="0"/>
            <w:i/>
            <w:strike w:val="0"/>
            <w:noProof w:val="0"/>
            <w:color w:val="0077CC"/>
            <w:position w:val="0"/>
            <w:sz w:val="20"/>
            <w:u w:val="single"/>
            <w:vertAlign w:val="baseline"/>
          </w:rPr>
          <w:t>Edelman v. Jordan</w:t>
        </w:r>
      </w:hyperlink>
      <w:hyperlink r:id="rId20" w:history="1">
        <w:r>
          <w:rPr>
            <w:rFonts w:ascii="arial" w:eastAsia="arial" w:hAnsi="arial" w:cs="arial"/>
            <w:b w:val="0"/>
            <w:i/>
            <w:strike w:val="0"/>
            <w:noProof w:val="0"/>
            <w:color w:val="0077CC"/>
            <w:position w:val="0"/>
            <w:sz w:val="20"/>
            <w:u w:val="single"/>
            <w:vertAlign w:val="baseline"/>
          </w:rPr>
          <w:t>, 415 U.S. 651, 662-63, 94 S. Ct. 1347, 39 L. Ed. 2d 662 (1974)</w:t>
        </w:r>
      </w:hyperlink>
      <w:r>
        <w:rPr>
          <w:rFonts w:ascii="arial" w:eastAsia="arial" w:hAnsi="arial" w:cs="arial"/>
          <w:b w:val="0"/>
          <w:i w:val="0"/>
          <w:strike w:val="0"/>
          <w:noProof w:val="0"/>
          <w:color w:val="000000"/>
          <w:position w:val="0"/>
          <w:sz w:val="20"/>
          <w:u w:val="none"/>
          <w:vertAlign w:val="baseline"/>
        </w:rPr>
        <w:t xml:space="preserve"> Although Congress has the power to abrogate this immunity through the </w:t>
      </w:r>
      <w:hyperlink r:id="rId2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it has not done so as to claims for the deprivation of civil rights under </w:t>
      </w:r>
      <w:hyperlink r:id="rId22" w:history="1">
        <w:r>
          <w:rPr>
            <w:rFonts w:ascii="arial" w:eastAsia="arial" w:hAnsi="arial" w:cs="arial"/>
            <w:b w:val="0"/>
            <w:i/>
            <w:strike w:val="0"/>
            <w:noProof w:val="0"/>
            <w:color w:val="0077CC"/>
            <w:position w:val="0"/>
            <w:sz w:val="20"/>
            <w:u w:val="single"/>
            <w:vertAlign w:val="baseline"/>
          </w:rPr>
          <w:t>§1983</w:t>
        </w:r>
      </w:hyperlink>
      <w:r>
        <w:rPr>
          <w:rFonts w:ascii="arial" w:eastAsia="arial" w:hAnsi="arial" w:cs="arial"/>
          <w:b w:val="0"/>
          <w:i w:val="0"/>
          <w:strike w:val="0"/>
          <w:noProof w:val="0"/>
          <w:color w:val="000000"/>
          <w:position w:val="0"/>
          <w:sz w:val="20"/>
          <w:u w:val="none"/>
          <w:vertAlign w:val="baseline"/>
        </w:rPr>
        <w:t xml:space="preserve">. </w:t>
      </w:r>
      <w:bookmarkStart w:id="40" w:name="Bookmark_I6B7MJKP2SF8TB0010000400_2"/>
      <w:bookmarkEnd w:id="40"/>
      <w:bookmarkStart w:id="41" w:name="Bookmark_I6B7MJKP2SF8TB0030000400"/>
      <w:bookmarkEnd w:id="41"/>
      <w:bookmarkStart w:id="42" w:name="Bookmark_I6B7MJKP2D6N1T0050000400"/>
      <w:bookmarkEnd w:id="42"/>
      <w:hyperlink r:id="rId23" w:history="1">
        <w:r>
          <w:rPr>
            <w:rFonts w:ascii="arial" w:eastAsia="arial" w:hAnsi="arial" w:cs="arial"/>
            <w:b w:val="0"/>
            <w:i/>
            <w:strike w:val="0"/>
            <w:noProof w:val="0"/>
            <w:color w:val="0077CC"/>
            <w:position w:val="0"/>
            <w:sz w:val="20"/>
            <w:u w:val="single"/>
            <w:vertAlign w:val="baseline"/>
          </w:rPr>
          <w:t>Quern v. Jordan</w:t>
        </w:r>
      </w:hyperlink>
      <w:hyperlink r:id="rId23" w:history="1">
        <w:r>
          <w:rPr>
            <w:rFonts w:ascii="arial" w:eastAsia="arial" w:hAnsi="arial" w:cs="arial"/>
            <w:b w:val="0"/>
            <w:i/>
            <w:strike w:val="0"/>
            <w:noProof w:val="0"/>
            <w:color w:val="0077CC"/>
            <w:position w:val="0"/>
            <w:sz w:val="20"/>
            <w:u w:val="single"/>
            <w:vertAlign w:val="baseline"/>
          </w:rPr>
          <w:t>, 440 U.S. 332, 345, 99 S. Ct. 1139, 59 L. Ed. 2d 358 (1979)</w:t>
        </w:r>
      </w:hyperlink>
      <w:r>
        <w:rPr>
          <w:rFonts w:ascii="arial" w:eastAsia="arial" w:hAnsi="arial" w:cs="arial"/>
          <w:b w:val="0"/>
          <w:i w:val="0"/>
          <w:strike w:val="0"/>
          <w:noProof w:val="0"/>
          <w:color w:val="000000"/>
          <w:position w:val="0"/>
          <w:sz w:val="20"/>
          <w:u w:val="none"/>
          <w:vertAlign w:val="baseline"/>
        </w:rPr>
        <w:t xml:space="preserve">. </w:t>
      </w:r>
      <w:bookmarkStart w:id="43" w:name="Bookmark_I6B7MJKP2SF8TB0030000400_2"/>
      <w:bookmarkEnd w:id="43"/>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grants a state, or "arm of the state," sovereign immunity from a suit against it in federal court. </w:t>
      </w:r>
      <w:bookmarkStart w:id="44" w:name="Bookmark_I6B7MJKP2SF8TB0020000400"/>
      <w:bookmarkEnd w:id="44"/>
      <w:hyperlink r:id="rId24" w:history="1">
        <w:r>
          <w:rPr>
            <w:rFonts w:ascii="arial" w:eastAsia="arial" w:hAnsi="arial" w:cs="arial"/>
            <w:b w:val="0"/>
            <w:i/>
            <w:strike w:val="0"/>
            <w:noProof w:val="0"/>
            <w:color w:val="0077CC"/>
            <w:position w:val="0"/>
            <w:sz w:val="20"/>
            <w:u w:val="single"/>
            <w:vertAlign w:val="baseline"/>
          </w:rPr>
          <w:t>Vogt. Bd. Of Comm'rs of Orleans Levee Dist.</w:t>
        </w:r>
      </w:hyperlink>
      <w:hyperlink r:id="rId24" w:history="1">
        <w:r>
          <w:rPr>
            <w:rFonts w:ascii="arial" w:eastAsia="arial" w:hAnsi="arial" w:cs="arial"/>
            <w:b w:val="0"/>
            <w:i/>
            <w:strike w:val="0"/>
            <w:noProof w:val="0"/>
            <w:color w:val="0077CC"/>
            <w:position w:val="0"/>
            <w:sz w:val="20"/>
            <w:u w:val="single"/>
            <w:vertAlign w:val="baseline"/>
          </w:rPr>
          <w:t>, 294 F.3d 684, 688-89 (5th Cir. 2002)</w:t>
        </w:r>
      </w:hyperlink>
      <w:r>
        <w:rPr>
          <w:rFonts w:ascii="arial" w:eastAsia="arial" w:hAnsi="arial" w:cs="arial"/>
          <w:b w:val="0"/>
          <w:i w:val="0"/>
          <w:strike w:val="0"/>
          <w:noProof w:val="0"/>
          <w:color w:val="000000"/>
          <w:position w:val="0"/>
          <w:sz w:val="20"/>
          <w:u w:val="none"/>
          <w:vertAlign w:val="baseline"/>
        </w:rPr>
        <w:t xml:space="preserve"> (citing </w:t>
      </w:r>
      <w:bookmarkStart w:id="45" w:name="Bookmark_I6B7MJKP2SF8TB0040000400"/>
      <w:bookmarkEnd w:id="45"/>
      <w:hyperlink r:id="rId25" w:history="1">
        <w:r>
          <w:rPr>
            <w:rFonts w:ascii="arial" w:eastAsia="arial" w:hAnsi="arial" w:cs="arial"/>
            <w:b w:val="0"/>
            <w:i/>
            <w:strike w:val="0"/>
            <w:noProof w:val="0"/>
            <w:color w:val="0077CC"/>
            <w:position w:val="0"/>
            <w:sz w:val="20"/>
            <w:u w:val="single"/>
            <w:vertAlign w:val="baseline"/>
          </w:rPr>
          <w:t>Regents of the Uni. Of Cal v. Doe</w:t>
        </w:r>
      </w:hyperlink>
      <w:hyperlink r:id="rId25" w:history="1">
        <w:r>
          <w:rPr>
            <w:rFonts w:ascii="arial" w:eastAsia="arial" w:hAnsi="arial" w:cs="arial"/>
            <w:b w:val="0"/>
            <w:i/>
            <w:strike w:val="0"/>
            <w:noProof w:val="0"/>
            <w:color w:val="0077CC"/>
            <w:position w:val="0"/>
            <w:sz w:val="20"/>
            <w:u w:val="single"/>
            <w:vertAlign w:val="baseline"/>
          </w:rPr>
          <w:t>, 519 U.S. 425, 429 (1997)</w:t>
        </w:r>
      </w:hyperlink>
      <w:r>
        <w:rPr>
          <w:rFonts w:ascii="arial" w:eastAsia="arial" w:hAnsi="arial" w:cs="arial"/>
          <w:b w:val="0"/>
          <w:i w:val="0"/>
          <w:strike w:val="0"/>
          <w:noProof w:val="0"/>
          <w:color w:val="000000"/>
          <w:position w:val="0"/>
          <w:sz w:val="20"/>
          <w:u w:val="none"/>
          <w:vertAlign w:val="baseline"/>
        </w:rPr>
        <w:t xml:space="preserve">). </w:t>
      </w:r>
      <w:bookmarkStart w:id="46" w:name="Bookmark_I6B7MJKR2SF8TG0020000400"/>
      <w:bookmarkEnd w:id="46"/>
      <w:r>
        <w:rPr>
          <w:rFonts w:ascii="arial" w:eastAsia="arial" w:hAnsi="arial" w:cs="arial"/>
          <w:b w:val="0"/>
          <w:i w:val="0"/>
          <w:strike w:val="0"/>
          <w:noProof w:val="0"/>
          <w:color w:val="000000"/>
          <w:position w:val="0"/>
          <w:sz w:val="20"/>
          <w:u w:val="none"/>
          <w:vertAlign w:val="baseline"/>
        </w:rPr>
        <w:t xml:space="preserve">To the extent that plaintiff is seeking monetary damages against the defendants in their official capacities, such claims are barred by the </w:t>
      </w:r>
      <w:hyperlink r:id="rId19"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and should be dismissed. Neither a State, nor its officials acting in their official capacities, are "persons" under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47" w:name="Bookmark_I6B7MJKR2SF8TG0010000400"/>
      <w:bookmarkEnd w:id="47"/>
      <w:hyperlink r:id="rId26" w:history="1">
        <w:r>
          <w:rPr>
            <w:rFonts w:ascii="arial" w:eastAsia="arial" w:hAnsi="arial" w:cs="arial"/>
            <w:b w:val="0"/>
            <w:i/>
            <w:strike w:val="0"/>
            <w:noProof w:val="0"/>
            <w:color w:val="0077CC"/>
            <w:position w:val="0"/>
            <w:sz w:val="20"/>
            <w:u w:val="single"/>
            <w:vertAlign w:val="baseline"/>
          </w:rPr>
          <w:t>Will v. Mich. Dep't of State Police</w:t>
        </w:r>
      </w:hyperlink>
      <w:hyperlink r:id="rId26" w:history="1">
        <w:r>
          <w:rPr>
            <w:rFonts w:ascii="arial" w:eastAsia="arial" w:hAnsi="arial" w:cs="arial"/>
            <w:b w:val="0"/>
            <w:i/>
            <w:strike w:val="0"/>
            <w:noProof w:val="0"/>
            <w:color w:val="0077CC"/>
            <w:position w:val="0"/>
            <w:sz w:val="20"/>
            <w:u w:val="single"/>
            <w:vertAlign w:val="baseline"/>
          </w:rPr>
          <w:t>, 491 U.S. 58, 109 S.Ct. 2304, 105 L. Ed. 2d 45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9"/>
      <w:bookmarkEnd w:id="48"/>
      <w:r>
        <w:rPr>
          <w:rFonts w:ascii="arial" w:eastAsia="arial" w:hAnsi="arial" w:cs="arial"/>
          <w:b w:val="0"/>
          <w:i w:val="0"/>
          <w:strike w:val="0"/>
          <w:noProof w:val="0"/>
          <w:color w:val="000000"/>
          <w:position w:val="0"/>
          <w:sz w:val="20"/>
          <w:u w:val="none"/>
          <w:vertAlign w:val="baseline"/>
        </w:rPr>
        <w:t xml:space="preserve">Plaintiff has failed to state a claim under </w:t>
      </w:r>
      <w:hyperlink r:id="rId22" w:history="1">
        <w:r>
          <w:rPr>
            <w:rFonts w:ascii="arial" w:eastAsia="arial" w:hAnsi="arial" w:cs="arial"/>
            <w:b w:val="0"/>
            <w:i/>
            <w:strike w:val="0"/>
            <w:noProof w:val="0"/>
            <w:color w:val="0077CC"/>
            <w:position w:val="0"/>
            <w:sz w:val="20"/>
            <w:u w:val="single"/>
            <w:vertAlign w:val="baseline"/>
          </w:rPr>
          <w:t>§1983</w:t>
        </w:r>
      </w:hyperlink>
      <w:r>
        <w:rPr>
          <w:rFonts w:ascii="arial" w:eastAsia="arial" w:hAnsi="arial" w:cs="arial"/>
          <w:b w:val="0"/>
          <w:i w:val="0"/>
          <w:strike w:val="0"/>
          <w:noProof w:val="0"/>
          <w:color w:val="000000"/>
          <w:position w:val="0"/>
          <w:sz w:val="20"/>
          <w:u w:val="none"/>
          <w:vertAlign w:val="baseline"/>
        </w:rPr>
        <w:t xml:space="preserve"> against defendants in their official capacities, and to the extent plaintiff seeks monetary relief from the defendants in their official capacities, all such claims are barred by the </w:t>
      </w:r>
      <w:hyperlink r:id="rId19"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and should be dismissed for lack of subject matter jurisdiction.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B. </w:t>
      </w:r>
      <w:hyperlink r:id="rId27"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strike w:val="0"/>
          <w:noProof w:val="0"/>
          <w:color w:val="000000"/>
          <w:position w:val="0"/>
          <w:sz w:val="20"/>
          <w:u w:val="none"/>
          <w:vertAlign w:val="baseline"/>
        </w:rPr>
        <w:t xml:space="preserve"> Violation</w:t>
      </w:r>
    </w:p>
    <w:p>
      <w:pPr>
        <w:keepNext w:val="0"/>
        <w:spacing w:before="20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The defendants argue, and the Court agrees, that the strip search at issue was not unreasonable or unconstitutional.</w:t>
      </w:r>
    </w:p>
    <w:p>
      <w:pPr>
        <w:keepNext w:val="0"/>
        <w:spacing w:before="200" w:after="0" w:line="260" w:lineRule="atLeast"/>
        <w:ind w:left="0" w:right="0" w:firstLine="0"/>
        <w:jc w:val="both"/>
      </w:pPr>
      <w:bookmarkStart w:id="50" w:name="Bookmark_para_11"/>
      <w:bookmarkEnd w:id="50"/>
      <w:bookmarkStart w:id="51" w:name="Bookmark_I6B7MJKR2SF8TG0040000400"/>
      <w:bookmarkEnd w:id="51"/>
      <w:bookmarkStart w:id="52" w:name="Bookmark_I6B7MJKR2D6N230030000400"/>
      <w:bookmarkEnd w:id="52"/>
      <w:r>
        <w:rPr>
          <w:rFonts w:ascii="arial" w:eastAsia="arial" w:hAnsi="arial" w:cs="arial"/>
          <w:b w:val="0"/>
          <w:i w:val="0"/>
          <w:strike w:val="0"/>
          <w:noProof w:val="0"/>
          <w:color w:val="000000"/>
          <w:position w:val="0"/>
          <w:sz w:val="20"/>
          <w:u w:val="none"/>
          <w:vertAlign w:val="baseline"/>
        </w:rPr>
        <w:t>"Strip and body cavity searches are 'searches' of 'persons' under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meaning of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as such, must be reasonable. </w:t>
      </w:r>
      <w:bookmarkStart w:id="53" w:name="Bookmark_I6B7MJKR2SF8TG0030000400"/>
      <w:bookmarkEnd w:id="53"/>
      <w:hyperlink r:id="rId28" w:history="1">
        <w:r>
          <w:rPr>
            <w:rFonts w:ascii="arial" w:eastAsia="arial" w:hAnsi="arial" w:cs="arial"/>
            <w:b w:val="0"/>
            <w:i/>
            <w:strike w:val="0"/>
            <w:noProof w:val="0"/>
            <w:color w:val="0077CC"/>
            <w:position w:val="0"/>
            <w:sz w:val="20"/>
            <w:u w:val="single"/>
            <w:vertAlign w:val="baseline"/>
          </w:rPr>
          <w:t>Henry v. Hulett</w:t>
        </w:r>
      </w:hyperlink>
      <w:hyperlink r:id="rId28" w:history="1">
        <w:r>
          <w:rPr>
            <w:rFonts w:ascii="arial" w:eastAsia="arial" w:hAnsi="arial" w:cs="arial"/>
            <w:b w:val="0"/>
            <w:i/>
            <w:strike w:val="0"/>
            <w:noProof w:val="0"/>
            <w:color w:val="0077CC"/>
            <w:position w:val="0"/>
            <w:sz w:val="20"/>
            <w:u w:val="single"/>
            <w:vertAlign w:val="baseline"/>
          </w:rPr>
          <w:t>, 969 F.3d 769, 776 (7th Cir. 2020)</w:t>
        </w:r>
      </w:hyperlink>
      <w:r>
        <w:rPr>
          <w:rFonts w:ascii="arial" w:eastAsia="arial" w:hAnsi="arial" w:cs="arial"/>
          <w:b w:val="0"/>
          <w:i w:val="0"/>
          <w:strike w:val="0"/>
          <w:noProof w:val="0"/>
          <w:color w:val="000000"/>
          <w:position w:val="0"/>
          <w:sz w:val="20"/>
          <w:u w:val="none"/>
          <w:vertAlign w:val="baseline"/>
        </w:rPr>
        <w:t xml:space="preserve">; </w:t>
      </w:r>
      <w:bookmarkStart w:id="54" w:name="Bookmark_I6B7MJKR2SF8TG0050000400"/>
      <w:bookmarkEnd w:id="54"/>
      <w:hyperlink r:id="rId29" w:history="1">
        <w:r>
          <w:rPr>
            <w:rFonts w:ascii="arial" w:eastAsia="arial" w:hAnsi="arial" w:cs="arial"/>
            <w:b w:val="0"/>
            <w:i/>
            <w:strike w:val="0"/>
            <w:noProof w:val="0"/>
            <w:color w:val="0077CC"/>
            <w:position w:val="0"/>
            <w:sz w:val="20"/>
            <w:u w:val="single"/>
            <w:vertAlign w:val="baseline"/>
          </w:rPr>
          <w:t>Bell v. Wolfish</w:t>
        </w:r>
      </w:hyperlink>
      <w:hyperlink r:id="rId29" w:history="1">
        <w:r>
          <w:rPr>
            <w:rFonts w:ascii="arial" w:eastAsia="arial" w:hAnsi="arial" w:cs="arial"/>
            <w:b w:val="0"/>
            <w:i/>
            <w:strike w:val="0"/>
            <w:noProof w:val="0"/>
            <w:color w:val="0077CC"/>
            <w:position w:val="0"/>
            <w:sz w:val="20"/>
            <w:u w:val="single"/>
            <w:vertAlign w:val="baseline"/>
          </w:rPr>
          <w:t>, 441 U.S. 520, 99 S. Ct. 1861, 1885, 60 L. Ed. 2d 447 (1979)</w:t>
        </w:r>
      </w:hyperlink>
      <w:r>
        <w:rPr>
          <w:rFonts w:ascii="arial" w:eastAsia="arial" w:hAnsi="arial" w:cs="arial"/>
          <w:b w:val="0"/>
          <w:i w:val="0"/>
          <w:strike w:val="0"/>
          <w:noProof w:val="0"/>
          <w:color w:val="000000"/>
          <w:position w:val="0"/>
          <w:sz w:val="20"/>
          <w:u w:val="none"/>
          <w:vertAlign w:val="baseline"/>
        </w:rPr>
        <w:t xml:space="preserve">. </w:t>
      </w:r>
      <w:bookmarkStart w:id="55" w:name="Bookmark_I6B7MJKR2D6N230050000400"/>
      <w:bookmarkEnd w:id="55"/>
      <w:r>
        <w:rPr>
          <w:rFonts w:ascii="arial" w:eastAsia="arial" w:hAnsi="arial" w:cs="arial"/>
          <w:b w:val="0"/>
          <w:i w:val="0"/>
          <w:strike w:val="0"/>
          <w:noProof w:val="0"/>
          <w:color w:val="000000"/>
          <w:position w:val="0"/>
          <w:sz w:val="20"/>
          <w:u w:val="none"/>
          <w:vertAlign w:val="baseline"/>
        </w:rPr>
        <w:t xml:space="preserve">There is no explicit definition used to determine when a search is reasonable or unreasonable; instead, each case "requires a balancing of the need for the particular search against the invasion of personal rights that the search entails," which requires an examination of "the scope of the particular intrusion, the manner in which it was conducted, the justification for initiating it, and the place in which it was conducted." </w:t>
      </w:r>
      <w:bookmarkStart w:id="56" w:name="Bookmark_I6B7MJKR2D6N230020000400"/>
      <w:bookmarkEnd w:id="56"/>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1884</w:t>
        </w:r>
      </w:hyperlink>
      <w:r>
        <w:rPr>
          <w:rFonts w:ascii="arial" w:eastAsia="arial" w:hAnsi="arial" w:cs="arial"/>
          <w:b w:val="0"/>
          <w:i w:val="0"/>
          <w:strike w:val="0"/>
          <w:noProof w:val="0"/>
          <w:color w:val="000000"/>
          <w:position w:val="0"/>
          <w:sz w:val="20"/>
          <w:u w:val="none"/>
          <w:vertAlign w:val="baseline"/>
        </w:rPr>
        <w:t xml:space="preserve">. </w:t>
      </w:r>
      <w:bookmarkStart w:id="57" w:name="Bookmark_I6B7MJKR2D6N230050000400_2"/>
      <w:bookmarkEnd w:id="57"/>
      <w:bookmarkStart w:id="58" w:name="Bookmark_I6B7MJKR2SF8TK0020000400"/>
      <w:bookmarkEnd w:id="58"/>
      <w:r>
        <w:rPr>
          <w:rFonts w:ascii="arial" w:eastAsia="arial" w:hAnsi="arial" w:cs="arial"/>
          <w:b w:val="0"/>
          <w:i w:val="0"/>
          <w:strike w:val="0"/>
          <w:noProof w:val="0"/>
          <w:color w:val="000000"/>
          <w:position w:val="0"/>
          <w:sz w:val="20"/>
          <w:u w:val="none"/>
          <w:vertAlign w:val="baseline"/>
        </w:rPr>
        <w:t xml:space="preserve">Although a search under the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must be reasonable, Fifth Circuit jurisprudence is clear that "reasonableness" in the prison context is analyzed using a different standard. Because of the exaggerated safety concerns in prisons, "[c]ourts ordinarily should defer to prison officials, if a policy is reasonably related to legitimate security objectives and there is no substantial evidence to indicate that prison officials have exaggerated their response to security considerations." </w:t>
      </w:r>
      <w:bookmarkStart w:id="59" w:name="Bookmark_I6B7MJKR2D6N230040000400"/>
      <w:bookmarkEnd w:id="59"/>
      <w:hyperlink r:id="rId30" w:history="1">
        <w:r>
          <w:rPr>
            <w:rFonts w:ascii="arial" w:eastAsia="arial" w:hAnsi="arial" w:cs="arial"/>
            <w:b w:val="0"/>
            <w:i/>
            <w:strike w:val="0"/>
            <w:noProof w:val="0"/>
            <w:color w:val="0077CC"/>
            <w:position w:val="0"/>
            <w:sz w:val="20"/>
            <w:u w:val="single"/>
            <w:vertAlign w:val="baseline"/>
          </w:rPr>
          <w:t>Parker v. Woods</w:t>
        </w:r>
      </w:hyperlink>
      <w:hyperlink r:id="rId30" w:history="1">
        <w:r>
          <w:rPr>
            <w:rFonts w:ascii="arial" w:eastAsia="arial" w:hAnsi="arial" w:cs="arial"/>
            <w:b w:val="0"/>
            <w:i/>
            <w:strike w:val="0"/>
            <w:noProof w:val="0"/>
            <w:color w:val="0077CC"/>
            <w:position w:val="0"/>
            <w:sz w:val="20"/>
            <w:u w:val="single"/>
            <w:vertAlign w:val="baseline"/>
          </w:rPr>
          <w:t>, 834 F. App'x 92, 95 (5th Cir. 2020)</w:t>
        </w:r>
      </w:hyperlink>
      <w:r>
        <w:rPr>
          <w:rFonts w:ascii="arial" w:eastAsia="arial" w:hAnsi="arial" w:cs="arial"/>
          <w:b w:val="0"/>
          <w:i w:val="0"/>
          <w:strike w:val="0"/>
          <w:noProof w:val="0"/>
          <w:color w:val="000000"/>
          <w:position w:val="0"/>
          <w:sz w:val="20"/>
          <w:u w:val="none"/>
          <w:vertAlign w:val="baseline"/>
        </w:rPr>
        <w:t xml:space="preserve">. </w:t>
      </w:r>
      <w:bookmarkStart w:id="60" w:name="Bookmark_I6B7MJKR2SF8TK0020000400_2"/>
      <w:bookmarkEnd w:id="60"/>
      <w:r>
        <w:rPr>
          <w:rFonts w:ascii="arial" w:eastAsia="arial" w:hAnsi="arial" w:cs="arial"/>
          <w:b w:val="0"/>
          <w:i w:val="0"/>
          <w:strike w:val="0"/>
          <w:noProof w:val="0"/>
          <w:color w:val="000000"/>
          <w:position w:val="0"/>
          <w:sz w:val="20"/>
          <w:u w:val="none"/>
          <w:vertAlign w:val="baseline"/>
        </w:rPr>
        <w:t xml:space="preserve">Therefore, because of the great deference afforded to prisons, the "burden of proving reasonableness [in the prison context] is a light burden." </w:t>
      </w:r>
      <w:bookmarkStart w:id="61" w:name="Bookmark_I6B7MJKR2SF8TK0010000400"/>
      <w:bookmarkEnd w:id="61"/>
      <w:hyperlink r:id="rId31" w:history="1">
        <w:r>
          <w:rPr>
            <w:rFonts w:ascii="arial" w:eastAsia="arial" w:hAnsi="arial" w:cs="arial"/>
            <w:b w:val="0"/>
            <w:i/>
            <w:strike w:val="0"/>
            <w:noProof w:val="0"/>
            <w:color w:val="0077CC"/>
            <w:position w:val="0"/>
            <w:sz w:val="20"/>
            <w:u w:val="single"/>
            <w:vertAlign w:val="baseline"/>
          </w:rPr>
          <w:t>Elliott v. Lynn</w:t>
        </w:r>
      </w:hyperlink>
      <w:hyperlink r:id="rId31" w:history="1">
        <w:r>
          <w:rPr>
            <w:rFonts w:ascii="arial" w:eastAsia="arial" w:hAnsi="arial" w:cs="arial"/>
            <w:b w:val="0"/>
            <w:i/>
            <w:strike w:val="0"/>
            <w:noProof w:val="0"/>
            <w:color w:val="0077CC"/>
            <w:position w:val="0"/>
            <w:sz w:val="20"/>
            <w:u w:val="single"/>
            <w:vertAlign w:val="baseline"/>
          </w:rPr>
          <w:t>, 38 F.3d 188, 191 (5th Cir. 1994)</w:t>
        </w:r>
      </w:hyperlink>
      <w:r>
        <w:rPr>
          <w:rFonts w:ascii="arial" w:eastAsia="arial" w:hAnsi="arial" w:cs="arial"/>
          <w:b w:val="0"/>
          <w:i w:val="0"/>
          <w:strike w:val="0"/>
          <w:noProof w:val="0"/>
          <w:color w:val="000000"/>
          <w:position w:val="0"/>
          <w:sz w:val="20"/>
          <w:u w:val="none"/>
          <w:vertAlign w:val="baseline"/>
        </w:rPr>
        <w:t>. Moreover, "[w]hen evaluating the security policies adopted by prison administrators,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court is not required to apply a least restrictive means test."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2" w:name="Bookmark_para_12"/>
      <w:bookmarkEnd w:id="62"/>
      <w:bookmarkStart w:id="63" w:name="Bookmark_I6B7MJKR2SF8TK0040000400"/>
      <w:bookmarkEnd w:id="63"/>
      <w:r>
        <w:rPr>
          <w:rFonts w:ascii="arial" w:eastAsia="arial" w:hAnsi="arial" w:cs="arial"/>
          <w:b w:val="0"/>
          <w:i w:val="0"/>
          <w:strike w:val="0"/>
          <w:noProof w:val="0"/>
          <w:color w:val="000000"/>
          <w:position w:val="0"/>
          <w:sz w:val="20"/>
          <w:u w:val="none"/>
          <w:vertAlign w:val="baseline"/>
        </w:rPr>
        <w:t xml:space="preserve">In evaluating a prisoner's claim for an unconstitutional search, the court must first look to whether the prison had a legitimate need to perform the search. </w:t>
      </w:r>
      <w:bookmarkStart w:id="64" w:name="Bookmark_I6B7MJKS2N1PVG0010000400"/>
      <w:bookmarkEnd w:id="64"/>
      <w:bookmarkStart w:id="65" w:name="Bookmark_I6B7MJKR2SF8TK0030000400"/>
      <w:bookmarkEnd w:id="65"/>
      <w:hyperlink r:id="rId29" w:history="1">
        <w:r>
          <w:rPr>
            <w:rFonts w:ascii="arial" w:eastAsia="arial" w:hAnsi="arial" w:cs="arial"/>
            <w:b w:val="0"/>
            <w:i/>
            <w:strike w:val="0"/>
            <w:noProof w:val="0"/>
            <w:color w:val="0077CC"/>
            <w:position w:val="0"/>
            <w:sz w:val="20"/>
            <w:u w:val="single"/>
            <w:vertAlign w:val="baseline"/>
          </w:rPr>
          <w:t>Bell v. Wolfish</w:t>
        </w:r>
      </w:hyperlink>
      <w:hyperlink r:id="rId29" w:history="1">
        <w:r>
          <w:rPr>
            <w:rFonts w:ascii="arial" w:eastAsia="arial" w:hAnsi="arial" w:cs="arial"/>
            <w:b w:val="0"/>
            <w:i/>
            <w:strike w:val="0"/>
            <w:noProof w:val="0"/>
            <w:color w:val="0077CC"/>
            <w:position w:val="0"/>
            <w:sz w:val="20"/>
            <w:u w:val="single"/>
            <w:vertAlign w:val="baseline"/>
          </w:rPr>
          <w:t>, 441 U.S. 520, 99 S. Ct. 1861, 60 L. Ed. 2d 447 (1979)</w:t>
        </w:r>
      </w:hyperlink>
      <w:r>
        <w:rPr>
          <w:rFonts w:ascii="arial" w:eastAsia="arial" w:hAnsi="arial" w:cs="arial"/>
          <w:b w:val="0"/>
          <w:i w:val="0"/>
          <w:strike w:val="0"/>
          <w:noProof w:val="0"/>
          <w:color w:val="000000"/>
          <w:position w:val="0"/>
          <w:sz w:val="20"/>
          <w:u w:val="none"/>
          <w:vertAlign w:val="baseline"/>
        </w:rPr>
        <w:t xml:space="preserve">. </w:t>
      </w:r>
      <w:bookmarkStart w:id="66" w:name="Bookmark_I6B7MJKS2N1PVG0030000400"/>
      <w:bookmarkEnd w:id="66"/>
      <w:r>
        <w:rPr>
          <w:rFonts w:ascii="arial" w:eastAsia="arial" w:hAnsi="arial" w:cs="arial"/>
          <w:b w:val="0"/>
          <w:i w:val="0"/>
          <w:strike w:val="0"/>
          <w:noProof w:val="0"/>
          <w:color w:val="000000"/>
          <w:position w:val="0"/>
          <w:sz w:val="20"/>
          <w:u w:val="none"/>
          <w:vertAlign w:val="baseline"/>
        </w:rPr>
        <w:t xml:space="preserve">Courts have said that "[a] detention facility is a unique place fraught with serious dangers. </w:t>
      </w:r>
      <w:bookmarkStart w:id="67" w:name="Bookmark_I6B7MJKS2N1PVG0030000400_2"/>
      <w:bookmarkEnd w:id="67"/>
      <w:bookmarkStart w:id="68" w:name="Bookmark_I6B7MJKS2N1PVG0010000400_2"/>
      <w:bookmarkEnd w:id="68"/>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money, drugs, weapons, and other contraband is all too common an occurrence." </w:t>
      </w:r>
      <w:bookmarkStart w:id="69" w:name="Bookmark_I6B7MJKR2SF8TK0050000400"/>
      <w:bookmarkEnd w:id="6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1884</w:t>
        </w:r>
      </w:hyperlink>
      <w:r>
        <w:rPr>
          <w:rFonts w:ascii="arial" w:eastAsia="arial" w:hAnsi="arial" w:cs="arial"/>
          <w:b w:val="0"/>
          <w:i w:val="0"/>
          <w:strike w:val="0"/>
          <w:noProof w:val="0"/>
          <w:color w:val="000000"/>
          <w:position w:val="0"/>
          <w:sz w:val="20"/>
          <w:u w:val="none"/>
          <w:vertAlign w:val="baseline"/>
        </w:rPr>
        <w:t xml:space="preserve">. Accordingly, courts have explained that "[c]ontrolling the flow of contraband and ensuring institutional security are legitimate penological objectives." </w:t>
      </w:r>
      <w:bookmarkStart w:id="70" w:name="Bookmark_I6B7MJKS2N1PVG0020000400"/>
      <w:bookmarkEnd w:id="70"/>
      <w:hyperlink r:id="rId32" w:history="1">
        <w:r>
          <w:rPr>
            <w:rFonts w:ascii="arial" w:eastAsia="arial" w:hAnsi="arial" w:cs="arial"/>
            <w:b w:val="0"/>
            <w:i/>
            <w:strike w:val="0"/>
            <w:noProof w:val="0"/>
            <w:color w:val="0077CC"/>
            <w:position w:val="0"/>
            <w:sz w:val="20"/>
            <w:u w:val="single"/>
            <w:vertAlign w:val="baseline"/>
          </w:rPr>
          <w:t>Lewis v. Sec'y of Pub. Safety &amp; Corr.</w:t>
        </w:r>
      </w:hyperlink>
      <w:hyperlink r:id="rId32" w:history="1">
        <w:r>
          <w:rPr>
            <w:rFonts w:ascii="arial" w:eastAsia="arial" w:hAnsi="arial" w:cs="arial"/>
            <w:b w:val="0"/>
            <w:i/>
            <w:strike w:val="0"/>
            <w:noProof w:val="0"/>
            <w:color w:val="0077CC"/>
            <w:position w:val="0"/>
            <w:sz w:val="20"/>
            <w:u w:val="single"/>
            <w:vertAlign w:val="baseline"/>
          </w:rPr>
          <w:t>, 870 F.3d 365, 368 (5th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13"/>
      <w:bookmarkEnd w:id="71"/>
      <w:r>
        <w:rPr>
          <w:rFonts w:ascii="arial" w:eastAsia="arial" w:hAnsi="arial" w:cs="arial"/>
          <w:b w:val="0"/>
          <w:i w:val="0"/>
          <w:strike w:val="0"/>
          <w:noProof w:val="0"/>
          <w:color w:val="000000"/>
          <w:position w:val="0"/>
          <w:sz w:val="20"/>
          <w:u w:val="none"/>
          <w:vertAlign w:val="baseline"/>
        </w:rPr>
        <w:t xml:space="preserve">The defendants in this matter assert that the prison had a legitimate need to perform the search. There was a graduation ceremony with visitors from the general public. Although plaintiff states that he and another inmate were separated from the visitors, the defendants explain that controlling the flow of contraband and ensuring institutional security was the main objectives of the prison on that day and that it was reasonable to search any inmate who attended or participated in the ceremony, to prevent any contraband from making it into the cell blocks.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 att. 1, p. 6.</w:t>
      </w:r>
    </w:p>
    <w:p>
      <w:pPr>
        <w:keepNext w:val="0"/>
        <w:spacing w:before="240" w:after="0" w:line="260" w:lineRule="atLeast"/>
        <w:ind w:left="0" w:right="0" w:firstLine="0"/>
        <w:jc w:val="both"/>
      </w:pPr>
      <w:bookmarkStart w:id="72" w:name="Bookmark_para_14"/>
      <w:bookmarkEnd w:id="72"/>
      <w:bookmarkStart w:id="73" w:name="Bookmark_I6B7MJKS2N1PVG0050000400"/>
      <w:bookmarkEnd w:id="73"/>
      <w:r>
        <w:rPr>
          <w:rFonts w:ascii="arial" w:eastAsia="arial" w:hAnsi="arial" w:cs="arial"/>
          <w:b w:val="0"/>
          <w:i w:val="0"/>
          <w:strike w:val="0"/>
          <w:noProof w:val="0"/>
          <w:color w:val="000000"/>
          <w:position w:val="0"/>
          <w:sz w:val="20"/>
          <w:u w:val="none"/>
          <w:vertAlign w:val="baseline"/>
        </w:rPr>
        <w:t>Moreover, the Court concurs with 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argument that while plaintiff may contest the manner in which it was conducted, no constitutional rights are violated by a guard using vulgar language. Claims of verbal abuse are not actionable under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4" w:name="Bookmark_I6B7MJKS2N1PVG0040000400"/>
      <w:bookmarkEnd w:id="74"/>
      <w:hyperlink r:id="rId33" w:history="1">
        <w:r>
          <w:rPr>
            <w:rFonts w:ascii="arial" w:eastAsia="arial" w:hAnsi="arial" w:cs="arial"/>
            <w:b w:val="0"/>
            <w:i/>
            <w:strike w:val="0"/>
            <w:noProof w:val="0"/>
            <w:color w:val="0077CC"/>
            <w:position w:val="0"/>
            <w:sz w:val="20"/>
            <w:u w:val="single"/>
            <w:vertAlign w:val="baseline"/>
          </w:rPr>
          <w:t>Siglar v. Hightower</w:t>
        </w:r>
      </w:hyperlink>
      <w:hyperlink r:id="rId33" w:history="1">
        <w:r>
          <w:rPr>
            <w:rFonts w:ascii="arial" w:eastAsia="arial" w:hAnsi="arial" w:cs="arial"/>
            <w:b w:val="0"/>
            <w:i/>
            <w:strike w:val="0"/>
            <w:noProof w:val="0"/>
            <w:color w:val="0077CC"/>
            <w:position w:val="0"/>
            <w:sz w:val="20"/>
            <w:u w:val="single"/>
            <w:vertAlign w:val="baseline"/>
          </w:rPr>
          <w:t>, 112 F.3d 191, 193-94 (5th Cir. 1997)</w:t>
        </w:r>
      </w:hyperlink>
      <w:r>
        <w:rPr>
          <w:rFonts w:ascii="arial" w:eastAsia="arial" w:hAnsi="arial" w:cs="arial"/>
          <w:b w:val="0"/>
          <w:i w:val="0"/>
          <w:strike w:val="0"/>
          <w:noProof w:val="0"/>
          <w:color w:val="000000"/>
          <w:position w:val="0"/>
          <w:sz w:val="20"/>
          <w:u w:val="none"/>
          <w:vertAlign w:val="baseline"/>
        </w:rPr>
        <w:t xml:space="preserve">(verbal abuse or harassment by a prison guard does not amount to an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 xml:space="preserve">citing </w:t>
      </w:r>
      <w:bookmarkStart w:id="75" w:name="Bookmark_I6B7MJKS2HM5RS0010000400"/>
      <w:bookmarkEnd w:id="75"/>
      <w:hyperlink r:id="rId35" w:history="1">
        <w:r>
          <w:rPr>
            <w:rFonts w:ascii="arial" w:eastAsia="arial" w:hAnsi="arial" w:cs="arial"/>
            <w:b w:val="0"/>
            <w:i/>
            <w:strike w:val="0"/>
            <w:noProof w:val="0"/>
            <w:color w:val="0077CC"/>
            <w:position w:val="0"/>
            <w:sz w:val="20"/>
            <w:u w:val="single"/>
            <w:vertAlign w:val="baseline"/>
          </w:rPr>
          <w:t>Bender v. Brumley</w:t>
        </w:r>
      </w:hyperlink>
      <w:hyperlink r:id="rId35" w:history="1">
        <w:r>
          <w:rPr>
            <w:rFonts w:ascii="arial" w:eastAsia="arial" w:hAnsi="arial" w:cs="arial"/>
            <w:b w:val="0"/>
            <w:i/>
            <w:strike w:val="0"/>
            <w:noProof w:val="0"/>
            <w:color w:val="0077CC"/>
            <w:position w:val="0"/>
            <w:sz w:val="20"/>
            <w:u w:val="single"/>
            <w:vertAlign w:val="baseline"/>
          </w:rPr>
          <w:t>, 1 F.3d 271, 274 n. 4 (5th Cir.1993)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6" w:name="Bookmark_I6B7MJKS2HM5RS0030000400"/>
      <w:bookmarkEnd w:id="76"/>
      <w:hyperlink r:id="rId36" w:history="1">
        <w:r>
          <w:rPr>
            <w:rFonts w:ascii="arial" w:eastAsia="arial" w:hAnsi="arial" w:cs="arial"/>
            <w:b w:val="0"/>
            <w:i/>
            <w:strike w:val="0"/>
            <w:noProof w:val="0"/>
            <w:color w:val="0077CC"/>
            <w:position w:val="0"/>
            <w:sz w:val="20"/>
            <w:u w:val="single"/>
            <w:vertAlign w:val="baseline"/>
          </w:rPr>
          <w:t>Adkins v. Rodriguez</w:t>
        </w:r>
      </w:hyperlink>
      <w:hyperlink r:id="rId36" w:history="1">
        <w:r>
          <w:rPr>
            <w:rFonts w:ascii="arial" w:eastAsia="arial" w:hAnsi="arial" w:cs="arial"/>
            <w:b w:val="0"/>
            <w:i/>
            <w:strike w:val="0"/>
            <w:noProof w:val="0"/>
            <w:color w:val="0077CC"/>
            <w:position w:val="0"/>
            <w:sz w:val="20"/>
            <w:u w:val="single"/>
            <w:vertAlign w:val="baseline"/>
          </w:rPr>
          <w:t>, 59 F.3d 1034 (10th Cir.1995)</w:t>
        </w:r>
      </w:hyperlink>
      <w:r>
        <w:rPr>
          <w:rFonts w:ascii="arial" w:eastAsia="arial" w:hAnsi="arial" w:cs="arial"/>
          <w:b w:val="0"/>
          <w:i w:val="0"/>
          <w:strike w:val="0"/>
          <w:noProof w:val="0"/>
          <w:color w:val="000000"/>
          <w:position w:val="0"/>
          <w:sz w:val="20"/>
          <w:u w:val="none"/>
          <w:vertAlign w:val="baseline"/>
        </w:rPr>
        <w:t xml:space="preserve"> (verbal sexual harassment by jailer, while outrageous and unacceptable, did not amount to a violation of the inmate's </w:t>
      </w:r>
      <w:hyperlink r:id="rId3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Moreover, the search did not take place in the presence of the visitors, as the defendants clarified that the inmates were escorted to a bathroom to give them some form of privacy.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 att. 1, p. 7. As such, the plaintiff's Complaint fails to state a claim for a violation of his </w:t>
      </w:r>
      <w:hyperlink r:id="rId2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and should be dismissed.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Physical Injury Requirement</w:t>
      </w:r>
    </w:p>
    <w:p>
      <w:pPr>
        <w:keepNext w:val="0"/>
        <w:spacing w:before="240" w:after="0" w:line="260" w:lineRule="atLeast"/>
        <w:ind w:left="0" w:right="0" w:firstLine="0"/>
        <w:jc w:val="both"/>
      </w:pPr>
      <w:bookmarkStart w:id="77" w:name="Bookmark_para_15"/>
      <w:bookmarkEnd w:id="77"/>
      <w:r>
        <w:rPr>
          <w:rFonts w:ascii="arial" w:eastAsia="arial" w:hAnsi="arial" w:cs="arial"/>
          <w:b w:val="0"/>
          <w:i w:val="0"/>
          <w:strike w:val="0"/>
          <w:noProof w:val="0"/>
          <w:color w:val="000000"/>
          <w:position w:val="0"/>
          <w:sz w:val="20"/>
          <w:u w:val="none"/>
          <w:vertAlign w:val="baseline"/>
        </w:rPr>
        <w:t xml:space="preserve">To the extent that plaintiff seeks relief from the defendants in their individual capacity in the form of compensatory damages, he is not entitled to such recovery under </w:t>
      </w:r>
      <w:hyperlink r:id="rId2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because he has not alleged a physical injury. </w:t>
      </w:r>
      <w:bookmarkStart w:id="78" w:name="Bookmark_I6B7MJKS2HM5RT0010000400"/>
      <w:bookmarkEnd w:id="78"/>
      <w:r>
        <w:rPr>
          <w:rFonts w:ascii="arial" w:eastAsia="arial" w:hAnsi="arial" w:cs="arial"/>
          <w:b w:val="0"/>
          <w:i w:val="0"/>
          <w:strike w:val="0"/>
          <w:noProof w:val="0"/>
          <w:color w:val="000000"/>
          <w:position w:val="0"/>
          <w:sz w:val="20"/>
          <w:u w:val="none"/>
          <w:vertAlign w:val="baseline"/>
        </w:rPr>
        <w:t>The Prison Litigation Reform Act ("PLRA") provides, "No Federal civil action may be brought by a prisoner confined in a jail, prison, or other correctional facility, for mental or emotional injury suffered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while in custody without a prior showing of physical injury." </w:t>
      </w:r>
      <w:hyperlink r:id="rId37" w:history="1">
        <w:r>
          <w:rPr>
            <w:rFonts w:ascii="arial" w:eastAsia="arial" w:hAnsi="arial" w:cs="arial"/>
            <w:b w:val="0"/>
            <w:i/>
            <w:strike w:val="0"/>
            <w:noProof w:val="0"/>
            <w:color w:val="0077CC"/>
            <w:position w:val="0"/>
            <w:sz w:val="20"/>
            <w:u w:val="single"/>
            <w:vertAlign w:val="baseline"/>
          </w:rPr>
          <w:t>42 U.S.C. § 1997e(e)</w:t>
        </w:r>
      </w:hyperlink>
      <w:r>
        <w:rPr>
          <w:rFonts w:ascii="arial" w:eastAsia="arial" w:hAnsi="arial" w:cs="arial"/>
          <w:b w:val="0"/>
          <w:i w:val="0"/>
          <w:strike w:val="0"/>
          <w:noProof w:val="0"/>
          <w:color w:val="000000"/>
          <w:position w:val="0"/>
          <w:sz w:val="20"/>
          <w:u w:val="none"/>
          <w:vertAlign w:val="baseline"/>
        </w:rPr>
        <w:t xml:space="preserve">. The application of this provision turns on the relief sought by a prisoner, and it prevents prisoners from seeking compensatory damages for violations of federal law where no physical injury is alleged. </w:t>
      </w:r>
      <w:bookmarkStart w:id="79" w:name="Bookmark_I6B7MJKS2HM5RS0050000400"/>
      <w:bookmarkEnd w:id="79"/>
      <w:hyperlink r:id="rId38" w:history="1">
        <w:r>
          <w:rPr>
            <w:rFonts w:ascii="arial" w:eastAsia="arial" w:hAnsi="arial" w:cs="arial"/>
            <w:b w:val="0"/>
            <w:i/>
            <w:strike w:val="0"/>
            <w:noProof w:val="0"/>
            <w:color w:val="0077CC"/>
            <w:position w:val="0"/>
            <w:sz w:val="20"/>
            <w:u w:val="single"/>
            <w:vertAlign w:val="baseline"/>
          </w:rPr>
          <w:t>Geiger v. Jowers</w:t>
        </w:r>
      </w:hyperlink>
      <w:hyperlink r:id="rId38" w:history="1">
        <w:r>
          <w:rPr>
            <w:rFonts w:ascii="arial" w:eastAsia="arial" w:hAnsi="arial" w:cs="arial"/>
            <w:b w:val="0"/>
            <w:i/>
            <w:strike w:val="0"/>
            <w:noProof w:val="0"/>
            <w:color w:val="0077CC"/>
            <w:position w:val="0"/>
            <w:sz w:val="20"/>
            <w:u w:val="single"/>
            <w:vertAlign w:val="baseline"/>
          </w:rPr>
          <w:t>, 404 F.3d 371, 375 (5th Cir. 2005)</w:t>
        </w:r>
      </w:hyperlink>
      <w:r>
        <w:rPr>
          <w:rFonts w:ascii="arial" w:eastAsia="arial" w:hAnsi="arial" w:cs="arial"/>
          <w:b w:val="0"/>
          <w:i w:val="0"/>
          <w:strike w:val="0"/>
          <w:noProof w:val="0"/>
          <w:color w:val="000000"/>
          <w:position w:val="0"/>
          <w:sz w:val="20"/>
          <w:u w:val="none"/>
          <w:vertAlign w:val="baseline"/>
        </w:rPr>
        <w:t xml:space="preserve"> (per curium). Plaintiff has not adequately set forth allegations to show that he is entitled to compensatory damages under the PLRA. While he alleges that he was made to undergo a strip search and is emotionally harmed and suffering, there are no actual allegations of physical injury to plaintiff by either defendant. As such, the allegations in his complaint are insufficient to establish the existence of a qualifying physical injury.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80" w:name="Bookmark_para_16"/>
      <w:bookmarkEnd w:id="80"/>
      <w:r>
        <w:rPr>
          <w:rFonts w:ascii="arial" w:eastAsia="arial" w:hAnsi="arial" w:cs="arial"/>
          <w:b w:val="0"/>
          <w:i w:val="0"/>
          <w:strike w:val="0"/>
          <w:noProof w:val="0"/>
          <w:color w:val="000000"/>
          <w:position w:val="0"/>
          <w:sz w:val="20"/>
          <w:u w:val="none"/>
          <w:vertAlign w:val="baseline"/>
        </w:rPr>
        <w:t xml:space="preserve">For the foregoing reasons, </w:t>
      </w:r>
      <w:r>
        <w:rPr>
          <w:rFonts w:ascii="arial" w:eastAsia="arial" w:hAnsi="arial" w:cs="arial"/>
          <w:b/>
          <w:i w:val="0"/>
          <w:strike w:val="0"/>
          <w:noProof w:val="0"/>
          <w:color w:val="000000"/>
          <w:position w:val="0"/>
          <w:sz w:val="20"/>
          <w:u w:val="none"/>
          <w:vertAlign w:val="baseline"/>
        </w:rPr>
        <w:t>IT IS RECOMMENDED</w:t>
      </w:r>
      <w:r>
        <w:rPr>
          <w:rFonts w:ascii="arial" w:eastAsia="arial" w:hAnsi="arial" w:cs="arial"/>
          <w:b w:val="0"/>
          <w:i w:val="0"/>
          <w:strike w:val="0"/>
          <w:noProof w:val="0"/>
          <w:color w:val="000000"/>
          <w:position w:val="0"/>
          <w:sz w:val="20"/>
          <w:u w:val="none"/>
          <w:vertAlign w:val="baseline"/>
        </w:rPr>
        <w:t xml:space="preserve"> that the defendants' Motion to Dismiss (doc. 24)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this matter be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 xml:space="preserve">Under the provisions of </w:t>
      </w:r>
      <w:hyperlink r:id="rId39" w:history="1">
        <w:r>
          <w:rPr>
            <w:rFonts w:ascii="arial" w:eastAsia="arial" w:hAnsi="arial" w:cs="arial"/>
            <w:b w:val="0"/>
            <w:i/>
            <w:strike w:val="0"/>
            <w:noProof w:val="0"/>
            <w:color w:val="0077CC"/>
            <w:position w:val="0"/>
            <w:sz w:val="20"/>
            <w:u w:val="single"/>
            <w:vertAlign w:val="baseline"/>
          </w:rPr>
          <w:t>28 U.S.C. §636(b)(1)(C)</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Fed.R.Civ.Proc. 72(b)</w:t>
        </w:r>
      </w:hyperlink>
      <w:r>
        <w:rPr>
          <w:rFonts w:ascii="arial" w:eastAsia="arial" w:hAnsi="arial" w:cs="arial"/>
          <w:b w:val="0"/>
          <w:i w:val="0"/>
          <w:strike w:val="0"/>
          <w:noProof w:val="0"/>
          <w:color w:val="000000"/>
          <w:position w:val="0"/>
          <w:sz w:val="20"/>
          <w:u w:val="none"/>
          <w:vertAlign w:val="baseline"/>
        </w:rPr>
        <w:t>, parties aggrieved by this recommendation have fourteen (14) days from service of this report and recommendation to file specific, written objections with the clerk of court. A party may respond to another party's objections within fourteen (14) days after being served with a copy thereof.</w:t>
      </w:r>
    </w:p>
    <w:p>
      <w:pPr>
        <w:keepNext w:val="0"/>
        <w:spacing w:before="240" w:after="0" w:line="260" w:lineRule="atLeast"/>
        <w:ind w:left="0" w:right="0" w:firstLine="0"/>
        <w:jc w:val="both"/>
      </w:pPr>
      <w:bookmarkStart w:id="82" w:name="Bookmark_para_18"/>
      <w:bookmarkEnd w:id="82"/>
      <w:bookmarkStart w:id="83" w:name="Bookmark_I6B7MJKS2HM5RT0030000400"/>
      <w:bookmarkEnd w:id="83"/>
      <w:r>
        <w:rPr>
          <w:rFonts w:ascii="arial" w:eastAsia="arial" w:hAnsi="arial" w:cs="arial"/>
          <w:b/>
          <w:i w:val="0"/>
          <w:strike w:val="0"/>
          <w:noProof w:val="0"/>
          <w:color w:val="000000"/>
          <w:position w:val="0"/>
          <w:sz w:val="20"/>
          <w:u w:val="none"/>
          <w:vertAlign w:val="baseline"/>
        </w:rPr>
        <w:t>Failure to</w:t>
      </w:r>
      <w:r>
        <w:rPr>
          <w:rFonts w:ascii="arial" w:eastAsia="arial" w:hAnsi="arial" w:cs="arial"/>
          <w:b/>
          <w:i w:val="0"/>
          <w:strike w:val="0"/>
          <w:noProof w:val="0"/>
          <w:color w:val="000000"/>
          <w:position w:val="0"/>
          <w:sz w:val="20"/>
          <w:u w:val="none"/>
          <w:vertAlign w:val="baseline"/>
        </w:rPr>
        <w:t> [*9] </w:t>
      </w:r>
      <w:r>
        <w:rPr>
          <w:rFonts w:ascii="arial" w:eastAsia="arial" w:hAnsi="arial" w:cs="arial"/>
          <w:b/>
          <w:i w:val="0"/>
          <w:strike w:val="0"/>
          <w:noProof w:val="0"/>
          <w:color w:val="000000"/>
          <w:position w:val="0"/>
          <w:sz w:val="20"/>
          <w:u w:val="none"/>
          <w:vertAlign w:val="baseline"/>
        </w:rPr>
        <w:t xml:space="preserve"> file written objections to the proposed factual finding and/or the proposed legal conclusions reflected in this Report and Recommendation within fourteen (14) days following the date of its service, or within the time frame authorized by </w:t>
      </w:r>
      <w:hyperlink r:id="rId41" w:history="1">
        <w:r>
          <w:rPr>
            <w:rFonts w:ascii="arial" w:eastAsia="arial" w:hAnsi="arial" w:cs="arial"/>
            <w:b/>
            <w:i/>
            <w:strike w:val="0"/>
            <w:noProof w:val="0"/>
            <w:color w:val="0077CC"/>
            <w:position w:val="0"/>
            <w:sz w:val="20"/>
            <w:u w:val="single"/>
            <w:vertAlign w:val="baseline"/>
          </w:rPr>
          <w:t>Fed.R.Civ.P. 6(b)</w:t>
        </w:r>
      </w:hyperlink>
      <w:r>
        <w:rPr>
          <w:rFonts w:ascii="arial" w:eastAsia="arial" w:hAnsi="arial" w:cs="arial"/>
          <w:b/>
          <w:i w:val="0"/>
          <w:strike w:val="0"/>
          <w:noProof w:val="0"/>
          <w:color w:val="000000"/>
          <w:position w:val="0"/>
          <w:sz w:val="20"/>
          <w:u w:val="none"/>
          <w:vertAlign w:val="baseline"/>
        </w:rPr>
        <w:t xml:space="preserve">, shall bar an aggrieved party from attacking either the factual findings or the legal conclusions accepted by the District Court, except upon grounds of plain error. See </w:t>
      </w:r>
      <w:bookmarkStart w:id="84" w:name="Bookmark_I6B7MJKS2HM5RT0020000400"/>
      <w:bookmarkEnd w:id="84"/>
      <w:hyperlink r:id="rId42" w:history="1">
        <w:r>
          <w:rPr>
            <w:rFonts w:ascii="arial" w:eastAsia="arial" w:hAnsi="arial" w:cs="arial"/>
            <w:b/>
            <w:i/>
            <w:strike w:val="0"/>
            <w:noProof w:val="0"/>
            <w:color w:val="0077CC"/>
            <w:position w:val="0"/>
            <w:sz w:val="20"/>
            <w:u w:val="single"/>
            <w:vertAlign w:val="baseline"/>
          </w:rPr>
          <w:t>Douglas v. United Services Automobile Association</w:t>
        </w:r>
      </w:hyperlink>
      <w:hyperlink r:id="rId42" w:history="1">
        <w:r>
          <w:rPr>
            <w:rFonts w:ascii="arial" w:eastAsia="arial" w:hAnsi="arial" w:cs="arial"/>
            <w:b/>
            <w:i/>
            <w:strike w:val="0"/>
            <w:noProof w:val="0"/>
            <w:color w:val="0077CC"/>
            <w:position w:val="0"/>
            <w:sz w:val="20"/>
            <w:u w:val="single"/>
            <w:vertAlign w:val="baseline"/>
          </w:rPr>
          <w:t>, 79 F.3d 1415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19"/>
      <w:bookmarkEnd w:id="85"/>
      <w:r>
        <w:rPr>
          <w:rFonts w:ascii="arial" w:eastAsia="arial" w:hAnsi="arial" w:cs="arial"/>
          <w:b w:val="0"/>
          <w:i w:val="0"/>
          <w:strike w:val="0"/>
          <w:noProof w:val="0"/>
          <w:color w:val="000000"/>
          <w:position w:val="0"/>
          <w:sz w:val="20"/>
          <w:u w:val="none"/>
          <w:vertAlign w:val="baseline"/>
        </w:rPr>
        <w:t>THUS DONE AND SIGNED in Chambers this 11th day of December, 2023.</w:t>
      </w:r>
    </w:p>
    <w:p>
      <w:pPr>
        <w:keepNext w:val="0"/>
        <w:spacing w:before="200" w:after="0" w:line="260" w:lineRule="atLeast"/>
        <w:ind w:left="0" w:right="0" w:firstLine="0"/>
        <w:jc w:val="both"/>
      </w:pPr>
      <w:bookmarkStart w:id="86" w:name="Bookmark_para_20"/>
      <w:bookmarkEnd w:id="86"/>
      <w:r>
        <w:rPr>
          <w:rFonts w:ascii="arial" w:eastAsia="arial" w:hAnsi="arial" w:cs="arial"/>
          <w:b w:val="0"/>
          <w:i w:val="0"/>
          <w:strike w:val="0"/>
          <w:noProof w:val="0"/>
          <w:color w:val="000000"/>
          <w:position w:val="0"/>
          <w:sz w:val="20"/>
          <w:u w:val="none"/>
          <w:vertAlign w:val="baseline"/>
        </w:rPr>
        <w:t>/s/ Kathleen Kay</w:t>
      </w:r>
    </w:p>
    <w:p>
      <w:pPr>
        <w:keepNext w:val="0"/>
        <w:spacing w:before="200" w:after="0" w:line="260" w:lineRule="atLeast"/>
        <w:ind w:left="0" w:right="0" w:firstLine="0"/>
        <w:jc w:val="both"/>
      </w:pPr>
      <w:bookmarkStart w:id="87" w:name="Bookmark_para_21"/>
      <w:bookmarkEnd w:id="87"/>
      <w:r>
        <w:rPr>
          <w:rFonts w:ascii="arial" w:eastAsia="arial" w:hAnsi="arial" w:cs="arial"/>
          <w:b w:val="0"/>
          <w:i w:val="0"/>
          <w:strike w:val="0"/>
          <w:noProof w:val="0"/>
          <w:color w:val="000000"/>
          <w:position w:val="0"/>
          <w:sz w:val="20"/>
          <w:u w:val="none"/>
          <w:vertAlign w:val="baseline"/>
        </w:rPr>
        <w:t>KATHLEEN KAY</w:t>
      </w:r>
    </w:p>
    <w:p>
      <w:pPr>
        <w:keepNext w:val="0"/>
        <w:spacing w:before="200" w:after="0" w:line="260" w:lineRule="atLeast"/>
        <w:ind w:left="0" w:right="0" w:firstLine="0"/>
        <w:jc w:val="both"/>
      </w:pPr>
      <w:bookmarkStart w:id="88" w:name="Bookmark_para_22"/>
      <w:bookmarkEnd w:id="88"/>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Cooley, 2023 U.S. Dist. LEXIS 234264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7TT-32V1-JWXF-250K-00000-00&amp;context=1519360" TargetMode="External" /><Relationship Id="rId11" Type="http://schemas.openxmlformats.org/officeDocument/2006/relationships/hyperlink" Target="https://advance.lexis.com/api/document?collection=cases&amp;id=urn:contentItem:3S4X-22B0-0039-W2TF-00000-00&amp;context=1519360" TargetMode="External" /><Relationship Id="rId12" Type="http://schemas.openxmlformats.org/officeDocument/2006/relationships/hyperlink" Target="https://advance.lexis.com/api/document?collection=cases&amp;id=urn:contentItem:3S4X-2NK0-0039-M4W4-00000-00&amp;context=1519360" TargetMode="External" /><Relationship Id="rId13" Type="http://schemas.openxmlformats.org/officeDocument/2006/relationships/hyperlink" Target="https://advance.lexis.com/api/document?collection=cases&amp;id=urn:contentItem:3S4X-1680-0039-M4Y9-00000-00&amp;context=1519360" TargetMode="External" /><Relationship Id="rId14" Type="http://schemas.openxmlformats.org/officeDocument/2006/relationships/hyperlink" Target="https://advance.lexis.com/api/document?collection=cases&amp;id=urn:contentItem:3S4X-4680-0039-W0B7-00000-00&amp;context=1519360" TargetMode="External" /><Relationship Id="rId15" Type="http://schemas.openxmlformats.org/officeDocument/2006/relationships/hyperlink" Target="https://advance.lexis.com/api/document?collection=cases&amp;id=urn:contentItem:4NSN-8840-004C-002M-00000-00&amp;context=1519360" TargetMode="External" /><Relationship Id="rId16" Type="http://schemas.openxmlformats.org/officeDocument/2006/relationships/hyperlink" Target="https://advance.lexis.com/api/document?collection=cases&amp;id=urn:contentItem:838S-KXG1-652R-32V8-00000-00&amp;context=1519360" TargetMode="External" /><Relationship Id="rId17" Type="http://schemas.openxmlformats.org/officeDocument/2006/relationships/hyperlink" Target="https://advance.lexis.com/api/document?collection=cases&amp;id=urn:contentItem:4W9Y-4KS0-TXFX-1325-00000-00&amp;context=1519360" TargetMode="External" /><Relationship Id="rId18" Type="http://schemas.openxmlformats.org/officeDocument/2006/relationships/hyperlink" Target="https://advance.lexis.com/api/document?collection=cases&amp;id=urn:contentItem:3S4X-7NW0-003B-P2CJ-00000-00&amp;context=1519360" TargetMode="External" /><Relationship Id="rId19" Type="http://schemas.openxmlformats.org/officeDocument/2006/relationships/hyperlink" Target="https://advance.lexis.com/api/document?collection=statutes-legislation&amp;id=urn:contentItem:8T9R-T582-D6RV-H386-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CDN0-003B-S3M1-00000-00&amp;context=1519360" TargetMode="External" /><Relationship Id="rId21" Type="http://schemas.openxmlformats.org/officeDocument/2006/relationships/hyperlink" Target="https://advance.lexis.com/api/document?collection=statutes-legislation&amp;id=urn:contentItem:8T9R-T5M2-D6RV-H38C-00000-00&amp;context=1519360" TargetMode="External" /><Relationship Id="rId22" Type="http://schemas.openxmlformats.org/officeDocument/2006/relationships/hyperlink" Target="https://advance.lexis.com/api/document?collection=statutes-legislation&amp;id=urn:contentItem:8SHT-0712-D6RV-H526-00000-00&amp;context=1519360" TargetMode="External" /><Relationship Id="rId23" Type="http://schemas.openxmlformats.org/officeDocument/2006/relationships/hyperlink" Target="https://advance.lexis.com/api/document?collection=cases&amp;id=urn:contentItem:3S4X-8F40-003B-S2TS-00000-00&amp;context=1519360" TargetMode="External" /><Relationship Id="rId24" Type="http://schemas.openxmlformats.org/officeDocument/2006/relationships/hyperlink" Target="https://advance.lexis.com/api/document?collection=cases&amp;id=urn:contentItem:462M-PK50-0038-X14P-00000-00&amp;context=1519360" TargetMode="External" /><Relationship Id="rId25" Type="http://schemas.openxmlformats.org/officeDocument/2006/relationships/hyperlink" Target="https://advance.lexis.com/api/document?collection=cases&amp;id=urn:contentItem:3RHM-BW50-003B-R0D8-00000-00&amp;context=1519360" TargetMode="External" /><Relationship Id="rId26" Type="http://schemas.openxmlformats.org/officeDocument/2006/relationships/hyperlink" Target="https://advance.lexis.com/api/document?collection=cases&amp;id=urn:contentItem:3S4X-9Y90-003B-419C-00000-00&amp;context=1519360" TargetMode="External" /><Relationship Id="rId27" Type="http://schemas.openxmlformats.org/officeDocument/2006/relationships/hyperlink" Target="https://advance.lexis.com/api/document?collection=statutes-legislation&amp;id=urn:contentItem:8T9R-T3H2-D6RV-H37G-00000-00&amp;context=1519360" TargetMode="External" /><Relationship Id="rId28" Type="http://schemas.openxmlformats.org/officeDocument/2006/relationships/hyperlink" Target="https://advance.lexis.com/api/document?collection=cases&amp;id=urn:contentItem:60JX-0MJ1-JJ6S-601M-00000-00&amp;context=1519360" TargetMode="External" /><Relationship Id="rId29" Type="http://schemas.openxmlformats.org/officeDocument/2006/relationships/hyperlink" Target="https://advance.lexis.com/api/document?collection=cases&amp;id=urn:contentItem:3S4X-87Y0-003B-S1RX-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1B6-X151-JYYX-64N0-00000-00&amp;context=1519360" TargetMode="External" /><Relationship Id="rId31" Type="http://schemas.openxmlformats.org/officeDocument/2006/relationships/hyperlink" Target="https://advance.lexis.com/api/document?collection=cases&amp;id=urn:contentItem:3S4X-1220-003B-P0JR-00000-00&amp;context=1519360" TargetMode="External" /><Relationship Id="rId32" Type="http://schemas.openxmlformats.org/officeDocument/2006/relationships/hyperlink" Target="https://advance.lexis.com/api/document?collection=cases&amp;id=urn:contentItem:5PCR-YJM1-F04K-N0W9-00000-00&amp;context=1519360" TargetMode="External" /><Relationship Id="rId33" Type="http://schemas.openxmlformats.org/officeDocument/2006/relationships/hyperlink" Target="https://advance.lexis.com/api/document?collection=cases&amp;id=urn:contentItem:3S4X-GXD0-00B1-D33W-00000-00&amp;context=1519360" TargetMode="External" /><Relationship Id="rId34" Type="http://schemas.openxmlformats.org/officeDocument/2006/relationships/hyperlink" Target="https://advance.lexis.com/api/document?collection=statutes-legislation&amp;id=urn:contentItem:8T9R-T502-8T6X-7323-00000-00&amp;context=1519360" TargetMode="External" /><Relationship Id="rId35" Type="http://schemas.openxmlformats.org/officeDocument/2006/relationships/hyperlink" Target="https://advance.lexis.com/api/document?collection=cases&amp;id=urn:contentItem:3S4X-DB30-003B-P0SC-00000-00&amp;context=1519360" TargetMode="External" /><Relationship Id="rId36" Type="http://schemas.openxmlformats.org/officeDocument/2006/relationships/hyperlink" Target="https://advance.lexis.com/api/document?collection=cases&amp;id=urn:contentItem:3S4X-D8X0-001T-D27J-00000-00&amp;context=1519360" TargetMode="External" /><Relationship Id="rId37" Type="http://schemas.openxmlformats.org/officeDocument/2006/relationships/hyperlink" Target="https://advance.lexis.com/api/document?collection=statutes-legislation&amp;id=urn:contentItem:8SHT-0712-D6RV-H531-00000-00&amp;context=1519360" TargetMode="External" /><Relationship Id="rId38" Type="http://schemas.openxmlformats.org/officeDocument/2006/relationships/hyperlink" Target="https://advance.lexis.com/api/document?collection=cases&amp;id=urn:contentItem:4FS2-7JG0-0038-X20D-00000-00&amp;context=1519360" TargetMode="External" /><Relationship Id="rId39" Type="http://schemas.openxmlformats.org/officeDocument/2006/relationships/hyperlink" Target="https://advance.lexis.com/api/document?collection=statutes-legislation&amp;id=urn:contentItem:8SG9-5HW2-D6RV-H0BK-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statutes-legislation&amp;id=urn:contentItem:69J2-YYM3-RSTH-12MB-00000-00&amp;context=1519360" TargetMode="External" /><Relationship Id="rId41" Type="http://schemas.openxmlformats.org/officeDocument/2006/relationships/hyperlink" Target="https://advance.lexis.com/api/document?collection=statutes-legislation&amp;id=urn:contentItem:69J2-Y0B3-RT0R-B2NX-00000-00&amp;context=1519360" TargetMode="External" /><Relationship Id="rId42" Type="http://schemas.openxmlformats.org/officeDocument/2006/relationships/hyperlink" Target="https://advance.lexis.com/api/document?collection=cases&amp;id=urn:contentItem:3S4X-2V50-006F-M2KX-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B70-DX93-RTXJ-N53K-00000-00&amp;context=1519360" TargetMode="External" /><Relationship Id="rId9" Type="http://schemas.openxmlformats.org/officeDocument/2006/relationships/hyperlink" Target="https://advance.lexis.com/api/document?collection=cases&amp;id=urn:contentItem:6B67-H683-RRV0-54P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Cooley, 2023 U.S. Dist. LEXIS 234264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urn:user:PA186186283</vt:lpwstr>
  </property>
</Properties>
</file>