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document.xml" ContentType="application/vnd.openxmlformats-officedocument.wordprocessingml.document.main+xml"/>
  <Override PartName="/word/fontTable.xml" ContentType="application/vnd.openxmlformats-officedocument.wordprocessingml.fontTable+xml"/>
  <Override PartName="/word/footer1.xml" ContentType="application/vnd.openxmlformats-officedocument.wordprocessingml.footer+xml"/>
  <Override PartName="/word/footer2.xml" ContentType="application/vnd.openxmlformats-officedocument.wordprocessingml.footer+xml"/>
  <Override PartName="/word/footnotes.xml" ContentType="application/vnd.openxmlformats-officedocument.wordprocessingml.footnotes+xml"/>
  <Override PartName="/word/header1.xml" ContentType="application/vnd.openxmlformats-officedocument.wordprocessingml.header+xml"/>
  <Override PartName="/word/settings.xml" ContentType="application/vnd.openxmlformats-officedocument.wordprocessingml.settings+xml"/>
  <Override PartName="/word/styles.xml" ContentType="application/vnd.openxmlformats-officedocument.wordprocessingml.style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Relationships xmlns="http://schemas.openxmlformats.org/package/2006/relationships"><Relationship Id="rId1" Type="http://schemas.openxmlformats.org/officeDocument/2006/relationships/officeDocument" Target="word/document.xml" /><Relationship Id="rId2" Type="http://schemas.openxmlformats.org/officeDocument/2006/relationships/extended-properties" Target="docProps/app.xml" /><Relationship Id="rId3" Type="http://schemas.openxmlformats.org/package/2006/relationships/metadata/core-properties" Target="docProps/core.xml" /><Relationship Id="rId4" Type="http://schemas.openxmlformats.org/officeDocument/2006/relationships/custom-properties" Target="docProps/custom.xml" /></Relationships>
</file>

<file path=word/document.xml><?xml version="1.0" encoding="utf-8"?>
<w:document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 Generated by Aspose.Words for .NET 24.6.0 -->
  <w:body>
    <w:p>
      <w:pPr>
        <w:sectPr>
          <w:headerReference w:type="default" r:id="rId5"/>
          <w:footerReference w:type="default" r:id="rId6"/>
          <w:footerReference w:type="first" r:id="rId7"/>
          <w:pgSz w:w="12240" w:h="15840"/>
          <w:pgMar w:top="840" w:right="1000" w:bottom="840" w:left="1000" w:header="400" w:footer="400"/>
          <w:pgNumType w:fmt="decimal"/>
          <w:cols w:space="720"/>
          <w:titlePg w:val="0"/>
        </w:sectPr>
      </w:pPr>
    </w:p>
    <w:p/>
    <w:p>
      <w:r>
        <w:pict>
          <v:shapetype id="_x0000_t75" coordsize="21600,21600" o:spt="75" o:preferrelative="t" path="m@4@5l@4@11@9@11@9@5xe" filled="f" stroked="f">
            <v:stroke joinstyle="miter"/>
            <v:formulas>
              <v:f eqn="if lineDrawn pixelLineWidth 0"/>
              <v:f eqn="sum @0 1 0"/>
              <v:f eqn="sum 0 0 @1"/>
              <v:f eqn="prod @2 1 2"/>
              <v:f eqn="prod @3 21600 pixelWidth"/>
              <v:f eqn="prod @3 21600 pixelHeight"/>
              <v:f eqn="sum @0 0 1"/>
              <v:f eqn="prod @6 1 2"/>
              <v:f eqn="prod @7 21600 pixelWidth"/>
              <v:f eqn="sum @8 21600 0"/>
              <v:f eqn="prod @7 21600 pixelHeight"/>
              <v:f eqn="sum @10 21600 0"/>
            </v:formulas>
            <v:path o:extrusionok="f" gradientshapeok="t" o:connecttype="rect"/>
            <o:lock v:ext="edit" aspectratio="t"/>
          </v:shapetype>
          <v:shape id="_x0000_i1025" type="#_x0000_t75" alt="LexisNexis®" style="width:147.75pt;height:30pt">
            <v:imagedata r:id="rId8" o:title=""/>
          </v:shape>
        </w:pict>
      </w:r>
      <w:r>
        <w:cr/>
      </w:r>
    </w:p>
    <w:p>
      <w:pPr>
        <w:pStyle w:val="Heading1"/>
        <w:keepNext w:val="0"/>
        <w:spacing w:after="200" w:line="340" w:lineRule="atLeast"/>
        <w:ind w:left="0" w:right="0" w:firstLine="0"/>
        <w:jc w:val="center"/>
      </w:pPr>
      <w:hyperlink r:id="rId9" w:history="1">
        <w:r>
          <w:rPr>
            <w:rFonts w:ascii="arial" w:eastAsia="arial" w:hAnsi="arial" w:cs="arial"/>
            <w:b/>
            <w:i/>
            <w:strike w:val="0"/>
            <w:color w:val="0077CC"/>
            <w:sz w:val="28"/>
            <w:u w:val="single"/>
            <w:vertAlign w:val="baseline"/>
          </w:rPr>
          <w:t>United States v. Burroughs</w:t>
        </w:r>
      </w:hyperlink>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United States District Court for the Middle District of Alabama, Northern Division</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August 25, 2023, Decided; August 25, 2023, Filed</w:t>
      </w:r>
    </w:p>
    <w:p>
      <w:pPr>
        <w:keepNext w:val="0"/>
        <w:spacing w:before="120" w:after="0" w:line="260" w:lineRule="atLeast"/>
        <w:ind w:left="0" w:right="0" w:firstLine="0"/>
        <w:jc w:val="center"/>
      </w:pPr>
      <w:r>
        <w:rPr>
          <w:rFonts w:ascii="arial" w:eastAsia="arial" w:hAnsi="arial" w:cs="arial"/>
          <w:b w:val="0"/>
          <w:i w:val="0"/>
          <w:strike w:val="0"/>
          <w:noProof w:val="0"/>
          <w:color w:val="000000"/>
          <w:position w:val="0"/>
          <w:sz w:val="20"/>
          <w:u w:val="none"/>
          <w:vertAlign w:val="baseline"/>
        </w:rPr>
        <w:t>Case No.: 2:23-cr-187-MHT-SMD</w:t>
      </w:r>
    </w:p>
    <w:p>
      <w:pPr>
        <w:keepNext w:val="0"/>
        <w:spacing w:after="0" w:line="240" w:lineRule="atLeast"/>
        <w:ind w:right="0"/>
        <w:jc w:val="both"/>
      </w:pPr>
      <w:bookmarkStart w:id="0" w:name="Bookmark_11"/>
      <w:bookmarkEnd w:id="0"/>
    </w:p>
    <w:p>
      <w:pPr>
        <w:keepNext w:val="0"/>
        <w:spacing w:before="200" w:after="0" w:line="240" w:lineRule="atLeast"/>
        <w:ind w:left="0" w:right="0" w:firstLine="0"/>
        <w:jc w:val="left"/>
      </w:pPr>
      <w:bookmarkStart w:id="1" w:name="Reporter"/>
      <w:bookmarkEnd w:id="1"/>
      <w:r>
        <w:rPr>
          <w:rFonts w:ascii="arial" w:eastAsia="arial" w:hAnsi="arial" w:cs="arial"/>
          <w:b/>
          <w:i w:val="0"/>
          <w:strike w:val="0"/>
          <w:noProof w:val="0"/>
          <w:color w:val="000000"/>
          <w:position w:val="0"/>
          <w:sz w:val="18"/>
          <w:u w:val="none"/>
          <w:vertAlign w:val="baseline"/>
        </w:rPr>
        <w:t>Reporter</w:t>
      </w:r>
    </w:p>
    <w:p>
      <w:pPr>
        <w:keepNext w:val="0"/>
        <w:spacing w:after="0" w:line="240" w:lineRule="atLeast"/>
        <w:ind w:left="0" w:right="0" w:firstLine="0"/>
        <w:jc w:val="left"/>
      </w:pPr>
      <w:r>
        <w:rPr>
          <w:rFonts w:ascii="arial" w:eastAsia="arial" w:hAnsi="arial" w:cs="arial"/>
          <w:b w:val="0"/>
          <w:i w:val="0"/>
          <w:strike w:val="0"/>
          <w:noProof w:val="0"/>
          <w:color w:val="000000"/>
          <w:position w:val="0"/>
          <w:sz w:val="18"/>
          <w:u w:val="none"/>
          <w:vertAlign w:val="baseline"/>
        </w:rPr>
        <w:t>2023 U.S. Dist. LEXIS 162358 *</w:t>
      </w:r>
      <w:r>
        <w:rPr>
          <w:rFonts w:ascii="arial" w:eastAsia="arial" w:hAnsi="arial" w:cs="arial"/>
          <w:b w:val="0"/>
          <w:i w:val="0"/>
          <w:strike w:val="0"/>
          <w:noProof w:val="0"/>
          <w:color w:val="000000"/>
          <w:position w:val="0"/>
          <w:sz w:val="18"/>
          <w:u w:val="none"/>
          <w:vertAlign w:val="baseline"/>
        </w:rPr>
        <w:t xml:space="preserve">; </w:t>
      </w:r>
      <w:r>
        <w:rPr>
          <w:rFonts w:ascii="arial" w:eastAsia="arial" w:hAnsi="arial" w:cs="arial"/>
          <w:b w:val="0"/>
          <w:i w:val="0"/>
          <w:strike w:val="0"/>
          <w:noProof w:val="0"/>
          <w:color w:val="000000"/>
          <w:position w:val="0"/>
          <w:sz w:val="18"/>
          <w:u w:val="none"/>
          <w:vertAlign w:val="baseline"/>
        </w:rPr>
        <w:t>2023 WL 5948984</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UNITED STATES OF AMERICA v. COREY JEROME BURROUGHS</w:t>
      </w:r>
    </w:p>
    <w:p>
      <w:pPr>
        <w:keepNext w:val="0"/>
        <w:spacing w:before="240" w:after="0" w:line="260" w:lineRule="atLeast"/>
        <w:ind w:left="0" w:right="0" w:firstLine="0"/>
        <w:jc w:val="left"/>
      </w:pPr>
      <w:bookmarkStart w:id="2" w:name="Subsequent History"/>
      <w:bookmarkEnd w:id="2"/>
      <w:r>
        <w:rPr>
          <w:rFonts w:ascii="arial" w:eastAsia="arial" w:hAnsi="arial" w:cs="arial"/>
          <w:b/>
          <w:i w:val="0"/>
          <w:strike w:val="0"/>
          <w:noProof w:val="0"/>
          <w:color w:val="000000"/>
          <w:position w:val="0"/>
          <w:sz w:val="20"/>
          <w:u w:val="none"/>
          <w:vertAlign w:val="baseline"/>
        </w:rPr>
        <w:t>Subsequent History:</w:t>
      </w:r>
      <w:r>
        <w:rPr>
          <w:rFonts w:ascii="arial" w:eastAsia="arial" w:hAnsi="arial" w:cs="arial"/>
          <w:b w:val="0"/>
          <w:i w:val="0"/>
          <w:strike w:val="0"/>
          <w:noProof w:val="0"/>
          <w:color w:val="000000"/>
          <w:position w:val="0"/>
          <w:sz w:val="20"/>
          <w:u w:val="none"/>
          <w:vertAlign w:val="baseline"/>
        </w:rPr>
        <w:t xml:space="preserve"> Adopted by, Objection overruled by, Motion denied by </w:t>
      </w:r>
      <w:hyperlink r:id="rId10" w:history="1">
        <w:r>
          <w:rPr>
            <w:rFonts w:ascii="arial" w:eastAsia="arial" w:hAnsi="arial" w:cs="arial"/>
            <w:b w:val="0"/>
            <w:i/>
            <w:strike w:val="0"/>
            <w:noProof w:val="0"/>
            <w:color w:val="0077CC"/>
            <w:position w:val="0"/>
            <w:sz w:val="20"/>
            <w:u w:val="single"/>
            <w:vertAlign w:val="baseline"/>
          </w:rPr>
          <w:t>United States v. Burroughs, 2023 U.S. Dist. LEXIS 161147, 2023 WL 5939866 (M.D. Ala., Sept. 12, 2023)</w:t>
        </w:r>
      </w:hyperlink>
    </w:p>
    <w:p>
      <w:pPr>
        <w:keepNext w:val="0"/>
        <w:spacing w:before="24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 xml:space="preserve">Motion granted by </w:t>
      </w:r>
      <w:hyperlink r:id="rId11" w:history="1">
        <w:r>
          <w:rPr>
            <w:rFonts w:ascii="arial" w:eastAsia="arial" w:hAnsi="arial" w:cs="arial"/>
            <w:b w:val="0"/>
            <w:i/>
            <w:strike w:val="0"/>
            <w:noProof w:val="0"/>
            <w:color w:val="0077CC"/>
            <w:position w:val="0"/>
            <w:sz w:val="20"/>
            <w:u w:val="single"/>
            <w:vertAlign w:val="baseline"/>
          </w:rPr>
          <w:t>United States v. Burroughs, 2023 U.S. Dist. LEXIS 164177 (M.D. Ala., Sept. 15, 2023)</w:t>
        </w:r>
      </w:hyperlink>
    </w:p>
    <w:p>
      <w:pPr>
        <w:keepNext/>
        <w:spacing w:before="240" w:after="0" w:line="340" w:lineRule="atLeast"/>
        <w:ind w:left="0" w:right="0" w:firstLine="0"/>
        <w:jc w:val="left"/>
      </w:pPr>
      <w:bookmarkStart w:id="3" w:name="Core Terms"/>
      <w:bookmarkEnd w:id="3"/>
      <w:r>
        <w:rPr>
          <w:rFonts w:ascii="arial" w:eastAsia="arial" w:hAnsi="arial" w:cs="arial"/>
          <w:b/>
          <w:i w:val="0"/>
          <w:strike w:val="0"/>
          <w:noProof w:val="0"/>
          <w:color w:val="000000"/>
          <w:position w:val="0"/>
          <w:sz w:val="28"/>
          <w:u w:val="none"/>
          <w:vertAlign w:val="baseline"/>
        </w:rPr>
        <w:t>Core Terms</w:t>
      </w:r>
    </w:p>
    <w:p>
      <w:pPr>
        <w:spacing w:line="60" w:lineRule="exact"/>
      </w:pPr>
      <w:r>
        <w:pict>
          <v:line id="_x0000_s1026" style="position:absolute;z-index:251658240" from="0,2pt" to="512pt,2pt" strokecolor="#009ddb" strokeweight="2pt">
            <v:stroke linestyle="single"/>
            <w10:wrap type="topAndBottom"/>
          </v:line>
        </w:pic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traffic stop, probable cause, suppress, seized evidence, Recommendation, search warrant, backpack, marijuana, signal</w:t>
      </w:r>
    </w:p>
    <w:p>
      <w:pPr>
        <w:keepNext w:val="0"/>
        <w:spacing w:before="240" w:after="0" w:line="260" w:lineRule="atLeast"/>
        <w:ind w:left="0" w:right="0" w:firstLine="0"/>
        <w:jc w:val="left"/>
      </w:pPr>
      <w:bookmarkStart w:id="4" w:name="Counsel"/>
      <w:bookmarkEnd w:id="4"/>
      <w:r>
        <w:rPr>
          <w:rFonts w:ascii="arial" w:eastAsia="arial" w:hAnsi="arial" w:cs="arial"/>
          <w:b/>
          <w:i w:val="0"/>
          <w:strike w:val="0"/>
          <w:noProof w:val="0"/>
          <w:color w:val="000000"/>
          <w:position w:val="0"/>
          <w:sz w:val="20"/>
          <w:u w:val="none"/>
          <w:vertAlign w:val="baseline"/>
        </w:rPr>
        <w:t>Counsel:</w:t>
      </w:r>
      <w:r>
        <w:rPr>
          <w:rFonts w:ascii="arial" w:eastAsia="arial" w:hAnsi="arial" w:cs="arial"/>
          <w:b w:val="0"/>
          <w:i w:val="0"/>
          <w:strike w:val="0"/>
          <w:noProof w:val="0"/>
          <w:color w:val="000000"/>
          <w:position w:val="0"/>
          <w:sz w:val="20"/>
          <w:u w:val="none"/>
          <w:vertAlign w:val="baseline"/>
        </w:rPr>
        <w:t> </w:t>
      </w:r>
      <w:r>
        <w:rPr>
          <w:rFonts w:ascii="arial" w:eastAsia="arial" w:hAnsi="arial" w:cs="arial"/>
          <w:b/>
          <w:i w:val="0"/>
          <w:strike w:val="0"/>
          <w:noProof w:val="0"/>
          <w:color w:val="000000"/>
          <w:position w:val="0"/>
          <w:sz w:val="20"/>
          <w:u w:val="none"/>
          <w:vertAlign w:val="baseline"/>
        </w:rPr>
        <w:t> [*1] </w:t>
      </w:r>
      <w:r>
        <w:rPr>
          <w:rFonts w:ascii="arial" w:eastAsia="arial" w:hAnsi="arial" w:cs="arial"/>
          <w:b w:val="0"/>
          <w:i w:val="0"/>
          <w:strike w:val="0"/>
          <w:noProof w:val="0"/>
          <w:color w:val="000000"/>
          <w:position w:val="0"/>
          <w:sz w:val="20"/>
          <w:u w:val="none"/>
          <w:vertAlign w:val="baseline"/>
        </w:rPr>
        <w:t>For Corey Jerome Burroughs, Defendant: Preston Larry Presley, LEAD ATTORNEY, Preston L Presley, Attorney at Law, Montgomery, AL.</w:t>
      </w:r>
    </w:p>
    <w:p>
      <w:pPr>
        <w:keepNext w:val="0"/>
        <w:spacing w:before="120" w:after="0" w:line="260" w:lineRule="atLeast"/>
        <w:ind w:left="0" w:right="0" w:firstLine="0"/>
        <w:jc w:val="left"/>
      </w:pPr>
      <w:r>
        <w:rPr>
          <w:rFonts w:ascii="arial" w:eastAsia="arial" w:hAnsi="arial" w:cs="arial"/>
          <w:b w:val="0"/>
          <w:i w:val="0"/>
          <w:strike w:val="0"/>
          <w:noProof w:val="0"/>
          <w:color w:val="000000"/>
          <w:position w:val="0"/>
          <w:sz w:val="20"/>
          <w:u w:val="none"/>
          <w:vertAlign w:val="baseline"/>
        </w:rPr>
        <w:t>For USA, Plaintiff: James Patrick Lamb, LEAD ATTORNEY, U.S. Attorney's Office, Montgomery, AL USA; Russell Turner Duraski, LEAD ATTORNEY, United States Attorney's Office - ALM, Middle District of Alabama, Montgomery, AL.</w:t>
      </w:r>
    </w:p>
    <w:p>
      <w:pPr>
        <w:keepNext w:val="0"/>
        <w:spacing w:before="240" w:after="0" w:line="260" w:lineRule="atLeast"/>
        <w:ind w:left="0" w:right="0" w:firstLine="0"/>
        <w:jc w:val="left"/>
      </w:pPr>
      <w:bookmarkStart w:id="5" w:name="Judges"/>
      <w:bookmarkEnd w:id="5"/>
      <w:r>
        <w:rPr>
          <w:rFonts w:ascii="arial" w:eastAsia="arial" w:hAnsi="arial" w:cs="arial"/>
          <w:b/>
          <w:i w:val="0"/>
          <w:strike w:val="0"/>
          <w:noProof w:val="0"/>
          <w:color w:val="000000"/>
          <w:position w:val="0"/>
          <w:sz w:val="20"/>
          <w:u w:val="none"/>
          <w:vertAlign w:val="baseline"/>
        </w:rPr>
        <w:t>Judges:</w:t>
      </w:r>
      <w:r>
        <w:rPr>
          <w:rFonts w:ascii="arial" w:eastAsia="arial" w:hAnsi="arial" w:cs="arial"/>
          <w:b w:val="0"/>
          <w:i w:val="0"/>
          <w:strike w:val="0"/>
          <w:noProof w:val="0"/>
          <w:color w:val="000000"/>
          <w:position w:val="0"/>
          <w:sz w:val="20"/>
          <w:u w:val="none"/>
          <w:vertAlign w:val="baseline"/>
        </w:rPr>
        <w:t> Stephen M. Doyle, CHIEF UNITED STATES MAGISTRATE JUDGE.</w:t>
      </w:r>
    </w:p>
    <w:p>
      <w:pPr>
        <w:keepNext w:val="0"/>
        <w:spacing w:before="240" w:after="0" w:line="260" w:lineRule="atLeast"/>
        <w:ind w:left="0" w:right="0" w:firstLine="0"/>
        <w:jc w:val="left"/>
      </w:pPr>
      <w:bookmarkStart w:id="6" w:name="Opinion by"/>
      <w:bookmarkEnd w:id="6"/>
      <w:r>
        <w:rPr>
          <w:rFonts w:ascii="arial" w:eastAsia="arial" w:hAnsi="arial" w:cs="arial"/>
          <w:b/>
          <w:i w:val="0"/>
          <w:strike w:val="0"/>
          <w:noProof w:val="0"/>
          <w:color w:val="000000"/>
          <w:position w:val="0"/>
          <w:sz w:val="20"/>
          <w:u w:val="none"/>
          <w:vertAlign w:val="baseline"/>
        </w:rPr>
        <w:t>Opinion by:</w:t>
      </w:r>
      <w:r>
        <w:rPr>
          <w:rFonts w:ascii="arial" w:eastAsia="arial" w:hAnsi="arial" w:cs="arial"/>
          <w:b w:val="0"/>
          <w:i w:val="0"/>
          <w:strike w:val="0"/>
          <w:noProof w:val="0"/>
          <w:color w:val="000000"/>
          <w:position w:val="0"/>
          <w:sz w:val="20"/>
          <w:u w:val="none"/>
          <w:vertAlign w:val="baseline"/>
        </w:rPr>
        <w:t> Stephen M. Doyle</w:t>
      </w:r>
    </w:p>
    <w:p>
      <w:pPr>
        <w:keepNext/>
        <w:spacing w:before="240" w:after="0" w:line="340" w:lineRule="atLeast"/>
        <w:ind w:left="0" w:right="0" w:firstLine="0"/>
        <w:jc w:val="left"/>
      </w:pPr>
      <w:bookmarkStart w:id="7" w:name="Opinion"/>
      <w:bookmarkEnd w:id="7"/>
      <w:r>
        <w:rPr>
          <w:rFonts w:ascii="arial" w:eastAsia="arial" w:hAnsi="arial" w:cs="arial"/>
          <w:b/>
          <w:i w:val="0"/>
          <w:strike w:val="0"/>
          <w:noProof w:val="0"/>
          <w:color w:val="000000"/>
          <w:position w:val="0"/>
          <w:sz w:val="28"/>
          <w:u w:val="none"/>
          <w:vertAlign w:val="baseline"/>
        </w:rPr>
        <w:t>Opinion</w:t>
      </w:r>
    </w:p>
    <w:p>
      <w:pPr>
        <w:spacing w:line="60" w:lineRule="exact"/>
      </w:pPr>
      <w:r>
        <w:pict>
          <v:line id="_x0000_s1027" style="position:absolute;z-index:251659264" from="0,2pt" to="512pt,2pt" strokecolor="#009ddb" strokeweight="2pt">
            <v:stroke linestyle="single"/>
            <w10:wrap type="topAndBottom"/>
          </v:line>
        </w:pict>
      </w:r>
    </w:p>
    <w:p>
      <w:pPr>
        <w:spacing w:line="120" w:lineRule="exact"/>
      </w:pP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single"/>
          <w:vertAlign w:val="baseline"/>
        </w:rPr>
        <w:t>RECOMMENDATION OF THE MAGISTRATE JUDGE</w:t>
      </w:r>
    </w:p>
    <w:p>
      <w:pPr>
        <w:keepNext w:val="0"/>
        <w:spacing w:before="240" w:after="0" w:line="260" w:lineRule="atLeast"/>
        <w:ind w:left="0" w:right="0" w:firstLine="0"/>
        <w:jc w:val="both"/>
      </w:pPr>
      <w:bookmarkStart w:id="8" w:name="Bookmark_para_1"/>
      <w:bookmarkEnd w:id="8"/>
      <w:r>
        <w:rPr>
          <w:rFonts w:ascii="arial" w:eastAsia="arial" w:hAnsi="arial" w:cs="arial"/>
          <w:b w:val="0"/>
          <w:i w:val="0"/>
          <w:strike w:val="0"/>
          <w:noProof w:val="0"/>
          <w:color w:val="000000"/>
          <w:position w:val="0"/>
          <w:sz w:val="20"/>
          <w:u w:val="none"/>
          <w:vertAlign w:val="baseline"/>
        </w:rPr>
        <w:t xml:space="preserve">Defendant Corey Jerome Burroughs ("Burroughs") is charged with possession with intent to distribute methamphetamine under </w:t>
      </w:r>
      <w:r>
        <w:rPr>
          <w:rFonts w:ascii="arial" w:eastAsia="arial" w:hAnsi="arial" w:cs="arial"/>
          <w:b w:val="0"/>
          <w:i/>
          <w:strike w:val="0"/>
          <w:noProof w:val="0"/>
          <w:color w:val="000000"/>
          <w:position w:val="0"/>
          <w:sz w:val="20"/>
          <w:u w:val="none"/>
          <w:vertAlign w:val="baseline"/>
        </w:rPr>
        <w:t>21 U.S.C. § 841(a)(1)</w:t>
      </w:r>
      <w:r>
        <w:rPr>
          <w:rFonts w:ascii="arial" w:eastAsia="arial" w:hAnsi="arial" w:cs="arial"/>
          <w:b w:val="0"/>
          <w:i w:val="0"/>
          <w:strike w:val="0"/>
          <w:noProof w:val="0"/>
          <w:color w:val="000000"/>
          <w:position w:val="0"/>
          <w:sz w:val="20"/>
          <w:u w:val="none"/>
          <w:vertAlign w:val="baseline"/>
        </w:rPr>
        <w:t xml:space="preserve">, possession with intent to distribute fentanyl under </w:t>
      </w:r>
      <w:r>
        <w:rPr>
          <w:rFonts w:ascii="arial" w:eastAsia="arial" w:hAnsi="arial" w:cs="arial"/>
          <w:b w:val="0"/>
          <w:i/>
          <w:strike w:val="0"/>
          <w:noProof w:val="0"/>
          <w:color w:val="000000"/>
          <w:position w:val="0"/>
          <w:sz w:val="20"/>
          <w:u w:val="none"/>
          <w:vertAlign w:val="baseline"/>
        </w:rPr>
        <w:t>21 U.S.C. § 841(a)(1)</w:t>
      </w:r>
      <w:r>
        <w:rPr>
          <w:rFonts w:ascii="arial" w:eastAsia="arial" w:hAnsi="arial" w:cs="arial"/>
          <w:b w:val="0"/>
          <w:i w:val="0"/>
          <w:strike w:val="0"/>
          <w:noProof w:val="0"/>
          <w:color w:val="000000"/>
          <w:position w:val="0"/>
          <w:sz w:val="20"/>
          <w:u w:val="none"/>
          <w:vertAlign w:val="baseline"/>
        </w:rPr>
        <w:t xml:space="preserve">, and maintaining a drug premises under </w:t>
      </w:r>
      <w:hyperlink r:id="rId12" w:history="1">
        <w:r>
          <w:rPr>
            <w:rFonts w:ascii="arial" w:eastAsia="arial" w:hAnsi="arial" w:cs="arial"/>
            <w:b w:val="0"/>
            <w:i/>
            <w:strike w:val="0"/>
            <w:noProof w:val="0"/>
            <w:color w:val="0077CC"/>
            <w:position w:val="0"/>
            <w:sz w:val="20"/>
            <w:u w:val="single"/>
            <w:vertAlign w:val="baseline"/>
          </w:rPr>
          <w:t>21 U.S.C. § 856(a)(1)</w:t>
        </w:r>
      </w:hyperlink>
      <w:r>
        <w:rPr>
          <w:rFonts w:ascii="arial" w:eastAsia="arial" w:hAnsi="arial" w:cs="arial"/>
          <w:b w:val="0"/>
          <w:i w:val="0"/>
          <w:strike w:val="0"/>
          <w:noProof w:val="0"/>
          <w:color w:val="000000"/>
          <w:position w:val="0"/>
          <w:sz w:val="20"/>
          <w:u w:val="none"/>
          <w:vertAlign w:val="baseline"/>
        </w:rPr>
        <w:t>. Indictment (Doc. 17). Officers seized evidence of these crimes after Burroughs was stopped for a traffic violation. Burroughs argues that the traffic stop was unlawful and therefore moves to suppress the evidence seized from the vehicle and all other evidence subsequently obtained as fruit of the poisonous tree. For the following reasons, the undersigned recommends that Burroughs's motion be denied.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 FINDINGS OF FACT</w:t>
      </w:r>
      <w:r>
        <w:rPr>
          <w:rFonts w:ascii="arial" w:eastAsia="arial" w:hAnsi="arial" w:cs="arial"/>
          <w:vertAlign w:val="superscript"/>
        </w:rPr>
        <w:footnoteReference w:customMarkFollows="1" w:id="2"/>
        <w:t xml:space="preserve">1</w:t>
      </w:r>
    </w:p>
    <w:p>
      <w:pPr>
        <w:keepNext w:val="0"/>
        <w:spacing w:before="200" w:after="0" w:line="260" w:lineRule="atLeast"/>
        <w:ind w:left="0" w:right="0" w:firstLine="0"/>
        <w:jc w:val="both"/>
      </w:pPr>
      <w:bookmarkStart w:id="13" w:name="Bookmark_para_2"/>
      <w:bookmarkEnd w:id="13"/>
      <w:r>
        <w:rPr>
          <w:rFonts w:ascii="arial" w:eastAsia="arial" w:hAnsi="arial" w:cs="arial"/>
          <w:b w:val="0"/>
          <w:i w:val="0"/>
          <w:strike w:val="0"/>
          <w:noProof w:val="0"/>
          <w:color w:val="000000"/>
          <w:position w:val="0"/>
          <w:sz w:val="20"/>
          <w:u w:val="none"/>
          <w:vertAlign w:val="baseline"/>
        </w:rPr>
        <w:t>In 2019, Burroughs was incarcerated in the Department of Corrections. Tr. (Doc. 42) p. 33. Beginning in 2020,</w:t>
      </w:r>
      <w:r>
        <w:rPr>
          <w:rFonts w:ascii="arial" w:eastAsia="arial" w:hAnsi="arial" w:cs="arial"/>
          <w:b/>
          <w:i w:val="0"/>
          <w:strike w:val="0"/>
          <w:noProof w:val="0"/>
          <w:color w:val="000000"/>
          <w:position w:val="0"/>
          <w:sz w:val="20"/>
          <w:u w:val="none"/>
          <w:vertAlign w:val="baseline"/>
        </w:rPr>
        <w:t> [*2] </w:t>
      </w:r>
      <w:r>
        <w:rPr>
          <w:rFonts w:ascii="arial" w:eastAsia="arial" w:hAnsi="arial" w:cs="arial"/>
          <w:b w:val="0"/>
          <w:i w:val="0"/>
          <w:strike w:val="0"/>
          <w:noProof w:val="0"/>
          <w:color w:val="000000"/>
          <w:position w:val="0"/>
          <w:sz w:val="20"/>
          <w:u w:val="none"/>
          <w:vertAlign w:val="baseline"/>
        </w:rPr>
        <w:t xml:space="preserve"> officers received confidential information that Burroughs was </w:t>
      </w:r>
      <w:r>
        <w:rPr>
          <w:rFonts w:ascii="arial" w:eastAsia="arial" w:hAnsi="arial" w:cs="arial"/>
          <w:b/>
          <w:i/>
          <w:strike w:val="0"/>
          <w:noProof w:val="0"/>
          <w:color w:val="000000"/>
          <w:position w:val="0"/>
          <w:sz w:val="20"/>
          <w:u w:val="single"/>
          <w:vertAlign w:val="baseline"/>
        </w:rPr>
        <w:t>smuggling</w:t>
      </w:r>
      <w:r>
        <w:rPr>
          <w:rFonts w:ascii="arial" w:eastAsia="arial" w:hAnsi="arial" w:cs="arial"/>
          <w:b w:val="0"/>
          <w:i w:val="0"/>
          <w:strike w:val="0"/>
          <w:noProof w:val="0"/>
          <w:color w:val="000000"/>
          <w:position w:val="0"/>
          <w:sz w:val="20"/>
          <w:u w:val="none"/>
          <w:vertAlign w:val="baseline"/>
        </w:rPr>
        <w:t xml:space="preserve"> drugs into prison and began investigating him.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33-34. In August 2021, officers executed a traffic stop on Burroughs and recovered legal mail sprayed with flakka, an illegal substance that is commonly </w:t>
      </w:r>
      <w:r>
        <w:rPr>
          <w:rFonts w:ascii="arial" w:eastAsia="arial" w:hAnsi="arial" w:cs="arial"/>
          <w:b/>
          <w:i/>
          <w:strike w:val="0"/>
          <w:noProof w:val="0"/>
          <w:color w:val="000000"/>
          <w:position w:val="0"/>
          <w:sz w:val="20"/>
          <w:u w:val="single"/>
          <w:vertAlign w:val="baseline"/>
        </w:rPr>
        <w:t>smuggled</w:t>
      </w:r>
      <w:r>
        <w:rPr>
          <w:rFonts w:ascii="arial" w:eastAsia="arial" w:hAnsi="arial" w:cs="arial"/>
          <w:b w:val="0"/>
          <w:i w:val="0"/>
          <w:strike w:val="0"/>
          <w:noProof w:val="0"/>
          <w:color w:val="000000"/>
          <w:position w:val="0"/>
          <w:sz w:val="20"/>
          <w:u w:val="none"/>
          <w:vertAlign w:val="baseline"/>
        </w:rPr>
        <w:t xml:space="preserve"> into prisons via legal documents.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33-34, 38.</w:t>
      </w:r>
    </w:p>
    <w:p>
      <w:pPr>
        <w:keepNext w:val="0"/>
        <w:spacing w:before="200" w:after="0" w:line="260" w:lineRule="atLeast"/>
        <w:ind w:left="0" w:right="0" w:firstLine="0"/>
        <w:jc w:val="both"/>
      </w:pPr>
      <w:bookmarkStart w:id="14" w:name="Bookmark_para_3"/>
      <w:bookmarkEnd w:id="14"/>
      <w:r>
        <w:rPr>
          <w:rFonts w:ascii="arial" w:eastAsia="arial" w:hAnsi="arial" w:cs="arial"/>
          <w:b w:val="0"/>
          <w:i w:val="0"/>
          <w:strike w:val="0"/>
          <w:noProof w:val="0"/>
          <w:color w:val="000000"/>
          <w:position w:val="0"/>
          <w:sz w:val="20"/>
          <w:u w:val="none"/>
          <w:vertAlign w:val="baseline"/>
        </w:rPr>
        <w:t xml:space="preserve">On April 18, 2023, Detective Tyler Curley ("Detective Curley"), with the help of several other officers, surveilled Burroughs's home located at 2100 Locust Street, Montgomery, Alabama.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 Officers observed Burroughs get into his car.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He drove away, and Detective Curley followed.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w:t>
      </w:r>
    </w:p>
    <w:p>
      <w:pPr>
        <w:keepNext w:val="0"/>
        <w:spacing w:before="200" w:after="0" w:line="260" w:lineRule="atLeast"/>
        <w:ind w:left="0" w:right="0" w:firstLine="0"/>
        <w:jc w:val="both"/>
      </w:pPr>
      <w:bookmarkStart w:id="15" w:name="Bookmark_para_4"/>
      <w:bookmarkEnd w:id="15"/>
      <w:r>
        <w:rPr>
          <w:rFonts w:ascii="arial" w:eastAsia="arial" w:hAnsi="arial" w:cs="arial"/>
          <w:b w:val="0"/>
          <w:i w:val="0"/>
          <w:strike w:val="0"/>
          <w:noProof w:val="0"/>
          <w:color w:val="000000"/>
          <w:position w:val="0"/>
          <w:sz w:val="20"/>
          <w:u w:val="none"/>
          <w:vertAlign w:val="baseline"/>
        </w:rPr>
        <w:t xml:space="preserve">While following Burroughs, Detective Curley observed Burroughs fail to signal on two occasions.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6-7. He also observed Burroughs speed.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 Detective Curley turned on his lights and sirens and initiated a traffic stop.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 Burroughs continued driving approximately a quarter mile before stopping.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9.</w:t>
      </w:r>
    </w:p>
    <w:p>
      <w:pPr>
        <w:keepNext w:val="0"/>
        <w:spacing w:before="200" w:after="0" w:line="260" w:lineRule="atLeast"/>
        <w:ind w:left="0" w:right="0" w:firstLine="0"/>
        <w:jc w:val="both"/>
      </w:pPr>
      <w:bookmarkStart w:id="16" w:name="Bookmark_para_5"/>
      <w:bookmarkEnd w:id="16"/>
      <w:r>
        <w:rPr>
          <w:rFonts w:ascii="arial" w:eastAsia="arial" w:hAnsi="arial" w:cs="arial"/>
          <w:b w:val="0"/>
          <w:i w:val="0"/>
          <w:strike w:val="0"/>
          <w:noProof w:val="0"/>
          <w:color w:val="000000"/>
          <w:position w:val="0"/>
          <w:sz w:val="20"/>
          <w:u w:val="none"/>
          <w:vertAlign w:val="baseline"/>
        </w:rPr>
        <w:t xml:space="preserve">Detective Curley smelled marijuana coming from Burroughs's vehicle.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10-11. He instructed Burroughs to exit the vehicle so he could conduct a search.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11. During the search, Detective Curley found a marijuana cigarette and a</w:t>
      </w:r>
      <w:r>
        <w:rPr>
          <w:rFonts w:ascii="arial" w:eastAsia="arial" w:hAnsi="arial" w:cs="arial"/>
          <w:b/>
          <w:i w:val="0"/>
          <w:strike w:val="0"/>
          <w:noProof w:val="0"/>
          <w:color w:val="000000"/>
          <w:position w:val="0"/>
          <w:sz w:val="20"/>
          <w:u w:val="none"/>
          <w:vertAlign w:val="baseline"/>
        </w:rPr>
        <w:t> [*3] </w:t>
      </w:r>
      <w:r>
        <w:rPr>
          <w:rFonts w:ascii="arial" w:eastAsia="arial" w:hAnsi="arial" w:cs="arial"/>
          <w:b w:val="0"/>
          <w:i w:val="0"/>
          <w:strike w:val="0"/>
          <w:noProof w:val="0"/>
          <w:color w:val="000000"/>
          <w:position w:val="0"/>
          <w:sz w:val="20"/>
          <w:u w:val="none"/>
          <w:vertAlign w:val="baseline"/>
        </w:rPr>
        <w:t xml:space="preserve"> camouflage backpack.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 In the backpack, he found legal paperwork recently sprayed with a substance believed to be flakka.</w:t>
      </w:r>
      <w:r>
        <w:rPr>
          <w:rFonts w:ascii="arial" w:eastAsia="arial" w:hAnsi="arial" w:cs="arial"/>
          <w:vertAlign w:val="superscript"/>
        </w:rPr>
        <w:footnoteReference w:customMarkFollows="1" w:id="3"/>
        <w:t xml:space="preserve">2</w:t>
      </w:r>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12-13. Burroughs was arrested for trafficking drugs.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15.</w:t>
      </w:r>
    </w:p>
    <w:p>
      <w:pPr>
        <w:keepNext w:val="0"/>
        <w:spacing w:before="200" w:after="0" w:line="260" w:lineRule="atLeast"/>
        <w:ind w:left="0" w:right="0" w:firstLine="0"/>
        <w:jc w:val="both"/>
      </w:pPr>
      <w:bookmarkStart w:id="18" w:name="Bookmark_para_6"/>
      <w:bookmarkEnd w:id="18"/>
      <w:r>
        <w:rPr>
          <w:rFonts w:ascii="arial" w:eastAsia="arial" w:hAnsi="arial" w:cs="arial"/>
          <w:b w:val="0"/>
          <w:i w:val="0"/>
          <w:strike w:val="0"/>
          <w:noProof w:val="0"/>
          <w:color w:val="000000"/>
          <w:position w:val="0"/>
          <w:sz w:val="20"/>
          <w:u w:val="none"/>
          <w:vertAlign w:val="baseline"/>
        </w:rPr>
        <w:t xml:space="preserve">A subsequent search warrant was acquired and executed based on evidence found during the traffic stop and other information acquired during the investigation into Burroughs.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15-16, 49-51.</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 LEGAL STANDARD</w:t>
      </w:r>
    </w:p>
    <w:p>
      <w:pPr>
        <w:keepNext w:val="0"/>
        <w:spacing w:before="200" w:after="0" w:line="260" w:lineRule="atLeast"/>
        <w:ind w:left="0" w:right="0" w:firstLine="0"/>
        <w:jc w:val="both"/>
      </w:pPr>
      <w:bookmarkStart w:id="19" w:name="Bookmark_para_7"/>
      <w:bookmarkEnd w:id="19"/>
      <w:bookmarkStart w:id="20" w:name="Bookmark_I696VBH32N1RMV0010000400"/>
      <w:bookmarkEnd w:id="20"/>
      <w:r>
        <w:rPr>
          <w:rFonts w:ascii="arial" w:eastAsia="arial" w:hAnsi="arial" w:cs="arial"/>
          <w:b w:val="0"/>
          <w:i w:val="0"/>
          <w:strike w:val="0"/>
          <w:noProof w:val="0"/>
          <w:color w:val="000000"/>
          <w:position w:val="0"/>
          <w:sz w:val="20"/>
          <w:u w:val="none"/>
          <w:vertAlign w:val="baseline"/>
        </w:rPr>
        <w:t xml:space="preserve">The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protects individuals from unreasonable searches and seizures. </w:t>
      </w:r>
      <w:bookmarkStart w:id="21" w:name="Bookmark_I696VBH32N1RMV0030000400"/>
      <w:bookmarkEnd w:id="21"/>
      <w:r>
        <w:rPr>
          <w:rFonts w:ascii="arial" w:eastAsia="arial" w:hAnsi="arial" w:cs="arial"/>
          <w:b w:val="0"/>
          <w:i/>
          <w:strike w:val="0"/>
          <w:noProof w:val="0"/>
          <w:color w:val="000000"/>
          <w:position w:val="0"/>
          <w:sz w:val="20"/>
          <w:u w:val="none"/>
          <w:vertAlign w:val="baseline"/>
        </w:rPr>
        <w:t>See</w:t>
      </w:r>
      <w:r>
        <w:rPr>
          <w:rFonts w:ascii="arial" w:eastAsia="arial" w:hAnsi="arial" w:cs="arial"/>
          <w:b w:val="0"/>
          <w:i w:val="0"/>
          <w:strike w:val="0"/>
          <w:noProof w:val="0"/>
          <w:color w:val="000000"/>
          <w:position w:val="0"/>
          <w:sz w:val="20"/>
          <w:u w:val="none"/>
          <w:vertAlign w:val="baseline"/>
        </w:rPr>
        <w:t xml:space="preserve"> </w:t>
      </w:r>
      <w:hyperlink r:id="rId13" w:history="1">
        <w:r>
          <w:rPr>
            <w:rFonts w:ascii="arial" w:eastAsia="arial" w:hAnsi="arial" w:cs="arial"/>
            <w:b w:val="0"/>
            <w:i/>
            <w:strike w:val="0"/>
            <w:noProof w:val="0"/>
            <w:color w:val="0077CC"/>
            <w:position w:val="0"/>
            <w:sz w:val="20"/>
            <w:u w:val="single"/>
            <w:vertAlign w:val="baseline"/>
          </w:rPr>
          <w:t>U.S. Const. amend. IV</w:t>
        </w:r>
      </w:hyperlink>
      <w:r>
        <w:rPr>
          <w:rFonts w:ascii="arial" w:eastAsia="arial" w:hAnsi="arial" w:cs="arial"/>
          <w:b w:val="0"/>
          <w:i w:val="0"/>
          <w:strike w:val="0"/>
          <w:noProof w:val="0"/>
          <w:color w:val="000000"/>
          <w:position w:val="0"/>
          <w:sz w:val="20"/>
          <w:u w:val="none"/>
          <w:vertAlign w:val="baseline"/>
        </w:rPr>
        <w:t xml:space="preserve">. When a defendant moves "to suppress evidence garnered through a warrantless search and seizure, the burden of proof as to the reasonableness of the search rests with the prosecution." </w:t>
      </w:r>
      <w:bookmarkStart w:id="22" w:name="Bookmark_I696VBH328T4C30050000400"/>
      <w:bookmarkEnd w:id="22"/>
      <w:hyperlink r:id="rId14" w:history="1">
        <w:r>
          <w:rPr>
            <w:rFonts w:ascii="arial" w:eastAsia="arial" w:hAnsi="arial" w:cs="arial"/>
            <w:b w:val="0"/>
            <w:i/>
            <w:strike w:val="0"/>
            <w:noProof w:val="0"/>
            <w:color w:val="0077CC"/>
            <w:position w:val="0"/>
            <w:sz w:val="20"/>
            <w:u w:val="single"/>
            <w:vertAlign w:val="baseline"/>
          </w:rPr>
          <w:t>United States v. Freire</w:t>
        </w:r>
      </w:hyperlink>
      <w:hyperlink r:id="rId14" w:history="1">
        <w:r>
          <w:rPr>
            <w:rFonts w:ascii="arial" w:eastAsia="arial" w:hAnsi="arial" w:cs="arial"/>
            <w:b w:val="0"/>
            <w:i/>
            <w:strike w:val="0"/>
            <w:noProof w:val="0"/>
            <w:color w:val="0077CC"/>
            <w:position w:val="0"/>
            <w:sz w:val="20"/>
            <w:u w:val="single"/>
            <w:vertAlign w:val="baseline"/>
          </w:rPr>
          <w:t>, 710 F.2d 1515, 1519 (11th Cir. 1983)</w:t>
        </w:r>
      </w:hyperlink>
      <w:r>
        <w:rPr>
          <w:rFonts w:ascii="arial" w:eastAsia="arial" w:hAnsi="arial" w:cs="arial"/>
          <w:b w:val="0"/>
          <w:i w:val="0"/>
          <w:strike w:val="0"/>
          <w:noProof w:val="0"/>
          <w:color w:val="000000"/>
          <w:position w:val="0"/>
          <w:sz w:val="20"/>
          <w:u w:val="none"/>
          <w:vertAlign w:val="baseline"/>
        </w:rPr>
        <w:t xml:space="preserve"> (emphasis removed). To sustain this burden, the "Government must demonstrate that the challenged action falls within one of the recognized exceptions to the warrant requirement, thereby rendering it reasonable within the meaning of the [F]ourth [A]mendment."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But when a defendant moves to suppress evidence seized as a result of a search warrant, the defendant bears the burden of establishing that the warrant is defective. </w:t>
      </w:r>
      <w:bookmarkStart w:id="23" w:name="Bookmark_I696VBH32N1RMV0030000400_2"/>
      <w:bookmarkEnd w:id="23"/>
      <w:bookmarkStart w:id="24" w:name="Bookmark_I696VBH32N1RMV0020000400"/>
      <w:bookmarkEnd w:id="24"/>
      <w:hyperlink r:id="rId15" w:history="1">
        <w:r>
          <w:rPr>
            <w:rFonts w:ascii="arial" w:eastAsia="arial" w:hAnsi="arial" w:cs="arial"/>
            <w:b w:val="0"/>
            <w:i/>
            <w:strike w:val="0"/>
            <w:noProof w:val="0"/>
            <w:color w:val="0077CC"/>
            <w:position w:val="0"/>
            <w:sz w:val="20"/>
            <w:u w:val="single"/>
            <w:vertAlign w:val="baseline"/>
          </w:rPr>
          <w:t>United States v. Lockett</w:t>
        </w:r>
      </w:hyperlink>
      <w:hyperlink r:id="rId15" w:history="1">
        <w:r>
          <w:rPr>
            <w:rFonts w:ascii="arial" w:eastAsia="arial" w:hAnsi="arial" w:cs="arial"/>
            <w:b w:val="0"/>
            <w:i/>
            <w:strike w:val="0"/>
            <w:noProof w:val="0"/>
            <w:color w:val="0077CC"/>
            <w:position w:val="0"/>
            <w:sz w:val="20"/>
            <w:u w:val="single"/>
            <w:vertAlign w:val="baseline"/>
          </w:rPr>
          <w:t>, 533 F. App'x 957, 965 (11th Cir. 2013)</w:t>
        </w:r>
      </w:hyperlink>
      <w:r>
        <w:rPr>
          <w:rFonts w:ascii="arial" w:eastAsia="arial" w:hAnsi="arial" w:cs="arial"/>
          <w:b w:val="0"/>
          <w:i w:val="0"/>
          <w:strike w:val="0"/>
          <w:noProof w:val="0"/>
          <w:color w:val="000000"/>
          <w:position w:val="0"/>
          <w:sz w:val="20"/>
          <w:u w:val="none"/>
          <w:vertAlign w:val="baseline"/>
        </w:rPr>
        <w:t xml:space="preserve"> (citation omitted) ("When a search is conducted pursuant to a warrant, the burden is on the defendant to show that the</w:t>
      </w:r>
      <w:r>
        <w:rPr>
          <w:rFonts w:ascii="arial" w:eastAsia="arial" w:hAnsi="arial" w:cs="arial"/>
          <w:b/>
          <w:i w:val="0"/>
          <w:strike w:val="0"/>
          <w:noProof w:val="0"/>
          <w:color w:val="000000"/>
          <w:position w:val="0"/>
          <w:sz w:val="20"/>
          <w:u w:val="none"/>
          <w:vertAlign w:val="baseline"/>
        </w:rPr>
        <w:t> [*4] </w:t>
      </w:r>
      <w:r>
        <w:rPr>
          <w:rFonts w:ascii="arial" w:eastAsia="arial" w:hAnsi="arial" w:cs="arial"/>
          <w:b w:val="0"/>
          <w:i w:val="0"/>
          <w:strike w:val="0"/>
          <w:noProof w:val="0"/>
          <w:color w:val="000000"/>
          <w:position w:val="0"/>
          <w:sz w:val="20"/>
          <w:u w:val="none"/>
          <w:vertAlign w:val="baseline"/>
        </w:rPr>
        <w:t xml:space="preserve"> warrant is invalid.").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III. DISCUSSION</w:t>
      </w:r>
    </w:p>
    <w:p>
      <w:pPr>
        <w:keepNext w:val="0"/>
        <w:spacing w:before="200" w:after="0" w:line="260" w:lineRule="atLeast"/>
        <w:ind w:left="0" w:right="0" w:firstLine="0"/>
        <w:jc w:val="both"/>
      </w:pPr>
      <w:bookmarkStart w:id="25" w:name="Bookmark_para_8"/>
      <w:bookmarkEnd w:id="25"/>
      <w:r>
        <w:rPr>
          <w:rFonts w:ascii="arial" w:eastAsia="arial" w:hAnsi="arial" w:cs="arial"/>
          <w:b w:val="0"/>
          <w:i w:val="0"/>
          <w:strike w:val="0"/>
          <w:noProof w:val="0"/>
          <w:color w:val="000000"/>
          <w:position w:val="0"/>
          <w:sz w:val="20"/>
          <w:u w:val="none"/>
          <w:vertAlign w:val="baseline"/>
        </w:rPr>
        <w:t xml:space="preserve">Burroughs argues that his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rights were violated when Detective Curley conducted the traffic stop. Mot. (Doc. 36) pp. 1-8. Specifically, Burroughs asserts that Detective Curley's stop was pretextual, and thus unreasonable under the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5-7. Burroughs asks the Court to suppress the evidence obtained as a result of the traffic stop and all evidence obtained from the subsequent search warrant as fruit of the poisonous tree.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7.</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A. Detective Curley had probable cause to conduct a traffic stop</w:t>
      </w:r>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26" w:name="Bookmark_para_9"/>
      <w:bookmarkEnd w:id="26"/>
      <w:bookmarkStart w:id="27" w:name="Bookmark_I696VBH32N1RMV0050000400"/>
      <w:bookmarkEnd w:id="27"/>
      <w:bookmarkStart w:id="28" w:name="Bookmark_I696VBH42HM6TN0040000400"/>
      <w:bookmarkEnd w:id="28"/>
      <w:r>
        <w:rPr>
          <w:rFonts w:ascii="arial" w:eastAsia="arial" w:hAnsi="arial" w:cs="arial"/>
          <w:b w:val="0"/>
          <w:i w:val="0"/>
          <w:strike w:val="0"/>
          <w:noProof w:val="0"/>
          <w:color w:val="000000"/>
          <w:position w:val="0"/>
          <w:sz w:val="20"/>
          <w:u w:val="none"/>
          <w:vertAlign w:val="baseline"/>
        </w:rPr>
        <w:t xml:space="preserve">"A traffic stop is a seizure within the meaning of the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bookmarkStart w:id="29" w:name="Bookmark_I696VBH32N1RMV0040000400"/>
      <w:bookmarkEnd w:id="29"/>
      <w:hyperlink r:id="rId16" w:history="1">
        <w:r>
          <w:rPr>
            <w:rFonts w:ascii="arial" w:eastAsia="arial" w:hAnsi="arial" w:cs="arial"/>
            <w:b w:val="0"/>
            <w:i/>
            <w:strike w:val="0"/>
            <w:noProof w:val="0"/>
            <w:color w:val="0077CC"/>
            <w:position w:val="0"/>
            <w:sz w:val="20"/>
            <w:u w:val="single"/>
            <w:vertAlign w:val="baseline"/>
          </w:rPr>
          <w:t>United States v. Purcell</w:t>
        </w:r>
      </w:hyperlink>
      <w:hyperlink r:id="rId16" w:history="1">
        <w:r>
          <w:rPr>
            <w:rFonts w:ascii="arial" w:eastAsia="arial" w:hAnsi="arial" w:cs="arial"/>
            <w:b w:val="0"/>
            <w:i/>
            <w:strike w:val="0"/>
            <w:noProof w:val="0"/>
            <w:color w:val="0077CC"/>
            <w:position w:val="0"/>
            <w:sz w:val="20"/>
            <w:u w:val="single"/>
            <w:vertAlign w:val="baseline"/>
          </w:rPr>
          <w:t>, 236 F.3d 1274, 1277 (11th Cir. 2001)</w:t>
        </w:r>
      </w:hyperlink>
      <w:r>
        <w:rPr>
          <w:rFonts w:ascii="arial" w:eastAsia="arial" w:hAnsi="arial" w:cs="arial"/>
          <w:b w:val="0"/>
          <w:i w:val="0"/>
          <w:strike w:val="0"/>
          <w:noProof w:val="0"/>
          <w:color w:val="000000"/>
          <w:position w:val="0"/>
          <w:sz w:val="20"/>
          <w:u w:val="none"/>
          <w:vertAlign w:val="baseline"/>
        </w:rPr>
        <w:t xml:space="preserve"> (citing </w:t>
      </w:r>
      <w:bookmarkStart w:id="30" w:name="Bookmark_I696VBH42HM6TN0010000400"/>
      <w:bookmarkEnd w:id="30"/>
      <w:hyperlink r:id="rId17" w:history="1">
        <w:r>
          <w:rPr>
            <w:rFonts w:ascii="arial" w:eastAsia="arial" w:hAnsi="arial" w:cs="arial"/>
            <w:b w:val="0"/>
            <w:i/>
            <w:strike w:val="0"/>
            <w:noProof w:val="0"/>
            <w:color w:val="0077CC"/>
            <w:position w:val="0"/>
            <w:sz w:val="20"/>
            <w:u w:val="single"/>
            <w:vertAlign w:val="baseline"/>
          </w:rPr>
          <w:t>Delaware v. Prouse</w:t>
        </w:r>
      </w:hyperlink>
      <w:hyperlink r:id="rId17" w:history="1">
        <w:r>
          <w:rPr>
            <w:rFonts w:ascii="arial" w:eastAsia="arial" w:hAnsi="arial" w:cs="arial"/>
            <w:b w:val="0"/>
            <w:i/>
            <w:strike w:val="0"/>
            <w:noProof w:val="0"/>
            <w:color w:val="0077CC"/>
            <w:position w:val="0"/>
            <w:sz w:val="20"/>
            <w:u w:val="single"/>
            <w:vertAlign w:val="baseline"/>
          </w:rPr>
          <w:t>, 440 U.S. 648, 99 S. Ct. 1391, 59 L. Ed. 2d 660 (1979)</w:t>
        </w:r>
      </w:hyperlink>
      <w:r>
        <w:rPr>
          <w:rFonts w:ascii="arial" w:eastAsia="arial" w:hAnsi="arial" w:cs="arial"/>
          <w:b w:val="0"/>
          <w:i w:val="0"/>
          <w:strike w:val="0"/>
          <w:noProof w:val="0"/>
          <w:color w:val="000000"/>
          <w:position w:val="0"/>
          <w:sz w:val="20"/>
          <w:u w:val="none"/>
          <w:vertAlign w:val="baseline"/>
        </w:rPr>
        <w:t xml:space="preserve">). </w:t>
      </w:r>
      <w:bookmarkStart w:id="31" w:name="Bookmark_I696VBH42SF8750010000400"/>
      <w:bookmarkEnd w:id="31"/>
      <w:r>
        <w:rPr>
          <w:rFonts w:ascii="arial" w:eastAsia="arial" w:hAnsi="arial" w:cs="arial"/>
          <w:b w:val="0"/>
          <w:i w:val="0"/>
          <w:strike w:val="0"/>
          <w:noProof w:val="0"/>
          <w:color w:val="000000"/>
          <w:position w:val="0"/>
          <w:sz w:val="20"/>
          <w:u w:val="none"/>
          <w:vertAlign w:val="baseline"/>
        </w:rPr>
        <w:t xml:space="preserve">"[A] traffic stop is a constitutional detention if it is justified by reasonable suspicion under </w:t>
      </w:r>
      <w:r>
        <w:rPr>
          <w:rFonts w:ascii="arial" w:eastAsia="arial" w:hAnsi="arial" w:cs="arial"/>
          <w:b w:val="0"/>
          <w:i/>
          <w:strike w:val="0"/>
          <w:noProof w:val="0"/>
          <w:color w:val="000000"/>
          <w:position w:val="0"/>
          <w:sz w:val="20"/>
          <w:u w:val="none"/>
          <w:vertAlign w:val="baseline"/>
        </w:rPr>
        <w:t>Terry</w:t>
      </w:r>
      <w:r>
        <w:rPr>
          <w:rFonts w:ascii="arial" w:eastAsia="arial" w:hAnsi="arial" w:cs="arial"/>
          <w:b w:val="0"/>
          <w:i w:val="0"/>
          <w:strike w:val="0"/>
          <w:noProof w:val="0"/>
          <w:color w:val="000000"/>
          <w:position w:val="0"/>
          <w:sz w:val="20"/>
          <w:u w:val="none"/>
          <w:vertAlign w:val="baseline"/>
        </w:rPr>
        <w:t xml:space="preserve"> or probable cause to believe a traffic violation has occurred under </w:t>
      </w:r>
      <w:r>
        <w:rPr>
          <w:rFonts w:ascii="arial" w:eastAsia="arial" w:hAnsi="arial" w:cs="arial"/>
          <w:b w:val="0"/>
          <w:i/>
          <w:strike w:val="0"/>
          <w:noProof w:val="0"/>
          <w:color w:val="000000"/>
          <w:position w:val="0"/>
          <w:sz w:val="20"/>
          <w:u w:val="none"/>
          <w:vertAlign w:val="baseline"/>
        </w:rPr>
        <w:t>Whren v. United States</w:t>
      </w:r>
      <w:r>
        <w:rPr>
          <w:rFonts w:ascii="arial" w:eastAsia="arial" w:hAnsi="arial" w:cs="arial"/>
          <w:b w:val="0"/>
          <w:i w:val="0"/>
          <w:strike w:val="0"/>
          <w:noProof w:val="0"/>
          <w:color w:val="000000"/>
          <w:position w:val="0"/>
          <w:sz w:val="20"/>
          <w:u w:val="none"/>
          <w:vertAlign w:val="baseline"/>
        </w:rPr>
        <w:t xml:space="preserve">[.]" </w:t>
      </w:r>
      <w:bookmarkStart w:id="32" w:name="Bookmark_I696VBH42HM6TN0030000400"/>
      <w:bookmarkEnd w:id="32"/>
      <w:hyperlink r:id="rId18" w:history="1">
        <w:r>
          <w:rPr>
            <w:rFonts w:ascii="arial" w:eastAsia="arial" w:hAnsi="arial" w:cs="arial"/>
            <w:b w:val="0"/>
            <w:i/>
            <w:strike w:val="0"/>
            <w:noProof w:val="0"/>
            <w:color w:val="0077CC"/>
            <w:position w:val="0"/>
            <w:sz w:val="20"/>
            <w:u w:val="single"/>
            <w:vertAlign w:val="baseline"/>
          </w:rPr>
          <w:t>United States v. Chanthasouxat</w:t>
        </w:r>
      </w:hyperlink>
      <w:hyperlink r:id="rId18" w:history="1">
        <w:r>
          <w:rPr>
            <w:rFonts w:ascii="arial" w:eastAsia="arial" w:hAnsi="arial" w:cs="arial"/>
            <w:b w:val="0"/>
            <w:i/>
            <w:strike w:val="0"/>
            <w:noProof w:val="0"/>
            <w:color w:val="0077CC"/>
            <w:position w:val="0"/>
            <w:sz w:val="20"/>
            <w:u w:val="single"/>
            <w:vertAlign w:val="baseline"/>
          </w:rPr>
          <w:t>, 342 F.3d 1271, 1275 (11th Cir. 2003)</w:t>
        </w:r>
      </w:hyperlink>
      <w:r>
        <w:rPr>
          <w:rFonts w:ascii="arial" w:eastAsia="arial" w:hAnsi="arial" w:cs="arial"/>
          <w:b w:val="0"/>
          <w:i w:val="0"/>
          <w:strike w:val="0"/>
          <w:noProof w:val="0"/>
          <w:color w:val="000000"/>
          <w:position w:val="0"/>
          <w:sz w:val="20"/>
          <w:u w:val="none"/>
          <w:vertAlign w:val="baseline"/>
        </w:rPr>
        <w:t xml:space="preserve">. </w:t>
      </w:r>
      <w:bookmarkStart w:id="33" w:name="Bookmark_I696VBH42SF8750030000400"/>
      <w:bookmarkEnd w:id="33"/>
      <w:r>
        <w:rPr>
          <w:rFonts w:ascii="arial" w:eastAsia="arial" w:hAnsi="arial" w:cs="arial"/>
          <w:b w:val="0"/>
          <w:i w:val="0"/>
          <w:strike w:val="0"/>
          <w:noProof w:val="0"/>
          <w:color w:val="000000"/>
          <w:position w:val="0"/>
          <w:sz w:val="20"/>
          <w:u w:val="none"/>
          <w:vertAlign w:val="baseline"/>
        </w:rPr>
        <w:t xml:space="preserve">Under Alabama law, drivers may turn only after "giving an appropriate signal." </w:t>
      </w:r>
      <w:hyperlink r:id="rId19" w:history="1">
        <w:r>
          <w:rPr>
            <w:rFonts w:ascii="arial" w:eastAsia="arial" w:hAnsi="arial" w:cs="arial"/>
            <w:b w:val="0"/>
            <w:i/>
            <w:strike w:val="0"/>
            <w:noProof w:val="0"/>
            <w:color w:val="0077CC"/>
            <w:position w:val="0"/>
            <w:sz w:val="20"/>
            <w:u w:val="single"/>
            <w:vertAlign w:val="baseline"/>
          </w:rPr>
          <w:t>Ala. Code</w:t>
        </w:r>
      </w:hyperlink>
      <w:hyperlink r:id="rId19" w:history="1">
        <w:r>
          <w:rPr>
            <w:rFonts w:ascii="arial" w:eastAsia="arial" w:hAnsi="arial" w:cs="arial"/>
            <w:b w:val="0"/>
            <w:i/>
            <w:strike w:val="0"/>
            <w:noProof w:val="0"/>
            <w:color w:val="0077CC"/>
            <w:position w:val="0"/>
            <w:sz w:val="20"/>
            <w:u w:val="single"/>
            <w:vertAlign w:val="baseline"/>
          </w:rPr>
          <w:t xml:space="preserve"> § 32-5A-133(a)</w:t>
        </w:r>
      </w:hyperlink>
      <w:r>
        <w:rPr>
          <w:rFonts w:ascii="arial" w:eastAsia="arial" w:hAnsi="arial" w:cs="arial"/>
          <w:b w:val="0"/>
          <w:i w:val="0"/>
          <w:strike w:val="0"/>
          <w:noProof w:val="0"/>
          <w:color w:val="000000"/>
          <w:position w:val="0"/>
          <w:sz w:val="20"/>
          <w:u w:val="none"/>
          <w:vertAlign w:val="baseline"/>
        </w:rPr>
        <w:t xml:space="preserve">. </w:t>
      </w:r>
      <w:bookmarkStart w:id="34" w:name="Bookmark_I696VBH42SF8750030000400_2"/>
      <w:bookmarkEnd w:id="34"/>
      <w:bookmarkStart w:id="35" w:name="Bookmark_I696VBH42SF8750010000400_2"/>
      <w:bookmarkEnd w:id="35"/>
      <w:r>
        <w:rPr>
          <w:rFonts w:ascii="arial" w:eastAsia="arial" w:hAnsi="arial" w:cs="arial"/>
          <w:b w:val="0"/>
          <w:i w:val="0"/>
          <w:strike w:val="0"/>
          <w:noProof w:val="0"/>
          <w:color w:val="000000"/>
          <w:position w:val="0"/>
          <w:sz w:val="20"/>
          <w:u w:val="none"/>
          <w:vertAlign w:val="baseline"/>
        </w:rPr>
        <w:t xml:space="preserve">Failure to properly use a turn signal, then, provides probable cause to justify a traffic stop. </w:t>
      </w:r>
      <w:bookmarkStart w:id="36" w:name="Bookmark_I696VBH42HM6TN0050000400"/>
      <w:bookmarkEnd w:id="36"/>
      <w:hyperlink r:id="rId20" w:history="1">
        <w:r>
          <w:rPr>
            <w:rFonts w:ascii="arial" w:eastAsia="arial" w:hAnsi="arial" w:cs="arial"/>
            <w:b w:val="0"/>
            <w:i/>
            <w:strike w:val="0"/>
            <w:noProof w:val="0"/>
            <w:color w:val="0077CC"/>
            <w:position w:val="0"/>
            <w:sz w:val="20"/>
            <w:u w:val="single"/>
            <w:vertAlign w:val="baseline"/>
          </w:rPr>
          <w:t>United States v. Blackmon</w:t>
        </w:r>
      </w:hyperlink>
      <w:hyperlink r:id="rId20" w:history="1">
        <w:r>
          <w:rPr>
            <w:rFonts w:ascii="arial" w:eastAsia="arial" w:hAnsi="arial" w:cs="arial"/>
            <w:b w:val="0"/>
            <w:i/>
            <w:strike w:val="0"/>
            <w:noProof w:val="0"/>
            <w:color w:val="0077CC"/>
            <w:position w:val="0"/>
            <w:sz w:val="20"/>
            <w:u w:val="single"/>
            <w:vertAlign w:val="baseline"/>
          </w:rPr>
          <w:t>, 536 F. App'x 944, 946 (11th Cir. 2013)</w:t>
        </w:r>
      </w:hyperlink>
      <w:r>
        <w:rPr>
          <w:rFonts w:ascii="arial" w:eastAsia="arial" w:hAnsi="arial" w:cs="arial"/>
          <w:b w:val="0"/>
          <w:i w:val="0"/>
          <w:strike w:val="0"/>
          <w:noProof w:val="0"/>
          <w:color w:val="000000"/>
          <w:position w:val="0"/>
          <w:sz w:val="20"/>
          <w:u w:val="none"/>
          <w:vertAlign w:val="baseline"/>
        </w:rPr>
        <w:t xml:space="preserve">. Likewise, "speeding is a traffic violation that may properly justify a traffic stop." </w:t>
      </w:r>
      <w:bookmarkStart w:id="37" w:name="Bookmark_I696VBH42SF8750020000400"/>
      <w:bookmarkEnd w:id="37"/>
      <w:hyperlink r:id="rId21" w:history="1">
        <w:r>
          <w:rPr>
            <w:rFonts w:ascii="arial" w:eastAsia="arial" w:hAnsi="arial" w:cs="arial"/>
            <w:b w:val="0"/>
            <w:i/>
            <w:strike w:val="0"/>
            <w:noProof w:val="0"/>
            <w:color w:val="0077CC"/>
            <w:position w:val="0"/>
            <w:sz w:val="20"/>
            <w:u w:val="single"/>
            <w:vertAlign w:val="baseline"/>
          </w:rPr>
          <w:t>United States v. Monzon-Gomez</w:t>
        </w:r>
      </w:hyperlink>
      <w:hyperlink r:id="rId21" w:history="1">
        <w:r>
          <w:rPr>
            <w:rFonts w:ascii="arial" w:eastAsia="arial" w:hAnsi="arial" w:cs="arial"/>
            <w:b w:val="0"/>
            <w:i/>
            <w:strike w:val="0"/>
            <w:noProof w:val="0"/>
            <w:color w:val="0077CC"/>
            <w:position w:val="0"/>
            <w:sz w:val="20"/>
            <w:u w:val="single"/>
            <w:vertAlign w:val="baseline"/>
          </w:rPr>
          <w:t>, 244 F. App'x 954, 959 (11th Cir. 2007)</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38" w:name="Bookmark_para_10"/>
      <w:bookmarkEnd w:id="38"/>
      <w:r>
        <w:rPr>
          <w:rFonts w:ascii="arial" w:eastAsia="arial" w:hAnsi="arial" w:cs="arial"/>
          <w:b w:val="0"/>
          <w:i w:val="0"/>
          <w:strike w:val="0"/>
          <w:noProof w:val="0"/>
          <w:color w:val="000000"/>
          <w:position w:val="0"/>
          <w:sz w:val="20"/>
          <w:u w:val="none"/>
          <w:vertAlign w:val="baseline"/>
        </w:rPr>
        <w:t>It is undisputed that Detective Curley observed Burroughs speed and turn without using a signal.</w:t>
      </w:r>
      <w:r>
        <w:rPr>
          <w:rFonts w:ascii="arial" w:eastAsia="arial" w:hAnsi="arial" w:cs="arial"/>
          <w:vertAlign w:val="superscript"/>
        </w:rPr>
        <w:footnoteReference w:customMarkFollows="1" w:id="4"/>
        <w:t xml:space="preserve">3</w:t>
      </w:r>
      <w:r>
        <w:rPr>
          <w:rFonts w:ascii="arial" w:eastAsia="arial" w:hAnsi="arial" w:cs="arial"/>
          <w:b w:val="0"/>
          <w:i w:val="0"/>
          <w:strike w:val="0"/>
          <w:noProof w:val="0"/>
          <w:color w:val="000000"/>
          <w:position w:val="0"/>
          <w:sz w:val="20"/>
          <w:u w:val="none"/>
          <w:vertAlign w:val="baseline"/>
        </w:rPr>
        <w:t xml:space="preserve"> Thus, Detective Curley had</w:t>
      </w:r>
      <w:r>
        <w:rPr>
          <w:rFonts w:ascii="arial" w:eastAsia="arial" w:hAnsi="arial" w:cs="arial"/>
          <w:b/>
          <w:i w:val="0"/>
          <w:strike w:val="0"/>
          <w:noProof w:val="0"/>
          <w:color w:val="000000"/>
          <w:position w:val="0"/>
          <w:sz w:val="20"/>
          <w:u w:val="none"/>
          <w:vertAlign w:val="baseline"/>
        </w:rPr>
        <w:t> [*5] </w:t>
      </w:r>
      <w:r>
        <w:rPr>
          <w:rFonts w:ascii="arial" w:eastAsia="arial" w:hAnsi="arial" w:cs="arial"/>
          <w:b w:val="0"/>
          <w:i w:val="0"/>
          <w:strike w:val="0"/>
          <w:noProof w:val="0"/>
          <w:color w:val="000000"/>
          <w:position w:val="0"/>
          <w:sz w:val="20"/>
          <w:u w:val="none"/>
          <w:vertAlign w:val="baseline"/>
        </w:rPr>
        <w:t xml:space="preserve"> the requisite reasonable suspicion to stop Burroughs. But Burroughs does not dispute that he committed a traffic violation. </w:t>
      </w:r>
      <w:bookmarkStart w:id="40" w:name="Bookmark_I696VBH42SF8750050000400"/>
      <w:bookmarkEnd w:id="40"/>
      <w:r>
        <w:rPr>
          <w:rFonts w:ascii="arial" w:eastAsia="arial" w:hAnsi="arial" w:cs="arial"/>
          <w:b w:val="0"/>
          <w:i w:val="0"/>
          <w:strike w:val="0"/>
          <w:noProof w:val="0"/>
          <w:color w:val="000000"/>
          <w:position w:val="0"/>
          <w:sz w:val="20"/>
          <w:u w:val="none"/>
          <w:vertAlign w:val="baseline"/>
        </w:rPr>
        <w:t xml:space="preserve">Instead, he argues that the officers were investigating drug trafficking and the stop itself was pretextual, making it unreasonable. Mot. (Doc. 36) pp. 5-7. Based on the Supreme Court's holding in </w:t>
      </w:r>
      <w:r>
        <w:rPr>
          <w:rFonts w:ascii="arial" w:eastAsia="arial" w:hAnsi="arial" w:cs="arial"/>
          <w:b w:val="0"/>
          <w:i/>
          <w:strike w:val="0"/>
          <w:noProof w:val="0"/>
          <w:color w:val="000000"/>
          <w:position w:val="0"/>
          <w:sz w:val="20"/>
          <w:u w:val="none"/>
          <w:vertAlign w:val="baseline"/>
        </w:rPr>
        <w:t>Whren v. United States</w:t>
      </w:r>
      <w:r>
        <w:rPr>
          <w:rFonts w:ascii="arial" w:eastAsia="arial" w:hAnsi="arial" w:cs="arial"/>
          <w:b w:val="0"/>
          <w:i w:val="0"/>
          <w:strike w:val="0"/>
          <w:noProof w:val="0"/>
          <w:color w:val="000000"/>
          <w:position w:val="0"/>
          <w:sz w:val="20"/>
          <w:u w:val="none"/>
          <w:vertAlign w:val="baseline"/>
        </w:rPr>
        <w:t xml:space="preserve">, this argument fails. </w:t>
      </w:r>
      <w:bookmarkStart w:id="41" w:name="Bookmark_I696VBH42SF8750040000400"/>
      <w:bookmarkEnd w:id="41"/>
      <w:hyperlink r:id="rId22" w:history="1">
        <w:r>
          <w:rPr>
            <w:rFonts w:ascii="arial" w:eastAsia="arial" w:hAnsi="arial" w:cs="arial"/>
            <w:b w:val="0"/>
            <w:i/>
            <w:strike w:val="0"/>
            <w:noProof w:val="0"/>
            <w:color w:val="0077CC"/>
            <w:position w:val="0"/>
            <w:sz w:val="20"/>
            <w:u w:val="single"/>
            <w:vertAlign w:val="baseline"/>
          </w:rPr>
          <w:t>517 U.S. 806</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2" w:name="Bookmark_para_11"/>
      <w:bookmarkEnd w:id="42"/>
      <w:bookmarkStart w:id="43" w:name="Bookmark_I696VBH52D6NVR0020000400"/>
      <w:bookmarkEnd w:id="43"/>
      <w:r>
        <w:rPr>
          <w:rFonts w:ascii="arial" w:eastAsia="arial" w:hAnsi="arial" w:cs="arial"/>
          <w:b w:val="0"/>
          <w:i w:val="0"/>
          <w:strike w:val="0"/>
          <w:noProof w:val="0"/>
          <w:color w:val="000000"/>
          <w:position w:val="0"/>
          <w:sz w:val="20"/>
          <w:u w:val="none"/>
          <w:vertAlign w:val="baseline"/>
        </w:rPr>
        <w:t xml:space="preserve">In </w:t>
      </w:r>
      <w:r>
        <w:rPr>
          <w:rFonts w:ascii="arial" w:eastAsia="arial" w:hAnsi="arial" w:cs="arial"/>
          <w:b w:val="0"/>
          <w:i/>
          <w:strike w:val="0"/>
          <w:noProof w:val="0"/>
          <w:color w:val="000000"/>
          <w:position w:val="0"/>
          <w:sz w:val="20"/>
          <w:u w:val="none"/>
          <w:vertAlign w:val="baseline"/>
        </w:rPr>
        <w:t>Whren</w:t>
      </w:r>
      <w:r>
        <w:rPr>
          <w:rFonts w:ascii="arial" w:eastAsia="arial" w:hAnsi="arial" w:cs="arial"/>
          <w:b w:val="0"/>
          <w:i w:val="0"/>
          <w:strike w:val="0"/>
          <w:noProof w:val="0"/>
          <w:color w:val="000000"/>
          <w:position w:val="0"/>
          <w:sz w:val="20"/>
          <w:u w:val="none"/>
          <w:vertAlign w:val="baseline"/>
        </w:rPr>
        <w:t xml:space="preserve">, the Court held that the constitutional reasonableness of traffic stops does not depend on the actual motivations of the individual officers involved.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813. Indeed, the Court explained that it had never held "that an officer's motive invalidates objectively justifiable behavior under the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at 812 (citing </w:t>
      </w:r>
      <w:bookmarkStart w:id="44" w:name="Bookmark_I696VBH52D6NVR0010000400"/>
      <w:bookmarkEnd w:id="44"/>
      <w:hyperlink r:id="rId23" w:history="1">
        <w:r>
          <w:rPr>
            <w:rFonts w:ascii="arial" w:eastAsia="arial" w:hAnsi="arial" w:cs="arial"/>
            <w:b w:val="0"/>
            <w:i/>
            <w:strike w:val="0"/>
            <w:noProof w:val="0"/>
            <w:color w:val="0077CC"/>
            <w:position w:val="0"/>
            <w:sz w:val="20"/>
            <w:u w:val="single"/>
            <w:vertAlign w:val="baseline"/>
          </w:rPr>
          <w:t>United States v. Villamonte-Marquez</w:t>
        </w:r>
      </w:hyperlink>
      <w:hyperlink r:id="rId23" w:history="1">
        <w:r>
          <w:rPr>
            <w:rFonts w:ascii="arial" w:eastAsia="arial" w:hAnsi="arial" w:cs="arial"/>
            <w:b w:val="0"/>
            <w:i/>
            <w:strike w:val="0"/>
            <w:noProof w:val="0"/>
            <w:color w:val="0077CC"/>
            <w:position w:val="0"/>
            <w:sz w:val="20"/>
            <w:u w:val="single"/>
            <w:vertAlign w:val="baseline"/>
          </w:rPr>
          <w:t>, 462 U.S. 579, 584 n.3, 103 S. Ct. 2573, 77 L. Ed. 2d 22 (1983)</w:t>
        </w:r>
      </w:hyperlink>
      <w:r>
        <w:rPr>
          <w:rFonts w:ascii="arial" w:eastAsia="arial" w:hAnsi="arial" w:cs="arial"/>
          <w:b w:val="0"/>
          <w:i w:val="0"/>
          <w:strike w:val="0"/>
          <w:noProof w:val="0"/>
          <w:color w:val="000000"/>
          <w:position w:val="0"/>
          <w:sz w:val="20"/>
          <w:u w:val="none"/>
          <w:vertAlign w:val="baseline"/>
        </w:rPr>
        <w:t xml:space="preserve">; </w:t>
      </w:r>
      <w:bookmarkStart w:id="45" w:name="Bookmark_I696VBH52D6NVR0030000400"/>
      <w:bookmarkEnd w:id="45"/>
      <w:hyperlink r:id="rId24" w:history="1">
        <w:r>
          <w:rPr>
            <w:rFonts w:ascii="arial" w:eastAsia="arial" w:hAnsi="arial" w:cs="arial"/>
            <w:b w:val="0"/>
            <w:i/>
            <w:strike w:val="0"/>
            <w:noProof w:val="0"/>
            <w:color w:val="0077CC"/>
            <w:position w:val="0"/>
            <w:sz w:val="20"/>
            <w:u w:val="single"/>
            <w:vertAlign w:val="baseline"/>
          </w:rPr>
          <w:t>United States v. Robinson</w:t>
        </w:r>
      </w:hyperlink>
      <w:hyperlink r:id="rId24" w:history="1">
        <w:r>
          <w:rPr>
            <w:rFonts w:ascii="arial" w:eastAsia="arial" w:hAnsi="arial" w:cs="arial"/>
            <w:b w:val="0"/>
            <w:i/>
            <w:strike w:val="0"/>
            <w:noProof w:val="0"/>
            <w:color w:val="0077CC"/>
            <w:position w:val="0"/>
            <w:sz w:val="20"/>
            <w:u w:val="single"/>
            <w:vertAlign w:val="baseline"/>
          </w:rPr>
          <w:t>, 414 U.S. 218, 221 n.1, 94 S. Ct. 467, 38 L. Ed. 2d 427 (1973)</w:t>
        </w:r>
      </w:hyperlink>
      <w:r>
        <w:rPr>
          <w:rFonts w:ascii="arial" w:eastAsia="arial" w:hAnsi="arial" w:cs="arial"/>
          <w:b w:val="0"/>
          <w:i w:val="0"/>
          <w:strike w:val="0"/>
          <w:noProof w:val="0"/>
          <w:color w:val="000000"/>
          <w:position w:val="0"/>
          <w:sz w:val="20"/>
          <w:u w:val="none"/>
          <w:vertAlign w:val="baseline"/>
        </w:rPr>
        <w:t xml:space="preserve">; </w:t>
      </w:r>
      <w:bookmarkStart w:id="46" w:name="Bookmark_I696VBH52D6NVR0050000400"/>
      <w:bookmarkEnd w:id="46"/>
      <w:hyperlink r:id="rId25" w:history="1">
        <w:r>
          <w:rPr>
            <w:rFonts w:ascii="arial" w:eastAsia="arial" w:hAnsi="arial" w:cs="arial"/>
            <w:b w:val="0"/>
            <w:i/>
            <w:strike w:val="0"/>
            <w:noProof w:val="0"/>
            <w:color w:val="0077CC"/>
            <w:position w:val="0"/>
            <w:sz w:val="20"/>
            <w:u w:val="single"/>
            <w:vertAlign w:val="baseline"/>
          </w:rPr>
          <w:t>Scott v. United States</w:t>
        </w:r>
      </w:hyperlink>
      <w:hyperlink r:id="rId25" w:history="1">
        <w:r>
          <w:rPr>
            <w:rFonts w:ascii="arial" w:eastAsia="arial" w:hAnsi="arial" w:cs="arial"/>
            <w:b w:val="0"/>
            <w:i/>
            <w:strike w:val="0"/>
            <w:noProof w:val="0"/>
            <w:color w:val="0077CC"/>
            <w:position w:val="0"/>
            <w:sz w:val="20"/>
            <w:u w:val="single"/>
            <w:vertAlign w:val="baseline"/>
          </w:rPr>
          <w:t>, 436 U.S. 128, 138, 98 S. Ct. 1717, 56 L. Ed. 2d 168 (1978)</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7" w:name="Bookmark_para_12"/>
      <w:bookmarkEnd w:id="47"/>
      <w:r>
        <w:rPr>
          <w:rFonts w:ascii="arial" w:eastAsia="arial" w:hAnsi="arial" w:cs="arial"/>
          <w:b w:val="0"/>
          <w:i w:val="0"/>
          <w:strike w:val="0"/>
          <w:noProof w:val="0"/>
          <w:color w:val="000000"/>
          <w:position w:val="0"/>
          <w:sz w:val="20"/>
          <w:u w:val="none"/>
          <w:vertAlign w:val="baseline"/>
        </w:rPr>
        <w:t xml:space="preserve">Here, because it is undisputed that Burroughs sped and failed to signal before turning, thus providing probable cause for a traffic stop, Detective Curley's motivation for the stop is irrelevant. Accordingly, the traffic stop was reasonable under the </w:t>
      </w:r>
      <w:hyperlink r:id="rId13" w:history="1">
        <w:r>
          <w:rPr>
            <w:rFonts w:ascii="arial" w:eastAsia="arial" w:hAnsi="arial" w:cs="arial"/>
            <w:b w:val="0"/>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 xml:space="preserve">B. Detective Curley's search during the traffic stop was reasonable under the </w:t>
      </w:r>
      <w:hyperlink r:id="rId13" w:history="1">
        <w:r>
          <w:rPr>
            <w:rFonts w:ascii="arial" w:eastAsia="arial" w:hAnsi="arial" w:cs="arial"/>
            <w:b/>
            <w:i/>
            <w:strike w:val="0"/>
            <w:noProof w:val="0"/>
            <w:color w:val="0077CC"/>
            <w:position w:val="0"/>
            <w:sz w:val="20"/>
            <w:u w:val="single"/>
            <w:vertAlign w:val="baseline"/>
          </w:rPr>
          <w:t>Fourth Amendment</w:t>
        </w:r>
      </w:hyperlink>
      <w:r>
        <w:rPr>
          <w:rFonts w:ascii="arial" w:eastAsia="arial" w:hAnsi="arial" w:cs="arial"/>
          <w:b w:val="0"/>
          <w:i w:val="0"/>
          <w:strike w:val="0"/>
          <w:noProof w:val="0"/>
          <w:color w:val="000000"/>
          <w:position w:val="0"/>
          <w:sz w:val="20"/>
          <w:u w:val="none"/>
          <w:vertAlign w:val="baseline"/>
        </w:rPr>
        <w:t>.</w:t>
      </w:r>
    </w:p>
    <w:p>
      <w:pPr>
        <w:keepNext w:val="0"/>
        <w:spacing w:before="240" w:after="0" w:line="260" w:lineRule="atLeast"/>
        <w:ind w:left="0" w:right="0" w:firstLine="0"/>
        <w:jc w:val="both"/>
      </w:pPr>
      <w:bookmarkStart w:id="48" w:name="Bookmark_para_13"/>
      <w:bookmarkEnd w:id="48"/>
      <w:bookmarkStart w:id="49" w:name="Bookmark_I696VBH52HM6TT0030000400"/>
      <w:bookmarkEnd w:id="49"/>
      <w:r>
        <w:rPr>
          <w:rFonts w:ascii="arial" w:eastAsia="arial" w:hAnsi="arial" w:cs="arial"/>
          <w:b w:val="0"/>
          <w:i w:val="0"/>
          <w:strike w:val="0"/>
          <w:noProof w:val="0"/>
          <w:color w:val="000000"/>
          <w:position w:val="0"/>
          <w:sz w:val="20"/>
          <w:u w:val="none"/>
          <w:vertAlign w:val="baseline"/>
        </w:rPr>
        <w:t xml:space="preserve">Generally, where there is no consent to search, officers must obtain a search warrant. </w:t>
      </w:r>
      <w:bookmarkStart w:id="50" w:name="Bookmark_I696VBH52HM6TT0050000400"/>
      <w:bookmarkEnd w:id="50"/>
      <w:bookmarkStart w:id="51" w:name="Bookmark_I696VBH52HM6TT0020000400"/>
      <w:bookmarkEnd w:id="51"/>
      <w:hyperlink r:id="rId26" w:history="1">
        <w:r>
          <w:rPr>
            <w:rFonts w:ascii="arial" w:eastAsia="arial" w:hAnsi="arial" w:cs="arial"/>
            <w:b w:val="0"/>
            <w:i/>
            <w:strike w:val="0"/>
            <w:noProof w:val="0"/>
            <w:color w:val="0077CC"/>
            <w:position w:val="0"/>
            <w:sz w:val="20"/>
            <w:u w:val="single"/>
            <w:vertAlign w:val="baseline"/>
          </w:rPr>
          <w:t>United States v. Magluta</w:t>
        </w:r>
      </w:hyperlink>
      <w:hyperlink r:id="rId26" w:history="1">
        <w:r>
          <w:rPr>
            <w:rFonts w:ascii="arial" w:eastAsia="arial" w:hAnsi="arial" w:cs="arial"/>
            <w:b w:val="0"/>
            <w:i/>
            <w:strike w:val="0"/>
            <w:noProof w:val="0"/>
            <w:color w:val="0077CC"/>
            <w:position w:val="0"/>
            <w:sz w:val="20"/>
            <w:u w:val="single"/>
            <w:vertAlign w:val="baseline"/>
          </w:rPr>
          <w:t>, 418 F.3d 1166, 1182 (11th Cir. 2005)</w:t>
        </w:r>
      </w:hyperlink>
      <w:r>
        <w:rPr>
          <w:rFonts w:ascii="arial" w:eastAsia="arial" w:hAnsi="arial" w:cs="arial"/>
          <w:b w:val="0"/>
          <w:i w:val="0"/>
          <w:strike w:val="0"/>
          <w:noProof w:val="0"/>
          <w:color w:val="000000"/>
          <w:position w:val="0"/>
          <w:sz w:val="20"/>
          <w:u w:val="none"/>
          <w:vertAlign w:val="baseline"/>
        </w:rPr>
        <w:t xml:space="preserve">. </w:t>
      </w:r>
      <w:bookmarkStart w:id="52" w:name="Bookmark_I696VBH728T4CV0020000400"/>
      <w:bookmarkEnd w:id="52"/>
      <w:r>
        <w:rPr>
          <w:rFonts w:ascii="arial" w:eastAsia="arial" w:hAnsi="arial" w:cs="arial"/>
          <w:b w:val="0"/>
          <w:i w:val="0"/>
          <w:strike w:val="0"/>
          <w:noProof w:val="0"/>
          <w:color w:val="000000"/>
          <w:position w:val="0"/>
          <w:sz w:val="20"/>
          <w:u w:val="none"/>
          <w:vertAlign w:val="baseline"/>
        </w:rPr>
        <w:t>But under the automobile exception, officers can search any container in an operational</w:t>
      </w:r>
      <w:r>
        <w:rPr>
          <w:rFonts w:ascii="arial" w:eastAsia="arial" w:hAnsi="arial" w:cs="arial"/>
          <w:b/>
          <w:i w:val="0"/>
          <w:strike w:val="0"/>
          <w:noProof w:val="0"/>
          <w:color w:val="000000"/>
          <w:position w:val="0"/>
          <w:sz w:val="20"/>
          <w:u w:val="none"/>
          <w:vertAlign w:val="baseline"/>
        </w:rPr>
        <w:t> [*6] </w:t>
      </w:r>
      <w:r>
        <w:rPr>
          <w:rFonts w:ascii="arial" w:eastAsia="arial" w:hAnsi="arial" w:cs="arial"/>
          <w:b w:val="0"/>
          <w:i w:val="0"/>
          <w:strike w:val="0"/>
          <w:noProof w:val="0"/>
          <w:color w:val="000000"/>
          <w:position w:val="0"/>
          <w:sz w:val="20"/>
          <w:u w:val="none"/>
          <w:vertAlign w:val="baseline"/>
        </w:rPr>
        <w:t xml:space="preserve"> car without a warrant if they have probable cause to believe the container holds evidence of a crime. </w:t>
      </w:r>
      <w:bookmarkStart w:id="53" w:name="Bookmark_I696VBH728T4CV0020000400_2"/>
      <w:bookmarkEnd w:id="53"/>
      <w:bookmarkStart w:id="54" w:name="Bookmark_I696VBH52HM6TT0050000400_2"/>
      <w:bookmarkEnd w:id="54"/>
      <w:r>
        <w:rPr>
          <w:rFonts w:ascii="arial" w:eastAsia="arial" w:hAnsi="arial" w:cs="arial"/>
          <w:b w:val="0"/>
          <w:i/>
          <w:strike w:val="0"/>
          <w:noProof w:val="0"/>
          <w:color w:val="000000"/>
          <w:position w:val="0"/>
          <w:sz w:val="20"/>
          <w:u w:val="none"/>
          <w:vertAlign w:val="baseline"/>
        </w:rPr>
        <w:t>Id.</w:t>
      </w:r>
      <w:r>
        <w:rPr>
          <w:rFonts w:ascii="arial" w:eastAsia="arial" w:hAnsi="arial" w:cs="arial"/>
          <w:b w:val="0"/>
          <w:i w:val="0"/>
          <w:strike w:val="0"/>
          <w:noProof w:val="0"/>
          <w:color w:val="000000"/>
          <w:position w:val="0"/>
          <w:sz w:val="20"/>
          <w:u w:val="none"/>
          <w:vertAlign w:val="baseline"/>
        </w:rPr>
        <w:t xml:space="preserve"> (citing </w:t>
      </w:r>
      <w:bookmarkStart w:id="55" w:name="Bookmark_I696VBH52HM6TT0040000400"/>
      <w:bookmarkEnd w:id="55"/>
      <w:hyperlink r:id="rId27" w:history="1">
        <w:r>
          <w:rPr>
            <w:rFonts w:ascii="arial" w:eastAsia="arial" w:hAnsi="arial" w:cs="arial"/>
            <w:b w:val="0"/>
            <w:i/>
            <w:strike w:val="0"/>
            <w:noProof w:val="0"/>
            <w:color w:val="0077CC"/>
            <w:position w:val="0"/>
            <w:sz w:val="20"/>
            <w:u w:val="single"/>
            <w:vertAlign w:val="baseline"/>
          </w:rPr>
          <w:t>California v. Acevedo</w:t>
        </w:r>
      </w:hyperlink>
      <w:hyperlink r:id="rId27" w:history="1">
        <w:r>
          <w:rPr>
            <w:rFonts w:ascii="arial" w:eastAsia="arial" w:hAnsi="arial" w:cs="arial"/>
            <w:b w:val="0"/>
            <w:i/>
            <w:strike w:val="0"/>
            <w:noProof w:val="0"/>
            <w:color w:val="0077CC"/>
            <w:position w:val="0"/>
            <w:sz w:val="20"/>
            <w:u w:val="single"/>
            <w:vertAlign w:val="baseline"/>
          </w:rPr>
          <w:t>, 500 U.S. 565, 579-80, 111 S. Ct. 1982, 114 L. Ed. 2d 619 (1991)</w:t>
        </w:r>
      </w:hyperlink>
      <w:r>
        <w:rPr>
          <w:rFonts w:ascii="arial" w:eastAsia="arial" w:hAnsi="arial" w:cs="arial"/>
          <w:b w:val="0"/>
          <w:i w:val="0"/>
          <w:strike w:val="0"/>
          <w:noProof w:val="0"/>
          <w:color w:val="000000"/>
          <w:position w:val="0"/>
          <w:sz w:val="20"/>
          <w:u w:val="none"/>
          <w:vertAlign w:val="baseline"/>
        </w:rPr>
        <w:t xml:space="preserve">). </w:t>
      </w:r>
      <w:bookmarkStart w:id="56" w:name="Bookmark_I696VBH72N1RNJ0010000400"/>
      <w:bookmarkEnd w:id="56"/>
      <w:r>
        <w:rPr>
          <w:rFonts w:ascii="arial" w:eastAsia="arial" w:hAnsi="arial" w:cs="arial"/>
          <w:b w:val="0"/>
          <w:i w:val="0"/>
          <w:strike w:val="0"/>
          <w:noProof w:val="0"/>
          <w:color w:val="000000"/>
          <w:position w:val="0"/>
          <w:sz w:val="20"/>
          <w:u w:val="none"/>
          <w:vertAlign w:val="baseline"/>
        </w:rPr>
        <w:t xml:space="preserve">"Probable cause for a search exists when under the totality of the circumstances 'there is a fair probability that contraband or evidence of a crime will be found in a particular place.'" </w:t>
      </w:r>
      <w:bookmarkStart w:id="57" w:name="Bookmark_I696VBH728T4CV0010000400"/>
      <w:bookmarkEnd w:id="57"/>
      <w:hyperlink r:id="rId28" w:history="1">
        <w:r>
          <w:rPr>
            <w:rFonts w:ascii="arial" w:eastAsia="arial" w:hAnsi="arial" w:cs="arial"/>
            <w:b w:val="0"/>
            <w:i/>
            <w:strike w:val="0"/>
            <w:noProof w:val="0"/>
            <w:color w:val="0077CC"/>
            <w:position w:val="0"/>
            <w:sz w:val="20"/>
            <w:u w:val="single"/>
            <w:vertAlign w:val="baseline"/>
          </w:rPr>
          <w:t>United States v. Goddard</w:t>
        </w:r>
      </w:hyperlink>
      <w:hyperlink r:id="rId28" w:history="1">
        <w:r>
          <w:rPr>
            <w:rFonts w:ascii="arial" w:eastAsia="arial" w:hAnsi="arial" w:cs="arial"/>
            <w:b w:val="0"/>
            <w:i/>
            <w:strike w:val="0"/>
            <w:noProof w:val="0"/>
            <w:color w:val="0077CC"/>
            <w:position w:val="0"/>
            <w:sz w:val="20"/>
            <w:u w:val="single"/>
            <w:vertAlign w:val="baseline"/>
          </w:rPr>
          <w:t>, 312 F.3d 1360, 1363 (11th Cir. 2002)</w:t>
        </w:r>
      </w:hyperlink>
      <w:r>
        <w:rPr>
          <w:rFonts w:ascii="arial" w:eastAsia="arial" w:hAnsi="arial" w:cs="arial"/>
          <w:b w:val="0"/>
          <w:i w:val="0"/>
          <w:strike w:val="0"/>
          <w:noProof w:val="0"/>
          <w:color w:val="000000"/>
          <w:position w:val="0"/>
          <w:sz w:val="20"/>
          <w:u w:val="none"/>
          <w:vertAlign w:val="baseline"/>
        </w:rPr>
        <w:t xml:space="preserve"> (quoting </w:t>
      </w:r>
      <w:bookmarkStart w:id="58" w:name="Bookmark_I696VBH728T4CV0030000400"/>
      <w:bookmarkEnd w:id="58"/>
      <w:hyperlink r:id="rId29" w:history="1">
        <w:r>
          <w:rPr>
            <w:rFonts w:ascii="arial" w:eastAsia="arial" w:hAnsi="arial" w:cs="arial"/>
            <w:b w:val="0"/>
            <w:i/>
            <w:strike w:val="0"/>
            <w:noProof w:val="0"/>
            <w:color w:val="0077CC"/>
            <w:position w:val="0"/>
            <w:sz w:val="20"/>
            <w:u w:val="single"/>
            <w:vertAlign w:val="baseline"/>
          </w:rPr>
          <w:t>Illinois v. Gates</w:t>
        </w:r>
      </w:hyperlink>
      <w:hyperlink r:id="rId29" w:history="1">
        <w:r>
          <w:rPr>
            <w:rFonts w:ascii="arial" w:eastAsia="arial" w:hAnsi="arial" w:cs="arial"/>
            <w:b w:val="0"/>
            <w:i/>
            <w:strike w:val="0"/>
            <w:noProof w:val="0"/>
            <w:color w:val="0077CC"/>
            <w:position w:val="0"/>
            <w:sz w:val="20"/>
            <w:u w:val="single"/>
            <w:vertAlign w:val="baseline"/>
          </w:rPr>
          <w:t>, 462 U.S. 213, 238, 103 S. Ct. 2317, 76 L. Ed. 2d 527 (1983)</w:t>
        </w:r>
      </w:hyperlink>
      <w:r>
        <w:rPr>
          <w:rFonts w:ascii="arial" w:eastAsia="arial" w:hAnsi="arial" w:cs="arial"/>
          <w:b w:val="0"/>
          <w:i w:val="0"/>
          <w:strike w:val="0"/>
          <w:noProof w:val="0"/>
          <w:color w:val="000000"/>
          <w:position w:val="0"/>
          <w:sz w:val="20"/>
          <w:u w:val="none"/>
          <w:vertAlign w:val="baseline"/>
        </w:rPr>
        <w:t xml:space="preserve">). </w:t>
      </w:r>
      <w:bookmarkStart w:id="59" w:name="Bookmark_I696VBH72N1RNJ0010000400_2"/>
      <w:bookmarkEnd w:id="59"/>
      <w:r>
        <w:rPr>
          <w:rFonts w:ascii="arial" w:eastAsia="arial" w:hAnsi="arial" w:cs="arial"/>
          <w:b w:val="0"/>
          <w:i w:val="0"/>
          <w:strike w:val="0"/>
          <w:noProof w:val="0"/>
          <w:color w:val="000000"/>
          <w:position w:val="0"/>
          <w:sz w:val="20"/>
          <w:u w:val="none"/>
          <w:vertAlign w:val="baseline"/>
        </w:rPr>
        <w:t xml:space="preserve">An officer's credible testimony that he smelled marijuana establishes probable cause to search a vehicle. </w:t>
      </w:r>
      <w:bookmarkStart w:id="60" w:name="Bookmark_I696VBH728T4CV0050000400"/>
      <w:bookmarkEnd w:id="60"/>
      <w:hyperlink r:id="rId30" w:history="1">
        <w:r>
          <w:rPr>
            <w:rFonts w:ascii="arial" w:eastAsia="arial" w:hAnsi="arial" w:cs="arial"/>
            <w:b w:val="0"/>
            <w:i/>
            <w:strike w:val="0"/>
            <w:noProof w:val="0"/>
            <w:color w:val="0077CC"/>
            <w:position w:val="0"/>
            <w:sz w:val="20"/>
            <w:u w:val="single"/>
            <w:vertAlign w:val="baseline"/>
          </w:rPr>
          <w:t>United States v. Dixon</w:t>
        </w:r>
      </w:hyperlink>
      <w:hyperlink r:id="rId30" w:history="1">
        <w:r>
          <w:rPr>
            <w:rFonts w:ascii="arial" w:eastAsia="arial" w:hAnsi="arial" w:cs="arial"/>
            <w:b w:val="0"/>
            <w:i/>
            <w:strike w:val="0"/>
            <w:noProof w:val="0"/>
            <w:color w:val="0077CC"/>
            <w:position w:val="0"/>
            <w:sz w:val="20"/>
            <w:u w:val="single"/>
            <w:vertAlign w:val="baseline"/>
          </w:rPr>
          <w:t>, 901 F.3d 1322, 1339 (11th Cir. 2018)</w:t>
        </w:r>
      </w:hyperlink>
      <w:r>
        <w:rPr>
          <w:rFonts w:ascii="arial" w:eastAsia="arial" w:hAnsi="arial" w:cs="arial"/>
          <w:b w:val="0"/>
          <w:i w:val="0"/>
          <w:strike w:val="0"/>
          <w:noProof w:val="0"/>
          <w:color w:val="000000"/>
          <w:position w:val="0"/>
          <w:sz w:val="20"/>
          <w:u w:val="none"/>
          <w:vertAlign w:val="baseline"/>
        </w:rPr>
        <w:t xml:space="preserve"> (citing </w:t>
      </w:r>
      <w:bookmarkStart w:id="61" w:name="Bookmark_I696VBH72N1RNJ0020000400"/>
      <w:bookmarkEnd w:id="61"/>
      <w:hyperlink r:id="rId31" w:history="1">
        <w:r>
          <w:rPr>
            <w:rFonts w:ascii="arial" w:eastAsia="arial" w:hAnsi="arial" w:cs="arial"/>
            <w:b w:val="0"/>
            <w:i/>
            <w:strike w:val="0"/>
            <w:noProof w:val="0"/>
            <w:color w:val="0077CC"/>
            <w:position w:val="0"/>
            <w:sz w:val="20"/>
            <w:u w:val="single"/>
            <w:vertAlign w:val="baseline"/>
          </w:rPr>
          <w:t>United States v. Tobin</w:t>
        </w:r>
      </w:hyperlink>
      <w:hyperlink r:id="rId31" w:history="1">
        <w:r>
          <w:rPr>
            <w:rFonts w:ascii="arial" w:eastAsia="arial" w:hAnsi="arial" w:cs="arial"/>
            <w:b w:val="0"/>
            <w:i/>
            <w:strike w:val="0"/>
            <w:noProof w:val="0"/>
            <w:color w:val="0077CC"/>
            <w:position w:val="0"/>
            <w:sz w:val="20"/>
            <w:u w:val="single"/>
            <w:vertAlign w:val="baseline"/>
          </w:rPr>
          <w:t>, 923 F.2d 1506, 1512 (11th Cir. 1991)</w:t>
        </w:r>
      </w:hyperlink>
      <w:r>
        <w:rPr>
          <w:rFonts w:ascii="arial" w:eastAsia="arial" w:hAnsi="arial" w:cs="arial"/>
          <w:b w:val="0"/>
          <w:i w:val="0"/>
          <w:strike w:val="0"/>
          <w:noProof w:val="0"/>
          <w:color w:val="000000"/>
          <w:position w:val="0"/>
          <w:sz w:val="20"/>
          <w:u w:val="none"/>
          <w:vertAlign w:val="baseline"/>
        </w:rPr>
        <w:t xml:space="preserve"> (en banc)).</w:t>
      </w:r>
    </w:p>
    <w:p>
      <w:pPr>
        <w:keepNext w:val="0"/>
        <w:spacing w:before="200" w:after="0" w:line="260" w:lineRule="atLeast"/>
        <w:ind w:left="0" w:right="0" w:firstLine="0"/>
        <w:jc w:val="both"/>
      </w:pPr>
      <w:bookmarkStart w:id="62" w:name="Bookmark_para_14"/>
      <w:bookmarkEnd w:id="62"/>
      <w:r>
        <w:rPr>
          <w:rFonts w:ascii="arial" w:eastAsia="arial" w:hAnsi="arial" w:cs="arial"/>
          <w:b w:val="0"/>
          <w:i w:val="0"/>
          <w:strike w:val="0"/>
          <w:noProof w:val="0"/>
          <w:color w:val="000000"/>
          <w:position w:val="0"/>
          <w:sz w:val="20"/>
          <w:u w:val="none"/>
          <w:vertAlign w:val="baseline"/>
        </w:rPr>
        <w:t>Here, it is undisputed that Detective Curley smelled marijuana as he approached Burroughs's vehicle. This provided him with probable cause to conduct a search. Moreover, because the backpack was in the car, and because marijuana could have fit within the backpack, Detective Curley had probable cause to search the backpack. Therefore, the warrantless searches of the vehicle and backpack were reasonable, and the evidence seized pursuant to those searches should not be suppressed.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C. The subsequent search warrants acquired based on evidence seized during the traffic stop are valid</w:t>
      </w:r>
      <w:r>
        <w:rPr>
          <w:rFonts w:ascii="arial" w:eastAsia="arial" w:hAnsi="arial" w:cs="arial"/>
          <w:b w:val="0"/>
          <w:i w:val="0"/>
          <w:strike w:val="0"/>
          <w:noProof w:val="0"/>
          <w:color w:val="000000"/>
          <w:position w:val="0"/>
          <w:sz w:val="20"/>
          <w:u w:val="none"/>
          <w:vertAlign w:val="baseline"/>
        </w:rPr>
        <w:t>.</w:t>
      </w:r>
    </w:p>
    <w:p>
      <w:pPr>
        <w:keepNext w:val="0"/>
        <w:spacing w:before="200" w:after="0" w:line="260" w:lineRule="atLeast"/>
        <w:ind w:left="0" w:right="0" w:firstLine="0"/>
        <w:jc w:val="both"/>
      </w:pPr>
      <w:bookmarkStart w:id="63" w:name="Bookmark_para_15"/>
      <w:bookmarkEnd w:id="63"/>
      <w:r>
        <w:rPr>
          <w:rFonts w:ascii="arial" w:eastAsia="arial" w:hAnsi="arial" w:cs="arial"/>
          <w:b w:val="0"/>
          <w:i w:val="0"/>
          <w:strike w:val="0"/>
          <w:noProof w:val="0"/>
          <w:color w:val="000000"/>
          <w:position w:val="0"/>
          <w:sz w:val="20"/>
          <w:u w:val="none"/>
          <w:vertAlign w:val="baseline"/>
        </w:rPr>
        <w:t>Burroughs concedes that if the traffic stop and search of the vehicle were reasonable, then the subsequent warrants to search his home were valid. Tr. (Doc. 42) pp. 3-4. The</w:t>
      </w:r>
      <w:r>
        <w:rPr>
          <w:rFonts w:ascii="arial" w:eastAsia="arial" w:hAnsi="arial" w:cs="arial"/>
          <w:b/>
          <w:i w:val="0"/>
          <w:strike w:val="0"/>
          <w:noProof w:val="0"/>
          <w:color w:val="000000"/>
          <w:position w:val="0"/>
          <w:sz w:val="20"/>
          <w:u w:val="none"/>
          <w:vertAlign w:val="baseline"/>
        </w:rPr>
        <w:t> [*7] </w:t>
      </w:r>
      <w:r>
        <w:rPr>
          <w:rFonts w:ascii="arial" w:eastAsia="arial" w:hAnsi="arial" w:cs="arial"/>
          <w:b w:val="0"/>
          <w:i w:val="0"/>
          <w:strike w:val="0"/>
          <w:noProof w:val="0"/>
          <w:color w:val="000000"/>
          <w:position w:val="0"/>
          <w:sz w:val="20"/>
          <w:u w:val="none"/>
          <w:vertAlign w:val="baseline"/>
        </w:rPr>
        <w:t xml:space="preserve"> undersigned agrees. The evidence seized from Burroughs's vehicle, along with other information contained in the affidavit, provided the requisite probable cause for the search warrant to issue.</w:t>
      </w:r>
    </w:p>
    <w:p>
      <w:pPr>
        <w:keepNext w:val="0"/>
        <w:spacing w:before="240" w:after="0" w:line="260" w:lineRule="atLeast"/>
        <w:ind w:left="0" w:right="0" w:firstLine="0"/>
        <w:jc w:val="both"/>
      </w:pPr>
      <w:bookmarkStart w:id="64" w:name="Bookmark_para_16"/>
      <w:bookmarkEnd w:id="64"/>
      <w:bookmarkStart w:id="65" w:name="Bookmark_I696VBH72N1RNJ0050000400"/>
      <w:bookmarkEnd w:id="65"/>
      <w:r>
        <w:rPr>
          <w:rFonts w:ascii="arial" w:eastAsia="arial" w:hAnsi="arial" w:cs="arial"/>
          <w:b w:val="0"/>
          <w:i w:val="0"/>
          <w:strike w:val="0"/>
          <w:noProof w:val="0"/>
          <w:color w:val="000000"/>
          <w:position w:val="0"/>
          <w:sz w:val="20"/>
          <w:u w:val="none"/>
          <w:vertAlign w:val="baseline"/>
        </w:rPr>
        <w:t xml:space="preserve">But even if the warrants were not based on probable cause, the good faith exception prevents the evidence seized from being suppressed. In </w:t>
      </w:r>
      <w:r>
        <w:rPr>
          <w:rFonts w:ascii="arial" w:eastAsia="arial" w:hAnsi="arial" w:cs="arial"/>
          <w:b w:val="0"/>
          <w:i/>
          <w:strike w:val="0"/>
          <w:noProof w:val="0"/>
          <w:color w:val="000000"/>
          <w:position w:val="0"/>
          <w:sz w:val="20"/>
          <w:u w:val="none"/>
          <w:vertAlign w:val="baseline"/>
        </w:rPr>
        <w:t>United States v. Leon</w:t>
      </w:r>
      <w:r>
        <w:rPr>
          <w:rFonts w:ascii="arial" w:eastAsia="arial" w:hAnsi="arial" w:cs="arial"/>
          <w:b w:val="0"/>
          <w:i w:val="0"/>
          <w:strike w:val="0"/>
          <w:noProof w:val="0"/>
          <w:color w:val="000000"/>
          <w:position w:val="0"/>
          <w:sz w:val="20"/>
          <w:u w:val="none"/>
          <w:vertAlign w:val="baseline"/>
        </w:rPr>
        <w:t xml:space="preserve">, the Supreme Court determined that the exclusionary rule does not bar evidence obtained by officers acting in reasonable reliance on a search warrant issued by a neutral and detached magistrate that is ultimately found to be unsupported by probable cause. </w:t>
      </w:r>
      <w:bookmarkStart w:id="66" w:name="Bookmark_I696VBH72N1RNJ0040000400"/>
      <w:bookmarkEnd w:id="66"/>
      <w:hyperlink r:id="rId32" w:history="1">
        <w:r>
          <w:rPr>
            <w:rFonts w:ascii="arial" w:eastAsia="arial" w:hAnsi="arial" w:cs="arial"/>
            <w:b w:val="0"/>
            <w:i/>
            <w:strike w:val="0"/>
            <w:noProof w:val="0"/>
            <w:color w:val="0077CC"/>
            <w:position w:val="0"/>
            <w:sz w:val="20"/>
            <w:u w:val="single"/>
            <w:vertAlign w:val="baseline"/>
          </w:rPr>
          <w:t>468 U.S. 897, 922, 104 S. Ct. 3405, 82 L. Ed. 2d 677 (1984)</w:t>
        </w:r>
      </w:hyperlink>
      <w:r>
        <w:rPr>
          <w:rFonts w:ascii="arial" w:eastAsia="arial" w:hAnsi="arial" w:cs="arial"/>
          <w:b w:val="0"/>
          <w:i w:val="0"/>
          <w:strike w:val="0"/>
          <w:noProof w:val="0"/>
          <w:color w:val="000000"/>
          <w:position w:val="0"/>
          <w:sz w:val="20"/>
          <w:u w:val="none"/>
          <w:vertAlign w:val="baseline"/>
        </w:rPr>
        <w:t>. Here, Burroughs concedes that the officers who executed the search on his home reasonably relied on the State search warrants. No contrary evidence was introduced. Accordingly, the evidence seized pursuant to those warrants should not be suppressed.</w:t>
      </w:r>
    </w:p>
    <w:p>
      <w:pPr>
        <w:keepNext w:val="0"/>
        <w:spacing w:before="240" w:after="0" w:line="260" w:lineRule="atLeast"/>
        <w:ind w:left="0" w:right="0" w:firstLine="0"/>
        <w:jc w:val="left"/>
      </w:pPr>
      <w:r>
        <w:br/>
      </w:r>
      <w:r>
        <w:rPr>
          <w:rFonts w:ascii="arial" w:eastAsia="arial" w:hAnsi="arial" w:cs="arial"/>
          <w:b/>
          <w:i w:val="0"/>
          <w:strike w:val="0"/>
          <w:noProof w:val="0"/>
          <w:color w:val="000000"/>
          <w:position w:val="0"/>
          <w:sz w:val="20"/>
          <w:u w:val="none"/>
          <w:vertAlign w:val="baseline"/>
        </w:rPr>
        <w:t>IV. CONCLUSION</w:t>
      </w:r>
    </w:p>
    <w:p>
      <w:pPr>
        <w:keepNext w:val="0"/>
        <w:spacing w:before="200" w:after="0" w:line="260" w:lineRule="atLeast"/>
        <w:ind w:left="0" w:right="0" w:firstLine="0"/>
        <w:jc w:val="both"/>
      </w:pPr>
      <w:bookmarkStart w:id="67" w:name="Bookmark_para_17"/>
      <w:bookmarkEnd w:id="67"/>
      <w:r>
        <w:rPr>
          <w:rFonts w:ascii="arial" w:eastAsia="arial" w:hAnsi="arial" w:cs="arial"/>
          <w:b w:val="0"/>
          <w:i w:val="0"/>
          <w:strike w:val="0"/>
          <w:noProof w:val="0"/>
          <w:color w:val="000000"/>
          <w:position w:val="0"/>
          <w:sz w:val="20"/>
          <w:u w:val="none"/>
          <w:vertAlign w:val="baseline"/>
        </w:rPr>
        <w:t>For the reasons stated above, the undersigned</w:t>
      </w:r>
    </w:p>
    <w:p>
      <w:pPr>
        <w:keepNext w:val="0"/>
        <w:spacing w:before="200" w:after="0" w:line="260" w:lineRule="atLeast"/>
        <w:ind w:left="0" w:right="0" w:firstLine="0"/>
        <w:jc w:val="both"/>
      </w:pPr>
      <w:bookmarkStart w:id="68" w:name="Bookmark_para_18"/>
      <w:bookmarkEnd w:id="68"/>
      <w:r>
        <w:rPr>
          <w:rFonts w:ascii="arial" w:eastAsia="arial" w:hAnsi="arial" w:cs="arial"/>
          <w:b w:val="0"/>
          <w:i w:val="0"/>
          <w:strike w:val="0"/>
          <w:noProof w:val="0"/>
          <w:color w:val="000000"/>
          <w:position w:val="0"/>
          <w:sz w:val="20"/>
          <w:u w:val="none"/>
          <w:vertAlign w:val="baseline"/>
        </w:rPr>
        <w:t>RECOMMENDS that Burroughs's Motion to Suppress (Doc. 36) be DENIED. It is further</w:t>
      </w:r>
    </w:p>
    <w:p>
      <w:pPr>
        <w:keepNext w:val="0"/>
        <w:spacing w:before="240" w:after="0" w:line="260" w:lineRule="atLeast"/>
        <w:ind w:left="0" w:right="0" w:firstLine="0"/>
        <w:jc w:val="both"/>
      </w:pPr>
      <w:bookmarkStart w:id="69" w:name="Bookmark_para_19"/>
      <w:bookmarkEnd w:id="69"/>
      <w:r>
        <w:rPr>
          <w:rFonts w:ascii="arial" w:eastAsia="arial" w:hAnsi="arial" w:cs="arial"/>
          <w:b w:val="0"/>
          <w:i w:val="0"/>
          <w:strike w:val="0"/>
          <w:noProof w:val="0"/>
          <w:color w:val="000000"/>
          <w:position w:val="0"/>
          <w:sz w:val="20"/>
          <w:u w:val="none"/>
          <w:vertAlign w:val="baseline"/>
        </w:rPr>
        <w:t xml:space="preserve">ORDERED that the parties shall file any objections to this Recommendation </w:t>
      </w:r>
      <w:r>
        <w:rPr>
          <w:rFonts w:ascii="arial" w:eastAsia="arial" w:hAnsi="arial" w:cs="arial"/>
          <w:b/>
          <w:i w:val="0"/>
          <w:strike w:val="0"/>
          <w:noProof w:val="0"/>
          <w:color w:val="000000"/>
          <w:position w:val="0"/>
          <w:sz w:val="20"/>
          <w:u w:val="none"/>
          <w:vertAlign w:val="baseline"/>
        </w:rPr>
        <w:t>on or before September 8, 2023</w:t>
      </w:r>
      <w:r>
        <w:rPr>
          <w:rFonts w:ascii="arial" w:eastAsia="arial" w:hAnsi="arial" w:cs="arial"/>
          <w:b w:val="0"/>
          <w:i w:val="0"/>
          <w:strike w:val="0"/>
          <w:noProof w:val="0"/>
          <w:color w:val="000000"/>
          <w:position w:val="0"/>
          <w:sz w:val="20"/>
          <w:u w:val="none"/>
          <w:vertAlign w:val="baseline"/>
        </w:rPr>
        <w:t xml:space="preserve">. </w:t>
      </w:r>
      <w:bookmarkStart w:id="70" w:name="Bookmark_I696VBH82D6NWC0020000400"/>
      <w:bookmarkEnd w:id="70"/>
      <w:r>
        <w:rPr>
          <w:rFonts w:ascii="arial" w:eastAsia="arial" w:hAnsi="arial" w:cs="arial"/>
          <w:b w:val="0"/>
          <w:i w:val="0"/>
          <w:strike w:val="0"/>
          <w:noProof w:val="0"/>
          <w:color w:val="000000"/>
          <w:position w:val="0"/>
          <w:sz w:val="20"/>
          <w:u w:val="none"/>
          <w:vertAlign w:val="baseline"/>
        </w:rPr>
        <w:t>A party must specifically identify the factual findings and legal conclusions in the Recommendation</w:t>
      </w:r>
      <w:r>
        <w:rPr>
          <w:rFonts w:ascii="arial" w:eastAsia="arial" w:hAnsi="arial" w:cs="arial"/>
          <w:b/>
          <w:i w:val="0"/>
          <w:strike w:val="0"/>
          <w:noProof w:val="0"/>
          <w:color w:val="000000"/>
          <w:position w:val="0"/>
          <w:sz w:val="20"/>
          <w:u w:val="none"/>
          <w:vertAlign w:val="baseline"/>
        </w:rPr>
        <w:t> [*8] </w:t>
      </w:r>
      <w:r>
        <w:rPr>
          <w:rFonts w:ascii="arial" w:eastAsia="arial" w:hAnsi="arial" w:cs="arial"/>
          <w:b w:val="0"/>
          <w:i w:val="0"/>
          <w:strike w:val="0"/>
          <w:noProof w:val="0"/>
          <w:color w:val="000000"/>
          <w:position w:val="0"/>
          <w:sz w:val="20"/>
          <w:u w:val="none"/>
          <w:vertAlign w:val="baseline"/>
        </w:rPr>
        <w:t xml:space="preserve"> to which objection is made; frivolous, conclusive, or general objections will not be considered. </w:t>
      </w:r>
      <w:bookmarkStart w:id="71" w:name="Bookmark_I696VBH82D6NWC0040000400"/>
      <w:bookmarkEnd w:id="71"/>
      <w:r>
        <w:rPr>
          <w:rFonts w:ascii="arial" w:eastAsia="arial" w:hAnsi="arial" w:cs="arial"/>
          <w:b w:val="0"/>
          <w:i w:val="0"/>
          <w:strike w:val="0"/>
          <w:noProof w:val="0"/>
          <w:color w:val="000000"/>
          <w:position w:val="0"/>
          <w:sz w:val="20"/>
          <w:u w:val="none"/>
          <w:vertAlign w:val="baseline"/>
        </w:rPr>
        <w:t xml:space="preserve">Failure to file written objections to the Magistrate Judge's findings and recommendations in accordance with the provisions of </w:t>
      </w:r>
      <w:hyperlink r:id="rId33" w:history="1">
        <w:r>
          <w:rPr>
            <w:rFonts w:ascii="arial" w:eastAsia="arial" w:hAnsi="arial" w:cs="arial"/>
            <w:b w:val="0"/>
            <w:i/>
            <w:strike w:val="0"/>
            <w:noProof w:val="0"/>
            <w:color w:val="0077CC"/>
            <w:position w:val="0"/>
            <w:sz w:val="20"/>
            <w:u w:val="single"/>
            <w:vertAlign w:val="baseline"/>
          </w:rPr>
          <w:t>28 U.S.C. § 636(b)(1)</w:t>
        </w:r>
      </w:hyperlink>
      <w:r>
        <w:rPr>
          <w:rFonts w:ascii="arial" w:eastAsia="arial" w:hAnsi="arial" w:cs="arial"/>
          <w:b w:val="0"/>
          <w:i w:val="0"/>
          <w:strike w:val="0"/>
          <w:noProof w:val="0"/>
          <w:color w:val="000000"/>
          <w:position w:val="0"/>
          <w:sz w:val="20"/>
          <w:u w:val="none"/>
          <w:vertAlign w:val="baseline"/>
        </w:rPr>
        <w:t xml:space="preserve"> shall bar a party from a de novo determination by the District Court of legal and factual issues covered in the Recommendation and waives the right of the party to challenge on appeal the district court's order based on unobjected-to factual and legal conclusions accepted or adopted by the District Court except upon grounds of plain error or manifest injustice. </w:t>
      </w:r>
      <w:bookmarkStart w:id="72" w:name="Bookmark_I696VBH82D6NWD0010000400"/>
      <w:bookmarkEnd w:id="72"/>
      <w:bookmarkStart w:id="73" w:name="Bookmark_I696VBH82D6NWC0010000400"/>
      <w:bookmarkEnd w:id="73"/>
      <w:hyperlink r:id="rId34" w:history="1">
        <w:r>
          <w:rPr>
            <w:rFonts w:ascii="arial" w:eastAsia="arial" w:hAnsi="arial" w:cs="arial"/>
            <w:b w:val="0"/>
            <w:i/>
            <w:strike w:val="0"/>
            <w:noProof w:val="0"/>
            <w:color w:val="0077CC"/>
            <w:position w:val="0"/>
            <w:sz w:val="20"/>
            <w:u w:val="single"/>
            <w:vertAlign w:val="baseline"/>
          </w:rPr>
          <w:t>Nettles v. Wainwright</w:t>
        </w:r>
      </w:hyperlink>
      <w:hyperlink r:id="rId34" w:history="1">
        <w:r>
          <w:rPr>
            <w:rFonts w:ascii="arial" w:eastAsia="arial" w:hAnsi="arial" w:cs="arial"/>
            <w:b w:val="0"/>
            <w:i/>
            <w:strike w:val="0"/>
            <w:noProof w:val="0"/>
            <w:color w:val="0077CC"/>
            <w:position w:val="0"/>
            <w:sz w:val="20"/>
            <w:u w:val="single"/>
            <w:vertAlign w:val="baseline"/>
          </w:rPr>
          <w:t>, 677 F.2d 404 (5th Cir. 1982)</w:t>
        </w:r>
      </w:hyperlink>
      <w:r>
        <w:rPr>
          <w:rFonts w:ascii="arial" w:eastAsia="arial" w:hAnsi="arial" w:cs="arial"/>
          <w:b w:val="0"/>
          <w:i w:val="0"/>
          <w:strike w:val="0"/>
          <w:noProof w:val="0"/>
          <w:color w:val="000000"/>
          <w:position w:val="0"/>
          <w:sz w:val="20"/>
          <w:u w:val="none"/>
          <w:vertAlign w:val="baseline"/>
        </w:rPr>
        <w:t xml:space="preserve">; </w:t>
      </w:r>
      <w:hyperlink r:id="rId35" w:history="1">
        <w:r>
          <w:rPr>
            <w:rFonts w:ascii="arial" w:eastAsia="arial" w:hAnsi="arial" w:cs="arial"/>
            <w:b w:val="0"/>
            <w:i/>
            <w:strike w:val="0"/>
            <w:noProof w:val="0"/>
            <w:color w:val="0077CC"/>
            <w:position w:val="0"/>
            <w:sz w:val="20"/>
            <w:u w:val="single"/>
            <w:vertAlign w:val="baseline"/>
          </w:rPr>
          <w:t>11th Cir. R.</w:t>
        </w:r>
      </w:hyperlink>
      <w:hyperlink r:id="rId35" w:history="1">
        <w:r>
          <w:rPr>
            <w:rFonts w:ascii="arial" w:eastAsia="arial" w:hAnsi="arial" w:cs="arial"/>
            <w:b w:val="0"/>
            <w:i/>
            <w:strike w:val="0"/>
            <w:noProof w:val="0"/>
            <w:color w:val="0077CC"/>
            <w:position w:val="0"/>
            <w:sz w:val="20"/>
            <w:u w:val="single"/>
            <w:vertAlign w:val="baseline"/>
          </w:rPr>
          <w:t xml:space="preserve"> 3-1</w:t>
        </w:r>
      </w:hyperlink>
      <w:r>
        <w:rPr>
          <w:rFonts w:ascii="arial" w:eastAsia="arial" w:hAnsi="arial" w:cs="arial"/>
          <w:b w:val="0"/>
          <w:i w:val="0"/>
          <w:strike w:val="0"/>
          <w:noProof w:val="0"/>
          <w:color w:val="000000"/>
          <w:position w:val="0"/>
          <w:sz w:val="20"/>
          <w:u w:val="none"/>
          <w:vertAlign w:val="baseline"/>
        </w:rPr>
        <w:t xml:space="preserve">. </w:t>
      </w:r>
      <w:bookmarkStart w:id="74" w:name="Bookmark_I696VBH82D6NWD0010000400_2"/>
      <w:bookmarkEnd w:id="74"/>
      <w:bookmarkStart w:id="75" w:name="Bookmark_I696VBH82D6NWC0040000400_2"/>
      <w:bookmarkEnd w:id="75"/>
      <w:r>
        <w:rPr>
          <w:rFonts w:ascii="arial" w:eastAsia="arial" w:hAnsi="arial" w:cs="arial"/>
          <w:b w:val="0"/>
          <w:i/>
          <w:strike w:val="0"/>
          <w:noProof w:val="0"/>
          <w:color w:val="000000"/>
          <w:position w:val="0"/>
          <w:sz w:val="20"/>
          <w:u w:val="none"/>
          <w:vertAlign w:val="baseline"/>
        </w:rPr>
        <w:t xml:space="preserve">See </w:t>
      </w:r>
      <w:bookmarkStart w:id="76" w:name="Bookmark_I696VBH82D6NWC0030000400"/>
      <w:bookmarkEnd w:id="76"/>
      <w:hyperlink r:id="rId36" w:history="1">
        <w:r>
          <w:rPr>
            <w:rFonts w:ascii="arial" w:eastAsia="arial" w:hAnsi="arial" w:cs="arial"/>
            <w:b w:val="0"/>
            <w:i/>
            <w:strike w:val="0"/>
            <w:noProof w:val="0"/>
            <w:color w:val="0077CC"/>
            <w:position w:val="0"/>
            <w:sz w:val="20"/>
            <w:u w:val="single"/>
            <w:vertAlign w:val="baseline"/>
          </w:rPr>
          <w:t>Stein v. Lanning Securities, Inc.</w:t>
        </w:r>
      </w:hyperlink>
      <w:hyperlink r:id="rId36" w:history="1">
        <w:r>
          <w:rPr>
            <w:rFonts w:ascii="arial" w:eastAsia="arial" w:hAnsi="arial" w:cs="arial"/>
            <w:b w:val="0"/>
            <w:i/>
            <w:strike w:val="0"/>
            <w:noProof w:val="0"/>
            <w:color w:val="0077CC"/>
            <w:position w:val="0"/>
            <w:sz w:val="20"/>
            <w:u w:val="single"/>
            <w:vertAlign w:val="baseline"/>
          </w:rPr>
          <w:t>, 667 F.2d 33 (11th Cir. 1982)</w:t>
        </w:r>
      </w:hyperlink>
      <w:r>
        <w:rPr>
          <w:rFonts w:ascii="arial" w:eastAsia="arial" w:hAnsi="arial" w:cs="arial"/>
          <w:b w:val="0"/>
          <w:i w:val="0"/>
          <w:strike w:val="0"/>
          <w:noProof w:val="0"/>
          <w:color w:val="000000"/>
          <w:position w:val="0"/>
          <w:sz w:val="20"/>
          <w:u w:val="none"/>
          <w:vertAlign w:val="baseline"/>
        </w:rPr>
        <w:t xml:space="preserve">. </w:t>
      </w:r>
      <w:r>
        <w:rPr>
          <w:rFonts w:ascii="arial" w:eastAsia="arial" w:hAnsi="arial" w:cs="arial"/>
          <w:b w:val="0"/>
          <w:i/>
          <w:strike w:val="0"/>
          <w:noProof w:val="0"/>
          <w:color w:val="000000"/>
          <w:position w:val="0"/>
          <w:sz w:val="20"/>
          <w:u w:val="none"/>
          <w:vertAlign w:val="baseline"/>
        </w:rPr>
        <w:t xml:space="preserve">See also </w:t>
      </w:r>
      <w:bookmarkStart w:id="77" w:name="Bookmark_I696VBH82D6NWC0050000400"/>
      <w:bookmarkEnd w:id="77"/>
      <w:hyperlink r:id="rId37" w:history="1">
        <w:r>
          <w:rPr>
            <w:rFonts w:ascii="arial" w:eastAsia="arial" w:hAnsi="arial" w:cs="arial"/>
            <w:b w:val="0"/>
            <w:i/>
            <w:strike w:val="0"/>
            <w:noProof w:val="0"/>
            <w:color w:val="0077CC"/>
            <w:position w:val="0"/>
            <w:sz w:val="20"/>
            <w:u w:val="single"/>
            <w:vertAlign w:val="baseline"/>
          </w:rPr>
          <w:t>Bonner v. City of Prichard</w:t>
        </w:r>
      </w:hyperlink>
      <w:hyperlink r:id="rId37" w:history="1">
        <w:r>
          <w:rPr>
            <w:rFonts w:ascii="arial" w:eastAsia="arial" w:hAnsi="arial" w:cs="arial"/>
            <w:b w:val="0"/>
            <w:i/>
            <w:strike w:val="0"/>
            <w:noProof w:val="0"/>
            <w:color w:val="0077CC"/>
            <w:position w:val="0"/>
            <w:sz w:val="20"/>
            <w:u w:val="single"/>
            <w:vertAlign w:val="baseline"/>
          </w:rPr>
          <w:t>, 661 F.2d 1206 (11th Cir. 1981)</w:t>
        </w:r>
      </w:hyperlink>
      <w:r>
        <w:rPr>
          <w:rFonts w:ascii="arial" w:eastAsia="arial" w:hAnsi="arial" w:cs="arial"/>
          <w:b w:val="0"/>
          <w:i w:val="0"/>
          <w:strike w:val="0"/>
          <w:noProof w:val="0"/>
          <w:color w:val="000000"/>
          <w:position w:val="0"/>
          <w:sz w:val="20"/>
          <w:u w:val="none"/>
          <w:vertAlign w:val="baseline"/>
        </w:rPr>
        <w:t xml:space="preserve"> (en banc).</w:t>
      </w:r>
    </w:p>
    <w:p>
      <w:pPr>
        <w:keepNext w:val="0"/>
        <w:spacing w:before="200" w:after="0" w:line="260" w:lineRule="atLeast"/>
        <w:ind w:left="0" w:right="0" w:firstLine="0"/>
        <w:jc w:val="both"/>
      </w:pPr>
      <w:bookmarkStart w:id="78" w:name="Bookmark_para_20"/>
      <w:bookmarkEnd w:id="78"/>
      <w:r>
        <w:rPr>
          <w:rFonts w:ascii="arial" w:eastAsia="arial" w:hAnsi="arial" w:cs="arial"/>
          <w:b w:val="0"/>
          <w:i w:val="0"/>
          <w:strike w:val="0"/>
          <w:noProof w:val="0"/>
          <w:color w:val="000000"/>
          <w:position w:val="0"/>
          <w:sz w:val="20"/>
          <w:u w:val="none"/>
          <w:vertAlign w:val="baseline"/>
        </w:rPr>
        <w:t>DONE this 25th day of August, 2023.</w:t>
      </w:r>
    </w:p>
    <w:p>
      <w:pPr>
        <w:keepNext w:val="0"/>
        <w:spacing w:before="200" w:after="0" w:line="260" w:lineRule="atLeast"/>
        <w:ind w:left="0" w:right="0" w:firstLine="0"/>
        <w:jc w:val="both"/>
      </w:pPr>
      <w:bookmarkStart w:id="79" w:name="Bookmark_para_21"/>
      <w:bookmarkEnd w:id="79"/>
      <w:r>
        <w:rPr>
          <w:rFonts w:ascii="arial" w:eastAsia="arial" w:hAnsi="arial" w:cs="arial"/>
          <w:b w:val="0"/>
          <w:i w:val="0"/>
          <w:strike w:val="0"/>
          <w:noProof w:val="0"/>
          <w:color w:val="000000"/>
          <w:position w:val="0"/>
          <w:sz w:val="20"/>
          <w:u w:val="none"/>
          <w:vertAlign w:val="baseline"/>
        </w:rPr>
        <w:t>/s/ Stephen M. Doyle</w:t>
      </w:r>
    </w:p>
    <w:p>
      <w:pPr>
        <w:keepNext w:val="0"/>
        <w:spacing w:before="200" w:after="0" w:line="260" w:lineRule="atLeast"/>
        <w:ind w:left="0" w:right="0" w:firstLine="0"/>
        <w:jc w:val="both"/>
      </w:pPr>
      <w:bookmarkStart w:id="80" w:name="Bookmark_para_22"/>
      <w:bookmarkEnd w:id="80"/>
      <w:r>
        <w:rPr>
          <w:rFonts w:ascii="arial" w:eastAsia="arial" w:hAnsi="arial" w:cs="arial"/>
          <w:b w:val="0"/>
          <w:i w:val="0"/>
          <w:strike w:val="0"/>
          <w:noProof w:val="0"/>
          <w:color w:val="000000"/>
          <w:position w:val="0"/>
          <w:sz w:val="20"/>
          <w:u w:val="none"/>
          <w:vertAlign w:val="baseline"/>
        </w:rPr>
        <w:t>Stephen M. Doyle</w:t>
      </w:r>
    </w:p>
    <w:p>
      <w:pPr>
        <w:keepNext w:val="0"/>
        <w:spacing w:before="200" w:after="0" w:line="260" w:lineRule="atLeast"/>
        <w:ind w:left="0" w:right="0" w:firstLine="0"/>
        <w:jc w:val="both"/>
      </w:pPr>
      <w:bookmarkStart w:id="81" w:name="Bookmark_para_23"/>
      <w:bookmarkEnd w:id="81"/>
      <w:r>
        <w:rPr>
          <w:rFonts w:ascii="arial" w:eastAsia="arial" w:hAnsi="arial" w:cs="arial"/>
          <w:b w:val="0"/>
          <w:i w:val="0"/>
          <w:strike w:val="0"/>
          <w:noProof w:val="0"/>
          <w:color w:val="000000"/>
          <w:position w:val="0"/>
          <w:sz w:val="20"/>
          <w:u w:val="none"/>
          <w:vertAlign w:val="baseline"/>
        </w:rPr>
        <w:t>CHIEF U.S. MAGISTRATE JUDGE</w:t>
      </w:r>
    </w:p>
    <w:p/>
    <w:p>
      <w:pPr>
        <w:ind w:left="200"/>
      </w:pPr>
      <w:r>
        <w:br/>
      </w:r>
      <w:r>
        <w:pict>
          <v:line id="_x0000_s1028" style="position:absolute;z-index:251660288" from="0,10pt" to="512pt,10pt" strokecolor="black" strokeweight="1pt">
            <v:stroke linestyle="single"/>
          </v:line>
        </w:pict>
      </w:r>
      <w:r>
        <w:rPr>
          <w:rFonts w:ascii="arial" w:eastAsia="arial" w:hAnsi="arial" w:cs="arial"/>
          <w:b/>
          <w:color w:val="767676"/>
          <w:sz w:val="16"/>
        </w:rPr>
        <w:t>End of Document</w:t>
      </w:r>
    </w:p>
    <w:sectPr>
      <w:type w:val="continuous"/>
      <w:pgMar w:top="840" w:right="1000" w:bottom="840" w:left="1000" w:header="400" w:footer="400"/>
      <w:pgNumType w:fmt="decimal"/>
      <w:cols w:num="1" w:space="720"/>
    </w:sectPr>
  </w:body>
</w:document>
</file>

<file path=word/fontTable.xml><?xml version="1.0" encoding="utf-8"?>
<w:fonts xmlns:r="http://schemas.openxmlformats.org/officeDocument/2006/relationships" xmlns:w="http://schemas.openxmlformats.org/wordprocessingml/2006/main">
  <w:font w:name="Times New Roman">
    <w:panose1 w:val="02020603050405020304"/>
    <w:charset w:val="CC"/>
    <w:family w:val="roman"/>
    <w:pitch w:val="variable"/>
    <w:sig w:usb0="20007A87" w:usb1="80000000" w:usb2="00000008" w:usb3="00000000" w:csb0="000001FF" w:csb1="00000000"/>
  </w:font>
  <w:font w:name="Symbol">
    <w:panose1 w:val="05050102010706020507"/>
    <w:charset w:val="02"/>
    <w:family w:val="roman"/>
    <w:pitch w:val="variable"/>
    <w:sig w:usb0="00000000" w:usb1="10000000" w:usb2="00000000" w:usb3="00000000" w:csb0="80000000" w:csb1="00000000"/>
  </w:font>
  <w:font w:name="Arial">
    <w:panose1 w:val="020B0604020202020204"/>
    <w:charset w:val="CC"/>
    <w:family w:val="swiss"/>
    <w:pitch w:val="variable"/>
    <w:sig w:usb0="20007A87" w:usb1="80000000" w:usb2="00000008" w:usb3="00000000" w:csb0="000001FF" w:csb1="00000000"/>
  </w:font>
</w:fonts>
</file>

<file path=word/footer1.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2600"/>
      <w:gridCol w:w="4880"/>
      <w:gridCol w:w="260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2600" w:type="dxa"/>
          <w:tcMar>
            <w:top w:w="200" w:type="dxa"/>
          </w:tcMar>
          <w:vAlign w:val="center"/>
        </w:tcPr>
        <w:p/>
      </w:tc>
      <w:tc>
        <w:tcPr>
          <w:tcW w:w="4880" w:type="dxa"/>
          <w:tcMar>
            <w:top w:w="200" w:type="dxa"/>
          </w:tcMar>
          <w:vAlign w:val="center"/>
        </w:tcPr>
        <w:p/>
      </w:tc>
      <w:tc>
        <w:tcPr>
          <w:tcW w:w="2600" w:type="dxa"/>
          <w:tcMar>
            <w:top w:w="200" w:type="dxa"/>
          </w:tcMar>
          <w:vAlign w:val="center"/>
        </w:tcPr>
        <w:p/>
      </w:tc>
    </w:tr>
  </w:tbl>
</w:ftr>
</file>

<file path=word/footer2.xml><?xml version="1.0" encoding="utf-8"?>
<w:ft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p>
    <w:pPr>
      <w:spacing w:before="200"/>
      <w:jc w:val="center"/>
    </w:pPr>
  </w:p>
</w:ftr>
</file>

<file path=word/footnotes.xml><?xml version="1.0" encoding="utf-8"?>
<w:footnotes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footnote w:type="separator" w:id="0">
    <w:p>
      <w:pPr>
        <w:spacing w:after="0" w:line="240" w:lineRule="auto"/>
      </w:pPr>
      <w:r>
        <w:separator/>
      </w:r>
    </w:p>
  </w:footnote>
  <w:footnote w:type="continuationSeparator" w:id="1">
    <w:p>
      <w:pPr>
        <w:spacing w:after="0" w:line="240" w:lineRule="auto"/>
      </w:pPr>
      <w:r>
        <w:continuationSeparator/>
      </w:r>
    </w:p>
  </w:footnote>
  <w:footnote w:id="2">
    <w:p>
      <w:pPr>
        <w:keepNext w:val="0"/>
        <w:spacing w:before="24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1 </w:t>
      </w:r>
      <w:bookmarkStart w:id="9" w:name="Bookmark_fnpara_1"/>
      <w:bookmarkEnd w:id="9"/>
      <w:bookmarkStart w:id="10" w:name="Bookmark_I696VBH328T4C30020000400"/>
      <w:bookmarkEnd w:id="10"/>
      <w:r>
        <w:rPr>
          <w:rFonts w:ascii="arial" w:eastAsia="arial" w:hAnsi="arial" w:cs="arial"/>
          <w:b w:val="0"/>
          <w:i w:val="0"/>
          <w:strike w:val="0"/>
          <w:noProof w:val="0"/>
          <w:color w:val="000000"/>
          <w:position w:val="0"/>
          <w:sz w:val="18"/>
          <w:u w:val="none"/>
          <w:vertAlign w:val="baseline"/>
        </w:rPr>
        <w:t xml:space="preserve">The court reaches findings of fact at a suppression hearing based on a preponderance of the evidence. </w:t>
      </w:r>
      <w:bookmarkStart w:id="11" w:name="Bookmark_I696VBH328T4C30010000400"/>
      <w:bookmarkEnd w:id="11"/>
      <w:hyperlink r:id="rId1" w:history="1">
        <w:r>
          <w:rPr>
            <w:rFonts w:ascii="arial" w:eastAsia="arial" w:hAnsi="arial" w:cs="arial"/>
            <w:b w:val="0"/>
            <w:i/>
            <w:strike w:val="0"/>
            <w:noProof w:val="0"/>
            <w:color w:val="0077CC"/>
            <w:position w:val="0"/>
            <w:sz w:val="18"/>
            <w:u w:val="single"/>
            <w:vertAlign w:val="baseline"/>
          </w:rPr>
          <w:t>United States v. Beechum</w:t>
        </w:r>
      </w:hyperlink>
      <w:hyperlink r:id="rId1" w:history="1">
        <w:r>
          <w:rPr>
            <w:rFonts w:ascii="arial" w:eastAsia="arial" w:hAnsi="arial" w:cs="arial"/>
            <w:b w:val="0"/>
            <w:i/>
            <w:strike w:val="0"/>
            <w:noProof w:val="0"/>
            <w:color w:val="0077CC"/>
            <w:position w:val="0"/>
            <w:sz w:val="18"/>
            <w:u w:val="single"/>
            <w:vertAlign w:val="baseline"/>
          </w:rPr>
          <w:t>, 582 F.2d 898, 913 n.16 (5th Cir. 1978)</w:t>
        </w:r>
      </w:hyperlink>
      <w:r>
        <w:rPr>
          <w:rFonts w:ascii="arial" w:eastAsia="arial" w:hAnsi="arial" w:cs="arial"/>
          <w:b w:val="0"/>
          <w:i w:val="0"/>
          <w:strike w:val="0"/>
          <w:noProof w:val="0"/>
          <w:color w:val="000000"/>
          <w:position w:val="0"/>
          <w:sz w:val="18"/>
          <w:u w:val="none"/>
          <w:vertAlign w:val="baseline"/>
        </w:rPr>
        <w:t xml:space="preserve"> (citing </w:t>
      </w:r>
      <w:bookmarkStart w:id="12" w:name="Bookmark_I696VBH328T4C30030000400"/>
      <w:bookmarkEnd w:id="12"/>
      <w:hyperlink r:id="rId2" w:history="1">
        <w:r>
          <w:rPr>
            <w:rFonts w:ascii="arial" w:eastAsia="arial" w:hAnsi="arial" w:cs="arial"/>
            <w:b w:val="0"/>
            <w:i/>
            <w:strike w:val="0"/>
            <w:noProof w:val="0"/>
            <w:color w:val="0077CC"/>
            <w:position w:val="0"/>
            <w:sz w:val="18"/>
            <w:u w:val="single"/>
            <w:vertAlign w:val="baseline"/>
          </w:rPr>
          <w:t>Lego v. Twomey</w:t>
        </w:r>
      </w:hyperlink>
      <w:hyperlink r:id="rId2" w:history="1">
        <w:r>
          <w:rPr>
            <w:rFonts w:ascii="arial" w:eastAsia="arial" w:hAnsi="arial" w:cs="arial"/>
            <w:b w:val="0"/>
            <w:i/>
            <w:strike w:val="0"/>
            <w:noProof w:val="0"/>
            <w:color w:val="0077CC"/>
            <w:position w:val="0"/>
            <w:sz w:val="18"/>
            <w:u w:val="single"/>
            <w:vertAlign w:val="baseline"/>
          </w:rPr>
          <w:t>, 404 U.S. 477, 489, 92 S. Ct. 619, 30 L. Ed. 2d 618 (1972)</w:t>
        </w:r>
      </w:hyperlink>
      <w:r>
        <w:rPr>
          <w:rFonts w:ascii="arial" w:eastAsia="arial" w:hAnsi="arial" w:cs="arial"/>
          <w:b w:val="0"/>
          <w:i w:val="0"/>
          <w:strike w:val="0"/>
          <w:noProof w:val="0"/>
          <w:color w:val="000000"/>
          <w:position w:val="0"/>
          <w:sz w:val="18"/>
          <w:u w:val="none"/>
          <w:vertAlign w:val="baseline"/>
        </w:rPr>
        <w:t>).</w:t>
      </w:r>
    </w:p>
  </w:footnote>
  <w:footnote w:id="3">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2 </w:t>
      </w:r>
      <w:bookmarkStart w:id="17" w:name="Bookmark_fnpara_2"/>
      <w:bookmarkEnd w:id="17"/>
      <w:r>
        <w:rPr>
          <w:rFonts w:ascii="arial" w:eastAsia="arial" w:hAnsi="arial" w:cs="arial"/>
          <w:b w:val="0"/>
          <w:i w:val="0"/>
          <w:strike w:val="0"/>
          <w:noProof w:val="0"/>
          <w:color w:val="000000"/>
          <w:position w:val="0"/>
          <w:sz w:val="18"/>
          <w:u w:val="none"/>
          <w:vertAlign w:val="baseline"/>
        </w:rPr>
        <w:t>The papers were sent to a DEA lab in Florida for analysis. Tr. 14. Presently, there are no results. Tr. 14.</w:t>
      </w:r>
    </w:p>
  </w:footnote>
  <w:footnote w:id="4">
    <w:p>
      <w:pPr>
        <w:keepNext w:val="0"/>
        <w:spacing w:before="120" w:after="0" w:line="240" w:lineRule="atLeast"/>
        <w:ind w:left="0" w:right="0" w:firstLine="0"/>
        <w:jc w:val="both"/>
      </w:pPr>
      <w:r>
        <w:rPr>
          <w:rFonts w:ascii="arial" w:eastAsia="arial" w:hAnsi="arial" w:cs="arial"/>
          <w:b w:val="0"/>
          <w:i w:val="0"/>
          <w:strike w:val="0"/>
          <w:noProof w:val="0"/>
          <w:color w:val="000000"/>
          <w:position w:val="0"/>
          <w:sz w:val="18"/>
          <w:u w:val="none"/>
          <w:vertAlign w:val="superscript"/>
        </w:rPr>
        <w:t>3 </w:t>
      </w:r>
      <w:bookmarkStart w:id="39" w:name="Bookmark_fnpara_3"/>
      <w:bookmarkEnd w:id="39"/>
      <w:r>
        <w:rPr>
          <w:rFonts w:ascii="arial" w:eastAsia="arial" w:hAnsi="arial" w:cs="arial"/>
          <w:b w:val="0"/>
          <w:i w:val="0"/>
          <w:strike w:val="0"/>
          <w:noProof w:val="0"/>
          <w:color w:val="000000"/>
          <w:position w:val="0"/>
          <w:sz w:val="18"/>
          <w:u w:val="none"/>
          <w:vertAlign w:val="baseline"/>
        </w:rPr>
        <w:t>Burroughs did not testify and presented no evidence at the hearing challenging Detective Curley's testimony that he was speeding and did not signal before turning.</w:t>
      </w:r>
    </w:p>
  </w:footnote>
</w:footnotes>
</file>

<file path=word/header1.xml><?xml version="1.0" encoding="utf-8"?>
<w:hdr xmlns:ve="http://schemas.openxmlformats.org/markup-compatibility/2006" xmlns:o="urn:schemas-microsoft-com:office:office" xmlns:r="http://schemas.openxmlformats.org/officeDocument/2006/relationships" xmlns:m="http://schemas.openxmlformats.org/officeDocument/2006/math" xmlns:v="urn:schemas-microsoft-com:vml" xmlns:wp="http://schemas.openxmlformats.org/drawingml/2006/wordprocessingDrawing" xmlns:w10="urn:schemas-microsoft-com:office:word" xmlns:w="http://schemas.openxmlformats.org/wordprocessingml/2006/main" xmlns:wne="http://schemas.microsoft.com/office/word/2006/wordml">
  <w:tbl>
    <w:tblPr>
      <w:tblW w:w="10080" w:type="dxa"/>
      <w:jc w:val="center"/>
      <w:tblBorders>
        <w:top w:val="nil"/>
        <w:left w:val="nil"/>
        <w:bottom w:val="nil"/>
        <w:right w:val="nil"/>
        <w:insideH w:val="nil"/>
        <w:insideV w:val="nil"/>
      </w:tblBorders>
      <w:tblLayout w:type="fixed"/>
      <w:tblCellMar>
        <w:left w:w="108" w:type="dxa"/>
        <w:right w:w="108" w:type="dxa"/>
      </w:tblCellMar>
    </w:tblPr>
    <w:tblGrid>
      <w:gridCol w:w="10080"/>
    </w:tblGrid>
    <w:tr>
      <w:tblPrEx>
        <w:tblW w:w="10080" w:type="dxa"/>
        <w:jc w:val="center"/>
        <w:tblBorders>
          <w:top w:val="nil"/>
          <w:left w:val="nil"/>
          <w:bottom w:val="nil"/>
          <w:right w:val="nil"/>
          <w:insideH w:val="nil"/>
          <w:insideV w:val="nil"/>
        </w:tblBorders>
        <w:tblLayout w:type="fixed"/>
        <w:tblCellMar>
          <w:left w:w="108" w:type="dxa"/>
          <w:right w:w="108" w:type="dxa"/>
        </w:tblCellMar>
      </w:tblPrEx>
      <w:trPr>
        <w:jc w:val="center"/>
      </w:trPr>
      <w:tc>
        <w:tcPr>
          <w:tcW w:w="10080" w:type="dxa"/>
          <w:vAlign w:val="center"/>
        </w:tcPr>
        <w:p>
          <w:pPr>
            <w:jc w:val="right"/>
          </w:pPr>
          <w:r>
            <w:rPr>
              <w:rFonts w:ascii="arial" w:eastAsia="arial" w:hAnsi="arial" w:cs="arial"/>
              <w:sz w:val="20"/>
            </w:rPr>
            <w:t xml:space="preserve">Page </w:t>
          </w:r>
          <w:r>
            <w:rPr>
              <w:rFonts w:ascii="arial" w:eastAsia="arial" w:hAnsi="arial" w:cs="arial"/>
              <w:sz w:val="20"/>
            </w:rPr>
            <w:fldChar w:fldCharType="begin"/>
          </w:r>
          <w:r>
            <w:rPr>
              <w:rFonts w:ascii="arial" w:eastAsia="arial" w:hAnsi="arial" w:cs="arial"/>
              <w:sz w:val="20"/>
            </w:rPr>
            <w:instrText xml:space="preserve"> PAGE </w:instrText>
          </w:r>
          <w:r>
            <w:rPr>
              <w:rFonts w:ascii="arial" w:eastAsia="arial" w:hAnsi="arial" w:cs="arial"/>
              <w:sz w:val="20"/>
            </w:rPr>
            <w:fldChar w:fldCharType="separate"/>
          </w:r>
          <w:r>
            <w:rPr>
              <w:rFonts w:ascii="arial" w:eastAsia="arial" w:hAnsi="arial" w:cs="arial"/>
              <w:sz w:val="20"/>
            </w:rPr>
            <w:fldChar w:fldCharType="end"/>
          </w:r>
          <w:r>
            <w:rPr>
              <w:rFonts w:ascii="arial" w:eastAsia="arial" w:hAnsi="arial" w:cs="arial"/>
              <w:sz w:val="20"/>
            </w:rPr>
            <w:t xml:space="preserve"> of </w:t>
          </w:r>
          <w:r>
            <w:rPr>
              <w:rFonts w:ascii="arial" w:eastAsia="arial" w:hAnsi="arial" w:cs="arial"/>
              <w:sz w:val="20"/>
            </w:rPr>
            <w:fldChar w:fldCharType="begin"/>
          </w:r>
          <w:r>
            <w:rPr>
              <w:rFonts w:ascii="arial" w:eastAsia="arial" w:hAnsi="arial" w:cs="arial"/>
              <w:sz w:val="20"/>
            </w:rPr>
            <w:instrText xml:space="preserve"> NUMPAGES </w:instrText>
          </w:r>
          <w:r>
            <w:rPr>
              <w:rFonts w:ascii="arial" w:eastAsia="arial" w:hAnsi="arial" w:cs="arial"/>
              <w:sz w:val="20"/>
            </w:rPr>
            <w:fldChar w:fldCharType="separate"/>
          </w:r>
          <w:r>
            <w:rPr>
              <w:rFonts w:ascii="arial" w:eastAsia="arial" w:hAnsi="arial" w:cs="arial"/>
              <w:sz w:val="20"/>
            </w:rPr>
            <w:fldChar w:fldCharType="end"/>
          </w:r>
        </w:p>
      </w:tc>
    </w:tr>
    <w:tr>
      <w:tblPrEx>
        <w:tblW w:w="10080" w:type="dxa"/>
        <w:jc w:val="center"/>
        <w:tblLayout w:type="fixed"/>
        <w:tblCellMar>
          <w:left w:w="108" w:type="dxa"/>
          <w:right w:w="108" w:type="dxa"/>
        </w:tblCellMar>
      </w:tblPrEx>
      <w:trPr>
        <w:jc w:val="center"/>
      </w:trPr>
      <w:tc>
        <w:tcPr>
          <w:tcW w:w="10080" w:type="dxa"/>
        </w:tcPr>
        <w:p>
          <w:pPr>
            <w:spacing w:before="60" w:after="200"/>
            <w:jc w:val="center"/>
          </w:pPr>
          <w:r>
            <w:rPr>
              <w:rFonts w:ascii="arial" w:eastAsia="arial" w:hAnsi="arial" w:cs="arial"/>
              <w:sz w:val="20"/>
            </w:rPr>
            <w:t>United States v. Burroughs, 2023 U.S. Dist. LEXIS 162358</w:t>
          </w:r>
        </w:p>
      </w:tc>
    </w:tr>
  </w:tbl>
</w:hdr>
</file>

<file path=word/settings.xml><?xml version="1.0" encoding="utf-8"?>
<w:settings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sl="http://schemas.openxmlformats.org/schemaLibrary/2006/main">
  <w:zoom w:percent="100"/>
  <w:proofState w:grammar="clean"/>
  <w:stylePaneFormatFilter w:val="3F01"/>
  <w:defaultTabStop w:val="720"/>
  <w:noPunctuationKerning/>
  <w:characterSpacingControl w:val="doNotCompress"/>
  <w:footnotePr>
    <w:footnote w:id="0"/>
    <w:footnote w:id="1"/>
  </w:footnotePr>
  <w:compat>
    <w:useWord2002TableStyleRules/>
    <w:growAutofit/>
    <w:useNormalStyleForList/>
    <w:doNotUseIndentAsNumberingTabStop/>
    <w:useAltKinsokuLineBreakRules/>
    <w:allowSpaceOfSameStyleInTable/>
    <w:doNotSuppressIndentation/>
    <w:doNotAutofitConstrainedTables/>
    <w:autofitToFirstFixedWidthCell/>
    <w:displayHangulFixedWidth/>
    <w:splitPgBreakAndParaMark/>
    <w:doNotVertAlignCellWithSp/>
    <w:doNotBreakConstrainedForcedTable/>
    <w:doNotVertAlignInTxbx/>
    <w:useAnsiKerningPairs/>
    <w:cachedColBalance/>
  </w:compat>
  <w:rsids>
    <w:rsidRoot w:val="00A77B3E"/>
    <w:rsid w:val="00A77B3E"/>
    <w:rsid w:val="00CA2A55"/>
  </w:rsids>
  <w:clrSchemeMapping w:bg1="light1" w:t1="dark1" w:bg2="light2" w:t2="dark2" w:accent1="accent1" w:accent2="accent2" w:accent3="accent3" w:accent4="accent4" w:accent5="accent5" w:accent6="accent6" w:hyperlink="hyperlink" w:followedHyperlink="followedHyperlink"/>
  <w:doNotIncludeSubdocsInStats/>
</w:settings>
</file>

<file path=word/styles.xml><?xml version="1.0" encoding="utf-8"?>
<w:styles xmlns:r="http://schemas.openxmlformats.org/officeDocument/2006/relationships" xmlns:w="http://schemas.openxmlformats.org/wordprocessingml/2006/main">
  <w:docDefaults>
    <w:rPrDefault>
      <w:rPr>
        <w:rFonts w:ascii="Times New Roman" w:eastAsia="Times New Roman" w:hAnsi="Times New Roman" w:cs="Times New Roman"/>
        <w:lang w:val="en-US" w:eastAsia="en-US" w:bidi="ar-SA"/>
      </w:rPr>
    </w:rPrDefault>
    <w:pPrDefault/>
  </w:docDefaults>
  <w:latentStyles w:defLockedState="0" w:defUIPriority="0" w:defSemiHidden="0" w:defUnhideWhenUsed="0" w:defQFormat="0" w:count="267">
    <w:lsdException w:name="Normal" w:qFormat="1"/>
    <w:lsdException w:name="heading 1" w:qFormat="1"/>
    <w:lsdException w:name="heading 2" w:semiHidden="1" w:unhideWhenUsed="1" w:qFormat="1"/>
    <w:lsdException w:name="heading 3" w:semiHidden="1" w:unhideWhenUsed="1" w:qFormat="1"/>
    <w:lsdException w:name="heading 4" w:semiHidden="1" w:unhideWhenUsed="1" w:qFormat="1"/>
    <w:lsdException w:name="heading 5" w:semiHidden="1" w:unhideWhenUsed="1" w:qFormat="1"/>
    <w:lsdException w:name="heading 6" w:semiHidden="1" w:unhideWhenUsed="1" w:qFormat="1"/>
    <w:lsdException w:name="heading 7" w:semiHidden="1" w:unhideWhenUsed="1" w:qFormat="1"/>
    <w:lsdException w:name="heading 8" w:semiHidden="1" w:unhideWhenUsed="1" w:qFormat="1"/>
    <w:lsdException w:name="heading 9" w:semiHidden="1" w:unhideWhenUsed="1" w:qFormat="1"/>
    <w:lsdException w:name="caption" w:semiHidden="1" w:unhideWhenUsed="1" w:qFormat="1"/>
    <w:lsdException w:name="Title" w:qFormat="1"/>
    <w:lsdException w:name="Subtitle" w:qFormat="1"/>
    <w:lsdException w:name="Strong" w:qFormat="1"/>
    <w:lsdException w:name="Emphasis" w:qFormat="1"/>
    <w:lsdException w:name="Placeholder Text" w:semiHidden="1" w:uiPriority="99"/>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uiPriority="99"/>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atentStyles>
  <w:style w:type="paragraph" w:default="1" w:styleId="Normal">
    <w:name w:val="Normal"/>
    <w:qFormat/>
    <w:rPr>
      <w:sz w:val="24"/>
      <w:szCs w:val="24"/>
    </w:rPr>
  </w:style>
  <w:style w:type="paragraph" w:styleId="Heading1">
    <w:name w:val="heading 1"/>
    <w:basedOn w:val="Normal"/>
    <w:next w:val="Normal"/>
    <w:qFormat/>
    <w:rsid w:val="00EF7B96"/>
    <w:pPr>
      <w:keepNext/>
      <w:spacing w:before="240" w:after="60"/>
      <w:outlineLvl w:val="0"/>
    </w:pPr>
    <w:rPr>
      <w:rFonts w:ascii="Arial" w:hAnsi="Arial" w:cs="Arial"/>
      <w:b/>
      <w:bCs/>
      <w:kern w:val="32"/>
      <w:sz w:val="32"/>
      <w:szCs w:val="32"/>
    </w:rPr>
  </w:style>
  <w:style w:type="character" w:default="1" w:styleId="DefaultParagraphFont">
    <w:name w:val="Default Paragraph Font"/>
    <w:semiHidden/>
  </w:style>
  <w:style w:type="table" w:default="1" w:styleId="TableNormal">
    <w:name w:val="Normal Table"/>
    <w:semiHidden/>
    <w:tblPr>
      <w:tblInd w:w="0" w:type="dxa"/>
      <w:tblCellMar>
        <w:top w:w="0" w:type="dxa"/>
        <w:left w:w="108" w:type="dxa"/>
        <w:bottom w:w="0" w:type="dxa"/>
        <w:right w:w="108" w:type="dxa"/>
      </w:tblCellMar>
    </w:tblPr>
  </w:style>
  <w:style w:type="numbering" w:default="1" w:styleId="NoList">
    <w:name w:val="No List"/>
    <w:semiHidden/>
  </w:style>
</w:styles>
</file>

<file path=word/webSettings.xml><?xml version="1.0" encoding="utf-8"?>
<w:webSettings xmlns:r="http://schemas.openxmlformats.org/officeDocument/2006/relationships" xmlns:w="http://schemas.openxmlformats.org/wordprocessingml/2006/main"/>
</file>

<file path=word/_rels/document.xml.rels><?xml version="1.0" encoding="utf-8" standalone="yes"?><Relationships xmlns="http://schemas.openxmlformats.org/package/2006/relationships"><Relationship Id="rId1" Type="http://schemas.openxmlformats.org/officeDocument/2006/relationships/footnotes" Target="footnotes.xml" /><Relationship Id="rId10" Type="http://schemas.openxmlformats.org/officeDocument/2006/relationships/hyperlink" Target="https://advance.lexis.com/api/document?collection=cases&amp;id=urn:contentItem:695B-13N1-JF75-M1YX-00000-00&amp;context=1519360" TargetMode="External" /><Relationship Id="rId11" Type="http://schemas.openxmlformats.org/officeDocument/2006/relationships/hyperlink" Target="https://advance.lexis.com/api/document?collection=cases&amp;id=urn:contentItem:695Y-XNG1-JG59-249D-00000-00&amp;context=1519360" TargetMode="External" /><Relationship Id="rId12" Type="http://schemas.openxmlformats.org/officeDocument/2006/relationships/hyperlink" Target="https://advance.lexis.com/api/document?collection=statutes-legislation&amp;id=urn:contentItem:8SDD-0C82-8T6X-73JF-00000-00&amp;context=1519360" TargetMode="External" /><Relationship Id="rId13" Type="http://schemas.openxmlformats.org/officeDocument/2006/relationships/hyperlink" Target="https://advance.lexis.com/api/document?collection=statutes-legislation&amp;id=urn:contentItem:8T9R-T3H2-D6RV-H37G-00000-00&amp;context=1519360" TargetMode="External" /><Relationship Id="rId14" Type="http://schemas.openxmlformats.org/officeDocument/2006/relationships/hyperlink" Target="https://advance.lexis.com/api/document?collection=cases&amp;id=urn:contentItem:3S4W-YTJ0-003B-G19M-00000-00&amp;context=1519360" TargetMode="External" /><Relationship Id="rId15" Type="http://schemas.openxmlformats.org/officeDocument/2006/relationships/hyperlink" Target="https://advance.lexis.com/api/document?collection=cases&amp;id=urn:contentItem:5976-XR61-F04K-X026-00000-00&amp;context=1519360" TargetMode="External" /><Relationship Id="rId16" Type="http://schemas.openxmlformats.org/officeDocument/2006/relationships/hyperlink" Target="https://advance.lexis.com/api/document?collection=cases&amp;id=urn:contentItem:422F-8200-0038-X3M8-00000-00&amp;context=1519360" TargetMode="External" /><Relationship Id="rId17" Type="http://schemas.openxmlformats.org/officeDocument/2006/relationships/hyperlink" Target="https://advance.lexis.com/api/document?collection=cases&amp;id=urn:contentItem:3S4X-8CY0-003B-S2GM-00000-00&amp;context=1519360" TargetMode="External" /><Relationship Id="rId18" Type="http://schemas.openxmlformats.org/officeDocument/2006/relationships/hyperlink" Target="https://advance.lexis.com/api/document?collection=cases&amp;id=urn:contentItem:49C5-7JC0-0038-X094-00000-00&amp;context=1519360" TargetMode="External" /><Relationship Id="rId19" Type="http://schemas.openxmlformats.org/officeDocument/2006/relationships/hyperlink" Target="https://advance.lexis.com/api/document?collection=statutes-legislation&amp;id=urn:contentItem:5CCY-J4B1-6RDJ-740D-00000-00&amp;context=1519360" TargetMode="External" /><Relationship Id="rId2" Type="http://schemas.openxmlformats.org/officeDocument/2006/relationships/settings" Target="settings.xml" /><Relationship Id="rId20" Type="http://schemas.openxmlformats.org/officeDocument/2006/relationships/hyperlink" Target="https://advance.lexis.com/api/document?collection=cases&amp;id=urn:contentItem:59F0-WB21-F04K-X0GC-00000-00&amp;context=1519360" TargetMode="External" /><Relationship Id="rId21" Type="http://schemas.openxmlformats.org/officeDocument/2006/relationships/hyperlink" Target="https://advance.lexis.com/api/document?collection=cases&amp;id=urn:contentItem:4PBF-D470-TXFX-G2Y7-00000-00&amp;context=1519360" TargetMode="External" /><Relationship Id="rId22" Type="http://schemas.openxmlformats.org/officeDocument/2006/relationships/hyperlink" Target="https://advance.lexis.com/api/document?collection=cases&amp;id=urn:contentItem:3RHB-XFY0-003B-R05V-00000-00&amp;context=1519360" TargetMode="External" /><Relationship Id="rId23" Type="http://schemas.openxmlformats.org/officeDocument/2006/relationships/hyperlink" Target="https://advance.lexis.com/api/document?collection=cases&amp;id=urn:contentItem:3S4X-4SG0-003B-S40P-00000-00&amp;context=1519360" TargetMode="External" /><Relationship Id="rId24" Type="http://schemas.openxmlformats.org/officeDocument/2006/relationships/hyperlink" Target="https://advance.lexis.com/api/document?collection=cases&amp;id=urn:contentItem:3S4X-CFY0-003B-S507-00000-00&amp;context=1519360" TargetMode="External" /><Relationship Id="rId25" Type="http://schemas.openxmlformats.org/officeDocument/2006/relationships/hyperlink" Target="https://advance.lexis.com/api/document?collection=cases&amp;id=urn:contentItem:3S4X-8VK0-003B-S243-00000-00&amp;context=1519360" TargetMode="External" /><Relationship Id="rId26" Type="http://schemas.openxmlformats.org/officeDocument/2006/relationships/hyperlink" Target="https://advance.lexis.com/api/document?collection=cases&amp;id=urn:contentItem:4GR9-HKS0-0038-X0MF-00000-00&amp;context=1519360" TargetMode="External" /><Relationship Id="rId27" Type="http://schemas.openxmlformats.org/officeDocument/2006/relationships/hyperlink" Target="https://advance.lexis.com/api/document?collection=cases&amp;id=urn:contentItem:3S65-KSG0-003B-R12M-00000-00&amp;context=1519360" TargetMode="External" /><Relationship Id="rId28" Type="http://schemas.openxmlformats.org/officeDocument/2006/relationships/hyperlink" Target="https://advance.lexis.com/api/document?collection=cases&amp;id=urn:contentItem:47BF-T9J0-0038-X082-00000-00&amp;context=1519360" TargetMode="External" /><Relationship Id="rId29" Type="http://schemas.openxmlformats.org/officeDocument/2006/relationships/hyperlink" Target="https://advance.lexis.com/api/document?collection=cases&amp;id=urn:contentItem:3S4X-4V60-003B-S44S-00000-00&amp;context=1519360" TargetMode="External" /><Relationship Id="rId3" Type="http://schemas.openxmlformats.org/officeDocument/2006/relationships/webSettings" Target="webSettings.xml" /><Relationship Id="rId30" Type="http://schemas.openxmlformats.org/officeDocument/2006/relationships/hyperlink" Target="https://advance.lexis.com/api/document?collection=cases&amp;id=urn:contentItem:5T3R-TRH1-JG59-23H0-00000-00&amp;context=1519360" TargetMode="External" /><Relationship Id="rId31" Type="http://schemas.openxmlformats.org/officeDocument/2006/relationships/hyperlink" Target="https://advance.lexis.com/api/document?collection=cases&amp;id=urn:contentItem:3S4X-G2G0-008H-V2G3-00000-00&amp;context=1519360" TargetMode="External" /><Relationship Id="rId32" Type="http://schemas.openxmlformats.org/officeDocument/2006/relationships/hyperlink" Target="https://advance.lexis.com/api/document?collection=cases&amp;id=urn:contentItem:3S4X-38R0-003B-S2VS-00000-00&amp;context=1519360" TargetMode="External" /><Relationship Id="rId33" Type="http://schemas.openxmlformats.org/officeDocument/2006/relationships/hyperlink" Target="https://advance.lexis.com/api/document?collection=statutes-legislation&amp;id=urn:contentItem:8SG9-5HW2-D6RV-H0BK-00000-00&amp;context=1519360" TargetMode="External" /><Relationship Id="rId34" Type="http://schemas.openxmlformats.org/officeDocument/2006/relationships/hyperlink" Target="https://advance.lexis.com/api/document?collection=cases&amp;id=urn:contentItem:3S4X-33H0-003B-G37Y-00000-00&amp;context=1519360" TargetMode="External" /><Relationship Id="rId35" Type="http://schemas.openxmlformats.org/officeDocument/2006/relationships/hyperlink" Target="https://advance.lexis.com/api/document?collection=statutes-legislation&amp;id=urn:contentItem:5GYY-HS51-FG36-11F0-00000-00&amp;context=1519360" TargetMode="External" /><Relationship Id="rId36" Type="http://schemas.openxmlformats.org/officeDocument/2006/relationships/hyperlink" Target="https://advance.lexis.com/api/document?collection=cases&amp;id=urn:contentItem:3S4X-40M0-003B-G267-00000-00&amp;context=1519360" TargetMode="External" /><Relationship Id="rId37" Type="http://schemas.openxmlformats.org/officeDocument/2006/relationships/hyperlink" Target="https://advance.lexis.com/api/document?collection=cases&amp;id=urn:contentItem:3S4W-Y7N0-0039-W22N-00000-00&amp;context=1519360" TargetMode="External" /><Relationship Id="rId38" Type="http://schemas.openxmlformats.org/officeDocument/2006/relationships/theme" Target="theme/theme1.xml" /><Relationship Id="rId39" Type="http://schemas.openxmlformats.org/officeDocument/2006/relationships/styles" Target="styles.xml" /><Relationship Id="rId4" Type="http://schemas.openxmlformats.org/officeDocument/2006/relationships/fontTable" Target="fontTable.xml" /><Relationship Id="rId5" Type="http://schemas.openxmlformats.org/officeDocument/2006/relationships/header" Target="header1.xml" /><Relationship Id="rId6" Type="http://schemas.openxmlformats.org/officeDocument/2006/relationships/footer" Target="footer1.xml" /><Relationship Id="rId7" Type="http://schemas.openxmlformats.org/officeDocument/2006/relationships/footer" Target="footer2.xml" /><Relationship Id="rId8" Type="http://schemas.openxmlformats.org/officeDocument/2006/relationships/image" Target="media/image1.png" /><Relationship Id="rId9" Type="http://schemas.openxmlformats.org/officeDocument/2006/relationships/hyperlink" Target="https://advance.lexis.com/api/document?collection=cases&amp;id=urn:contentItem:695J-7CJ1-JXNB-61PB-00000-00&amp;context=1519360" TargetMode="External" /></Relationships>
</file>

<file path=word/_rels/footnotes.xml.rels><?xml version="1.0" encoding="utf-8" standalone="yes"?><Relationships xmlns="http://schemas.openxmlformats.org/package/2006/relationships"><Relationship Id="rId1" Type="http://schemas.openxmlformats.org/officeDocument/2006/relationships/hyperlink" Target="https://advance.lexis.com/api/document?collection=cases&amp;id=urn:contentItem:3S4W-X7Y0-0039-M2WH-00000-00&amp;context=1519360" TargetMode="External" /><Relationship Id="rId2" Type="http://schemas.openxmlformats.org/officeDocument/2006/relationships/hyperlink" Target="https://advance.lexis.com/api/document?collection=cases&amp;id=urn:contentItem:3S4X-DB80-003B-S53X-00000-00&amp;context=1519360" TargetMode="External" /></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mbria"/>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majorFont>
      <a:minorFont>
        <a:latin typeface="Calibri"/>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docProps/app.xml><?xml version="1.0" encoding="utf-8"?>
<Properties xmlns="http://schemas.openxmlformats.org/officeDocument/2006/extended-properties" xmlns:vt="http://schemas.openxmlformats.org/officeDocument/2006/docPropsVTypes">
  <Template>Normal.dot</Template>
  <TotalTime>0</TotalTime>
  <Pages>1</Pages>
  <Words>0</Words>
  <Characters>0</Characters>
  <Application>Microsoft Office Word</Application>
  <DocSecurity>0</DocSecurity>
  <Lines>1</Lines>
  <Paragraphs>1</Paragraphs>
  <ScaleCrop>false</ScaleCrop>
  <HeadingPairs>
    <vt:vector size="2" baseType="variant">
      <vt:variant>
        <vt:lpstr>Title</vt:lpstr>
      </vt:variant>
      <vt:variant>
        <vt:i4>1</vt:i4>
      </vt:variant>
    </vt:vector>
  </HeadingPairs>
  <TitlesOfParts>
    <vt:vector size="1" baseType="lpstr">
      <vt:lpstr/>
    </vt:vector>
  </TitlesOfParts>
  <Company/>
  <LinksUpToDate>false</LinksUpToDate>
  <CharactersWithSpaces>0</CharactersWithSpaces>
  <SharedDoc>false</SharedDoc>
  <HyperlinksChanged>false</HyperlinksChanged>
  <AppVersion>12.0000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United States v. Burroughs, 2023 U.S. Dist. LEXIS 162358</dc:title>
  <cp:revision>1</cp:revision>
</cp:coreProperties>
</file>

<file path=docProps/custom.xml><?xml version="1.0" encoding="utf-8"?>
<Properties xmlns="http://schemas.openxmlformats.org/officeDocument/2006/custom-properties" xmlns:vt="http://schemas.openxmlformats.org/officeDocument/2006/docPropsVTypes">
  <property fmtid="{D5CDD505-2E9C-101B-9397-08002B2CF9AE}" pid="2" name="LADeliveryID">
    <vt:lpwstr>11</vt:lpwstr>
  </property>
  <property fmtid="{D5CDD505-2E9C-101B-9397-08002B2CF9AE}" pid="3" name="LADocCount">
    <vt:lpwstr>1</vt:lpwstr>
  </property>
  <property fmtid="{D5CDD505-2E9C-101B-9397-08002B2CF9AE}" pid="4" name="LADocumentID:11">
    <vt:lpwstr>Doc::urn:hlct:5|contextualFeaturePermID::1519360</vt:lpwstr>
  </property>
  <property fmtid="{D5CDD505-2E9C-101B-9397-08002B2CF9AE}" pid="5" name="UserPermID">
    <vt:lpwstr>urn:user:PA186186283</vt:lpwstr>
  </property>
</Properties>
</file>