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Cantu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22-40512 Summary Calendar</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17069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4363116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OZIEL CANTU,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7:20-CR-1414-1.</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Guidelines, enhancement, district court, cross-reference, cocaine, undercover agent, resentencing, conspiracy, kilograms, two-level, downward, commit, drugs, controlled substance, procedural error, sentencing range, public official, court erred, plain error, aggravating-role, facilitating, imprisonment, calculated, entrapment, accepting, departure, importing, preserved, advisory</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Proportionality &amp; Reasonableness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Post- United States v. Booker, the U.S. Sentencing Guidelines are advisory only, the district court must avoid significant procedural error, such as improperly calculating the Guidelines sentencing range. If no such procedural error exists, a properly preserved objection to an ultimate sentence is reviewed for substantive reasonableness under an abuse-of-discretion standard. In that respect, for issues preserved in district court, its application of the U.S. Sentencing Guidelines is reviewed de novo; its factual findings, only for clear error.</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Extortion &gt; Penalties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Use of Minor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U.S. Sentencing Guidelines Manual § 2C1.1(c)(1)</w:t>
        </w:r>
      </w:hyperlink>
      <w:r>
        <w:rPr>
          <w:rFonts w:ascii="arial" w:eastAsia="arial" w:hAnsi="arial" w:cs="arial"/>
          <w:b w:val="0"/>
          <w:i w:val="0"/>
          <w:strike w:val="0"/>
          <w:noProof w:val="0"/>
          <w:color w:val="000000"/>
          <w:position w:val="0"/>
          <w:sz w:val="20"/>
          <w:u w:val="none"/>
          <w:vertAlign w:val="baseline"/>
        </w:rPr>
        <w:t xml:space="preserve"> cross-reference applies if the offense was committed for the purpose of facilitating the commission of another criminal offense. In that case, the offense guideline applicable to a conspiracy to commit the other offense applies. </w:t>
      </w:r>
      <w:hyperlink r:id="rId13" w:history="1">
        <w:r>
          <w:rPr>
            <w:rFonts w:ascii="arial" w:eastAsia="arial" w:hAnsi="arial" w:cs="arial"/>
            <w:b w:val="0"/>
            <w:i/>
            <w:strike w:val="0"/>
            <w:noProof w:val="0"/>
            <w:color w:val="0077CC"/>
            <w:position w:val="0"/>
            <w:sz w:val="20"/>
            <w:u w:val="single"/>
            <w:vertAlign w:val="baseline"/>
          </w:rPr>
          <w:t>U.S. Sentencing Guidelines Manual § 2C1.1(c)(1)</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Penalties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Sentence for a drug conspiracy may be based on a quantity of fake drugs.</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Offenses, Lesser Included Offenses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Regarding a defendant's downward-variance claim, assuming, a defendant must establish that he was persuaded to commit a greater offense than he otherwise was predisposed to commit or that the conduct of law-enforcement officials was overbearing or outrageous.</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Exceptions to Failure to Object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Preservation for Review, Exceptions to Failure to Object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Where a defendant did not object on the sentencing enhancement in district court, review is only for plain error.</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Lauretta Drake Bahry,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Oziel Cantu, Defendant - Appellant: Christopher Sully, Esq., McAllen,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BARKSDALE, HIGGINSON, and HO,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1" w:name="Bookmark_para_3"/>
      <w:bookmarkEnd w:id="21"/>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 xml:space="preserve">Oziel Cantu appeals the 120-month sentence imposed following his guilty plea to accepting a bribe by a public official, in violation of </w:t>
      </w:r>
      <w:hyperlink r:id="rId17" w:history="1">
        <w:r>
          <w:rPr>
            <w:rFonts w:ascii="arial" w:eastAsia="arial" w:hAnsi="arial" w:cs="arial"/>
            <w:b w:val="0"/>
            <w:i/>
            <w:strike w:val="0"/>
            <w:noProof w:val="0"/>
            <w:color w:val="0077CC"/>
            <w:position w:val="0"/>
            <w:sz w:val="20"/>
            <w:u w:val="single"/>
            <w:vertAlign w:val="baseline"/>
          </w:rPr>
          <w:t>18 U.S.C. § 201(b)(2)(C)</w:t>
        </w:r>
      </w:hyperlink>
      <w:r>
        <w:rPr>
          <w:rFonts w:ascii="arial" w:eastAsia="arial" w:hAnsi="arial" w:cs="arial"/>
          <w:b w:val="0"/>
          <w:i w:val="0"/>
          <w:strike w:val="0"/>
          <w:noProof w:val="0"/>
          <w:color w:val="000000"/>
          <w:position w:val="0"/>
          <w:sz w:val="20"/>
          <w:u w:val="none"/>
          <w:vertAlign w:val="baseline"/>
        </w:rPr>
        <w:t xml:space="preserve">. The district court calculated Cantu's Sentencing Guidelines range to be 108 to 135-months' imprisonment. He maintains the court erred by: enhancing his sentence under </w:t>
      </w:r>
      <w:hyperlink r:id="rId13" w:history="1">
        <w:r>
          <w:rPr>
            <w:rFonts w:ascii="arial" w:eastAsia="arial" w:hAnsi="arial" w:cs="arial"/>
            <w:b w:val="0"/>
            <w:i/>
            <w:strike w:val="0"/>
            <w:noProof w:val="0"/>
            <w:color w:val="0077CC"/>
            <w:position w:val="0"/>
            <w:sz w:val="20"/>
            <w:u w:val="single"/>
            <w:vertAlign w:val="baseline"/>
          </w:rPr>
          <w:t>Guideline § 2C1.1(b)(1)</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w:t>
        </w:r>
      </w:hyperlink>
      <w:r>
        <w:rPr>
          <w:rFonts w:ascii="arial" w:eastAsia="arial" w:hAnsi="arial" w:cs="arial"/>
          <w:b w:val="0"/>
          <w:i w:val="0"/>
          <w:strike w:val="0"/>
          <w:noProof w:val="0"/>
          <w:color w:val="000000"/>
          <w:position w:val="0"/>
          <w:sz w:val="20"/>
          <w:u w:val="none"/>
          <w:vertAlign w:val="baseline"/>
        </w:rPr>
        <w:t xml:space="preserve">; applying the </w:t>
      </w:r>
      <w:hyperlink r:id="rId13" w:history="1">
        <w:r>
          <w:rPr>
            <w:rFonts w:ascii="arial" w:eastAsia="arial" w:hAnsi="arial" w:cs="arial"/>
            <w:b w:val="0"/>
            <w:i/>
            <w:strike w:val="0"/>
            <w:noProof w:val="0"/>
            <w:color w:val="0077CC"/>
            <w:position w:val="0"/>
            <w:sz w:val="20"/>
            <w:u w:val="single"/>
            <w:vertAlign w:val="baseline"/>
          </w:rPr>
          <w:t>§ 2C1.1(c)(1)</w:t>
        </w:r>
      </w:hyperlink>
      <w:r>
        <w:rPr>
          <w:rFonts w:ascii="arial" w:eastAsia="arial" w:hAnsi="arial" w:cs="arial"/>
          <w:b w:val="0"/>
          <w:i w:val="0"/>
          <w:strike w:val="0"/>
          <w:noProof w:val="0"/>
          <w:color w:val="000000"/>
          <w:position w:val="0"/>
          <w:sz w:val="20"/>
          <w:u w:val="none"/>
          <w:vertAlign w:val="baseline"/>
        </w:rPr>
        <w:t xml:space="preserve"> cross-reference to reach a drug amount of 38 kilograms of cocaine; and when applying the </w:t>
      </w:r>
      <w:hyperlink r:id="rId13" w:history="1">
        <w:r>
          <w:rPr>
            <w:rFonts w:ascii="arial" w:eastAsia="arial" w:hAnsi="arial" w:cs="arial"/>
            <w:b w:val="0"/>
            <w:i/>
            <w:strike w:val="0"/>
            <w:noProof w:val="0"/>
            <w:color w:val="0077CC"/>
            <w:position w:val="0"/>
            <w:sz w:val="20"/>
            <w:u w:val="single"/>
            <w:vertAlign w:val="baseline"/>
          </w:rPr>
          <w:t>§ 2C1.1(c)(1)</w:t>
        </w:r>
      </w:hyperlink>
      <w:r>
        <w:rPr>
          <w:rFonts w:ascii="arial" w:eastAsia="arial" w:hAnsi="arial" w:cs="arial"/>
          <w:b w:val="0"/>
          <w:i w:val="0"/>
          <w:strike w:val="0"/>
          <w:noProof w:val="0"/>
          <w:color w:val="000000"/>
          <w:position w:val="0"/>
          <w:sz w:val="20"/>
          <w:u w:val="none"/>
          <w:vertAlign w:val="baseline"/>
        </w:rPr>
        <w:t xml:space="preserve"> cross-reference, retaining the </w:t>
      </w:r>
      <w:hyperlink r:id="rId18" w:history="1">
        <w:r>
          <w:rPr>
            <w:rFonts w:ascii="arial" w:eastAsia="arial" w:hAnsi="arial" w:cs="arial"/>
            <w:b w:val="0"/>
            <w:i/>
            <w:strike w:val="0"/>
            <w:noProof w:val="0"/>
            <w:color w:val="0077CC"/>
            <w:position w:val="0"/>
            <w:sz w:val="20"/>
            <w:u w:val="single"/>
            <w:vertAlign w:val="baseline"/>
          </w:rPr>
          <w:t>§ 2D1.1(b)(16)(C)</w:t>
        </w:r>
      </w:hyperlink>
      <w:r>
        <w:rPr>
          <w:rFonts w:ascii="arial" w:eastAsia="arial" w:hAnsi="arial" w:cs="arial"/>
          <w:b w:val="0"/>
          <w:i w:val="0"/>
          <w:strike w:val="0"/>
          <w:noProof w:val="0"/>
          <w:color w:val="000000"/>
          <w:position w:val="0"/>
          <w:sz w:val="20"/>
          <w:u w:val="none"/>
          <w:vertAlign w:val="baseline"/>
        </w:rPr>
        <w:t xml:space="preserve"> two-level enhancement for being directly involved in importing a controlled substance. He further contends the court should have granted him a downward departure or variance.</w:t>
      </w:r>
    </w:p>
    <w:p>
      <w:pPr>
        <w:keepNext w:val="0"/>
        <w:spacing w:before="240" w:after="0" w:line="260" w:lineRule="atLeast"/>
        <w:ind w:left="0" w:right="0" w:firstLine="0"/>
        <w:jc w:val="both"/>
      </w:pPr>
      <w:bookmarkStart w:id="24" w:name="Bookmark_para_5"/>
      <w:bookmarkEnd w:id="24"/>
      <w:bookmarkStart w:id="25" w:name="Bookmark_LNHNREFclscc1"/>
      <w:bookmarkEnd w:id="25"/>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bookmarkStart w:id="26" w:name="Bookmark_I68NXBP22N1PS90020000400"/>
      <w:bookmarkEnd w:id="26"/>
      <w:r>
        <w:rPr>
          <w:rFonts w:ascii="arial" w:eastAsia="arial" w:hAnsi="arial" w:cs="arial"/>
          <w:b w:val="0"/>
          <w:i w:val="0"/>
          <w:strike w:val="0"/>
          <w:noProof w:val="0"/>
          <w:color w:val="000000"/>
          <w:position w:val="0"/>
          <w:sz w:val="20"/>
          <w:u w:val="none"/>
          <w:vertAlign w:val="baseline"/>
        </w:rPr>
        <w:t>Although post-</w:t>
      </w:r>
      <w:r>
        <w:rPr>
          <w:rFonts w:ascii="arial" w:eastAsia="arial" w:hAnsi="arial" w:cs="arial"/>
          <w:b w:val="0"/>
          <w:i/>
          <w:strike w:val="0"/>
          <w:noProof w:val="0"/>
          <w:color w:val="000000"/>
          <w:position w:val="0"/>
          <w:sz w:val="20"/>
          <w:u w:val="none"/>
          <w:vertAlign w:val="baseline"/>
        </w:rPr>
        <w:t>Booker</w:t>
      </w:r>
      <w:r>
        <w:rPr>
          <w:rFonts w:ascii="arial" w:eastAsia="arial" w:hAnsi="arial" w:cs="arial"/>
          <w:b w:val="0"/>
          <w:i w:val="0"/>
          <w:strike w:val="0"/>
          <w:noProof w:val="0"/>
          <w:color w:val="000000"/>
          <w:position w:val="0"/>
          <w:sz w:val="20"/>
          <w:u w:val="none"/>
          <w:vertAlign w:val="baseline"/>
        </w:rPr>
        <w:t>, the Guidelines are advisory only, the district court must avoid significant procedural error, such as improperly calculating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Guidelines sentencing range. </w:t>
      </w:r>
      <w:bookmarkStart w:id="27" w:name="Bookmark_I68NXBP22N1PS90040000400"/>
      <w:bookmarkEnd w:id="27"/>
      <w:bookmarkStart w:id="28" w:name="Bookmark_I68NXBP22N1PS90010000400"/>
      <w:bookmarkEnd w:id="28"/>
      <w:hyperlink r:id="rId21" w:history="1">
        <w:r>
          <w:rPr>
            <w:rFonts w:ascii="arial" w:eastAsia="arial" w:hAnsi="arial" w:cs="arial"/>
            <w:b w:val="0"/>
            <w:i/>
            <w:strike w:val="0"/>
            <w:noProof w:val="0"/>
            <w:color w:val="0077CC"/>
            <w:position w:val="0"/>
            <w:sz w:val="20"/>
            <w:u w:val="single"/>
            <w:vertAlign w:val="baseline"/>
          </w:rPr>
          <w:t>Gall v. United States</w:t>
        </w:r>
      </w:hyperlink>
      <w:hyperlink r:id="rId21" w:history="1">
        <w:r>
          <w:rPr>
            <w:rFonts w:ascii="arial" w:eastAsia="arial" w:hAnsi="arial" w:cs="arial"/>
            <w:b w:val="0"/>
            <w:i/>
            <w:strike w:val="0"/>
            <w:noProof w:val="0"/>
            <w:color w:val="0077CC"/>
            <w:position w:val="0"/>
            <w:sz w:val="20"/>
            <w:u w:val="single"/>
            <w:vertAlign w:val="baseline"/>
          </w:rPr>
          <w:t>, 552 U.S. 38, 46, 51, 128 S. Ct. 586, 169 L. Ed. 2d 445 (2007)</w:t>
        </w:r>
      </w:hyperlink>
      <w:r>
        <w:rPr>
          <w:rFonts w:ascii="arial" w:eastAsia="arial" w:hAnsi="arial" w:cs="arial"/>
          <w:b w:val="0"/>
          <w:i w:val="0"/>
          <w:strike w:val="0"/>
          <w:noProof w:val="0"/>
          <w:color w:val="000000"/>
          <w:position w:val="0"/>
          <w:sz w:val="20"/>
          <w:u w:val="none"/>
          <w:vertAlign w:val="baseline"/>
        </w:rPr>
        <w:t xml:space="preserve">. If no such procedural error exists, a properly preserved objection to an ultimate sentence is reviewed for substantive reasonableness under an abuse-of-discretion standard. </w:t>
      </w:r>
      <w:bookmarkStart w:id="29" w:name="Bookmark_I68NXBP22N1PS90040000400_2"/>
      <w:bookmarkEnd w:id="29"/>
      <w:bookmarkStart w:id="30" w:name="Bookmark_I68NXBP22HM5XD0030000400"/>
      <w:bookmarkEnd w:id="30"/>
      <w:bookmarkStart w:id="31" w:name="Bookmark_I68NXBP22N1PS90030000400"/>
      <w:bookmarkEnd w:id="3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51</w:t>
        </w:r>
      </w:hyperlink>
      <w:r>
        <w:rPr>
          <w:rFonts w:ascii="arial" w:eastAsia="arial" w:hAnsi="arial" w:cs="arial"/>
          <w:b w:val="0"/>
          <w:i w:val="0"/>
          <w:strike w:val="0"/>
          <w:noProof w:val="0"/>
          <w:color w:val="000000"/>
          <w:position w:val="0"/>
          <w:sz w:val="20"/>
          <w:u w:val="none"/>
          <w:vertAlign w:val="baseline"/>
        </w:rPr>
        <w:t xml:space="preserve">; </w:t>
      </w:r>
      <w:bookmarkStart w:id="32" w:name="Bookmark_I68NXBP22N1PS90050000400"/>
      <w:bookmarkEnd w:id="32"/>
      <w:hyperlink r:id="rId22" w:history="1">
        <w:r>
          <w:rPr>
            <w:rFonts w:ascii="arial" w:eastAsia="arial" w:hAnsi="arial" w:cs="arial"/>
            <w:b w:val="0"/>
            <w:i/>
            <w:strike w:val="0"/>
            <w:noProof w:val="0"/>
            <w:color w:val="0077CC"/>
            <w:position w:val="0"/>
            <w:sz w:val="20"/>
            <w:u w:val="single"/>
            <w:vertAlign w:val="baseline"/>
          </w:rPr>
          <w:t>United States v. Delgado-Martinez</w:t>
        </w:r>
      </w:hyperlink>
      <w:hyperlink r:id="rId22" w:history="1">
        <w:r>
          <w:rPr>
            <w:rFonts w:ascii="arial" w:eastAsia="arial" w:hAnsi="arial" w:cs="arial"/>
            <w:b w:val="0"/>
            <w:i/>
            <w:strike w:val="0"/>
            <w:noProof w:val="0"/>
            <w:color w:val="0077CC"/>
            <w:position w:val="0"/>
            <w:sz w:val="20"/>
            <w:u w:val="single"/>
            <w:vertAlign w:val="baseline"/>
          </w:rPr>
          <w:t>, 564 F.3d 750, 751-53 (5th Cir. 2009)</w:t>
        </w:r>
      </w:hyperlink>
      <w:r>
        <w:rPr>
          <w:rFonts w:ascii="arial" w:eastAsia="arial" w:hAnsi="arial" w:cs="arial"/>
          <w:b w:val="0"/>
          <w:i w:val="0"/>
          <w:strike w:val="0"/>
          <w:noProof w:val="0"/>
          <w:color w:val="000000"/>
          <w:position w:val="0"/>
          <w:sz w:val="20"/>
          <w:u w:val="none"/>
          <w:vertAlign w:val="baseline"/>
        </w:rPr>
        <w:t xml:space="preserve">. </w:t>
      </w:r>
      <w:bookmarkStart w:id="33" w:name="Bookmark_I68NXBP22HM5XD0030000400_2"/>
      <w:bookmarkEnd w:id="33"/>
      <w:r>
        <w:rPr>
          <w:rFonts w:ascii="arial" w:eastAsia="arial" w:hAnsi="arial" w:cs="arial"/>
          <w:b w:val="0"/>
          <w:i w:val="0"/>
          <w:strike w:val="0"/>
          <w:noProof w:val="0"/>
          <w:color w:val="000000"/>
          <w:position w:val="0"/>
          <w:sz w:val="20"/>
          <w:u w:val="none"/>
          <w:vertAlign w:val="baseline"/>
        </w:rPr>
        <w:t xml:space="preserve">In that respect, for issues preserved in district court, its application of the Guidelines is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its factual findings, only for clear error. </w:t>
      </w:r>
      <w:r>
        <w:rPr>
          <w:rFonts w:ascii="arial" w:eastAsia="arial" w:hAnsi="arial" w:cs="arial"/>
          <w:b w:val="0"/>
          <w:i/>
          <w:strike w:val="0"/>
          <w:noProof w:val="0"/>
          <w:color w:val="000000"/>
          <w:position w:val="0"/>
          <w:sz w:val="20"/>
          <w:u w:val="none"/>
          <w:vertAlign w:val="baseline"/>
        </w:rPr>
        <w:t xml:space="preserve">E.g., </w:t>
      </w:r>
      <w:bookmarkStart w:id="34" w:name="Bookmark_I68NXBP22HM5XD0020000400"/>
      <w:bookmarkEnd w:id="34"/>
      <w:hyperlink r:id="rId23" w:history="1">
        <w:r>
          <w:rPr>
            <w:rFonts w:ascii="arial" w:eastAsia="arial" w:hAnsi="arial" w:cs="arial"/>
            <w:b w:val="0"/>
            <w:i/>
            <w:strike w:val="0"/>
            <w:noProof w:val="0"/>
            <w:color w:val="0077CC"/>
            <w:position w:val="0"/>
            <w:sz w:val="20"/>
            <w:u w:val="single"/>
            <w:vertAlign w:val="baseline"/>
          </w:rPr>
          <w:t>United States v. Cisneros-Gutierrez</w:t>
        </w:r>
      </w:hyperlink>
      <w:hyperlink r:id="rId23" w:history="1">
        <w:r>
          <w:rPr>
            <w:rFonts w:ascii="arial" w:eastAsia="arial" w:hAnsi="arial" w:cs="arial"/>
            <w:b w:val="0"/>
            <w:i/>
            <w:strike w:val="0"/>
            <w:noProof w:val="0"/>
            <w:color w:val="0077CC"/>
            <w:position w:val="0"/>
            <w:sz w:val="20"/>
            <w:u w:val="single"/>
            <w:vertAlign w:val="baseline"/>
          </w:rPr>
          <w:t>, 517 F.3d 751, 764 (5th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6"/>
      <w:bookmarkEnd w:id="35"/>
      <w:bookmarkStart w:id="36" w:name="Bookmark_LNHNREFclscc2"/>
      <w:bookmarkEnd w:id="36"/>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Guideline § 2C1.1(c)(1)</w:t>
        </w:r>
      </w:hyperlink>
      <w:r>
        <w:rPr>
          <w:rFonts w:ascii="arial" w:eastAsia="arial" w:hAnsi="arial" w:cs="arial"/>
          <w:b w:val="0"/>
          <w:i w:val="0"/>
          <w:strike w:val="0"/>
          <w:noProof w:val="0"/>
          <w:color w:val="000000"/>
          <w:position w:val="0"/>
          <w:sz w:val="20"/>
          <w:u w:val="none"/>
          <w:vertAlign w:val="baseline"/>
        </w:rPr>
        <w:t xml:space="preserve"> cross-reference applies if the offense was committed for the purpose of facilitating the commission of another criminal offense. In that case, the offense guideline applicable to a conspiracy to commit the other offense applies. </w:t>
      </w:r>
      <w:hyperlink r:id="rId13" w:history="1">
        <w:r>
          <w:rPr>
            <w:rFonts w:ascii="arial" w:eastAsia="arial" w:hAnsi="arial" w:cs="arial"/>
            <w:b w:val="0"/>
            <w:i/>
            <w:strike w:val="0"/>
            <w:noProof w:val="0"/>
            <w:color w:val="0077CC"/>
            <w:position w:val="0"/>
            <w:sz w:val="20"/>
            <w:u w:val="single"/>
            <w:vertAlign w:val="baseline"/>
          </w:rPr>
          <w:t>U.S.S.G. § 2C1.1(c)(1)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7"/>
      <w:bookmarkEnd w:id="37"/>
      <w:bookmarkStart w:id="38" w:name="Bookmark_I68NXBP22HM5XD0050000400"/>
      <w:bookmarkEnd w:id="38"/>
      <w:r>
        <w:rPr>
          <w:rFonts w:ascii="arial" w:eastAsia="arial" w:hAnsi="arial" w:cs="arial"/>
          <w:b w:val="0"/>
          <w:i w:val="0"/>
          <w:strike w:val="0"/>
          <w:noProof w:val="0"/>
          <w:color w:val="000000"/>
          <w:position w:val="0"/>
          <w:sz w:val="20"/>
          <w:u w:val="none"/>
          <w:vertAlign w:val="baseline"/>
        </w:rPr>
        <w:t xml:space="preserve">Cantu posits that </w:t>
      </w:r>
      <w:hyperlink r:id="rId13" w:history="1">
        <w:r>
          <w:rPr>
            <w:rFonts w:ascii="arial" w:eastAsia="arial" w:hAnsi="arial" w:cs="arial"/>
            <w:b w:val="0"/>
            <w:i/>
            <w:strike w:val="0"/>
            <w:noProof w:val="0"/>
            <w:color w:val="0077CC"/>
            <w:position w:val="0"/>
            <w:sz w:val="20"/>
            <w:u w:val="single"/>
            <w:vertAlign w:val="baseline"/>
          </w:rPr>
          <w:t>§ 2C1.1(c)(1)</w:t>
        </w:r>
      </w:hyperlink>
      <w:r>
        <w:rPr>
          <w:rFonts w:ascii="arial" w:eastAsia="arial" w:hAnsi="arial" w:cs="arial"/>
          <w:b w:val="0"/>
          <w:i w:val="0"/>
          <w:strike w:val="0"/>
          <w:noProof w:val="0"/>
          <w:color w:val="000000"/>
          <w:position w:val="0"/>
          <w:sz w:val="20"/>
          <w:u w:val="none"/>
          <w:vertAlign w:val="baseline"/>
        </w:rPr>
        <w:t xml:space="preserve"> cannot apply to him because there was no conspiracy and the only cocaine involved was 11 kilograms of sham cocaine transported by an undercover agent. His argument fails given that Cantu, while working as a border-patrol officer, orchestrated from his post at the secondary inspection lane the successful crossing of a vehicle he believed contained cocaine. </w:t>
      </w:r>
      <w:r>
        <w:rPr>
          <w:rFonts w:ascii="arial" w:eastAsia="arial" w:hAnsi="arial" w:cs="arial"/>
          <w:b w:val="0"/>
          <w:i/>
          <w:strike w:val="0"/>
          <w:noProof w:val="0"/>
          <w:color w:val="000000"/>
          <w:position w:val="0"/>
          <w:sz w:val="20"/>
          <w:u w:val="none"/>
          <w:vertAlign w:val="baseline"/>
        </w:rPr>
        <w:t xml:space="preserve">See </w:t>
      </w:r>
      <w:bookmarkStart w:id="39" w:name="Bookmark_I68NXBP22HM5XD0040000400"/>
      <w:bookmarkEnd w:id="39"/>
      <w:hyperlink r:id="rId25" w:history="1">
        <w:r>
          <w:rPr>
            <w:rFonts w:ascii="arial" w:eastAsia="arial" w:hAnsi="arial" w:cs="arial"/>
            <w:b w:val="0"/>
            <w:i/>
            <w:strike w:val="0"/>
            <w:noProof w:val="0"/>
            <w:color w:val="0077CC"/>
            <w:position w:val="0"/>
            <w:sz w:val="20"/>
            <w:u w:val="single"/>
            <w:vertAlign w:val="baseline"/>
          </w:rPr>
          <w:t>United States v. Ruiz</w:t>
        </w:r>
      </w:hyperlink>
      <w:hyperlink r:id="rId25" w:history="1">
        <w:r>
          <w:rPr>
            <w:rFonts w:ascii="arial" w:eastAsia="arial" w:hAnsi="arial" w:cs="arial"/>
            <w:b w:val="0"/>
            <w:i/>
            <w:strike w:val="0"/>
            <w:noProof w:val="0"/>
            <w:color w:val="0077CC"/>
            <w:position w:val="0"/>
            <w:sz w:val="20"/>
            <w:u w:val="single"/>
            <w:vertAlign w:val="baseline"/>
          </w:rPr>
          <w:t>, 621 F.3d 390, 395 (5th Cir. 2010)</w:t>
        </w:r>
      </w:hyperlink>
      <w:r>
        <w:rPr>
          <w:rFonts w:ascii="arial" w:eastAsia="arial" w:hAnsi="arial" w:cs="arial"/>
          <w:b w:val="0"/>
          <w:i w:val="0"/>
          <w:strike w:val="0"/>
          <w:noProof w:val="0"/>
          <w:color w:val="000000"/>
          <w:position w:val="0"/>
          <w:sz w:val="20"/>
          <w:u w:val="none"/>
          <w:vertAlign w:val="baseline"/>
        </w:rPr>
        <w:t xml:space="preserve">; </w:t>
      </w:r>
      <w:bookmarkStart w:id="40" w:name="Bookmark_I68NXBP22HM5XH0010000400"/>
      <w:bookmarkEnd w:id="40"/>
      <w:hyperlink r:id="rId26" w:history="1">
        <w:r>
          <w:rPr>
            <w:rFonts w:ascii="arial" w:eastAsia="arial" w:hAnsi="arial" w:cs="arial"/>
            <w:b w:val="0"/>
            <w:i/>
            <w:strike w:val="0"/>
            <w:noProof w:val="0"/>
            <w:color w:val="0077CC"/>
            <w:position w:val="0"/>
            <w:sz w:val="20"/>
            <w:u w:val="single"/>
            <w:vertAlign w:val="baseline"/>
          </w:rPr>
          <w:t>United States v. Burke</w:t>
        </w:r>
      </w:hyperlink>
      <w:hyperlink r:id="rId26" w:history="1">
        <w:r>
          <w:rPr>
            <w:rFonts w:ascii="arial" w:eastAsia="arial" w:hAnsi="arial" w:cs="arial"/>
            <w:b w:val="0"/>
            <w:i/>
            <w:strike w:val="0"/>
            <w:noProof w:val="0"/>
            <w:color w:val="0077CC"/>
            <w:position w:val="0"/>
            <w:sz w:val="20"/>
            <w:u w:val="single"/>
            <w:vertAlign w:val="baseline"/>
          </w:rPr>
          <w:t>, 431 F.3d 883, 886-87 (5th Cir. 2005)</w:t>
        </w:r>
      </w:hyperlink>
      <w:r>
        <w:rPr>
          <w:rFonts w:ascii="arial" w:eastAsia="arial" w:hAnsi="arial" w:cs="arial"/>
          <w:b w:val="0"/>
          <w:i w:val="0"/>
          <w:strike w:val="0"/>
          <w:noProof w:val="0"/>
          <w:color w:val="000000"/>
          <w:position w:val="0"/>
          <w:sz w:val="20"/>
          <w:u w:val="none"/>
          <w:vertAlign w:val="baseline"/>
        </w:rPr>
        <w:t xml:space="preserve"> (providing "</w:t>
      </w:r>
      <w:bookmarkStart w:id="41" w:name="Bookmark_LNHNREFclscc3"/>
      <w:bookmarkEnd w:id="41"/>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sentence for a drug conspiracy may be based on a quantity of fake drugs").</w:t>
      </w:r>
    </w:p>
    <w:p>
      <w:pPr>
        <w:keepNext w:val="0"/>
        <w:spacing w:before="24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 xml:space="preserve">Because the cross-reference applies, Cantu's offense level is determined under </w:t>
      </w:r>
      <w:hyperlink r:id="rId18"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rather than </w:t>
      </w:r>
      <w:hyperlink r:id="rId13" w:history="1">
        <w:r>
          <w:rPr>
            <w:rFonts w:ascii="arial" w:eastAsia="arial" w:hAnsi="arial" w:cs="arial"/>
            <w:b w:val="0"/>
            <w:i/>
            <w:strike w:val="0"/>
            <w:noProof w:val="0"/>
            <w:color w:val="0077CC"/>
            <w:position w:val="0"/>
            <w:sz w:val="20"/>
            <w:u w:val="single"/>
            <w:vertAlign w:val="baseline"/>
          </w:rPr>
          <w:t>§ 2C1.1</w:t>
        </w:r>
      </w:hyperlink>
      <w:r>
        <w:rPr>
          <w:rFonts w:ascii="arial" w:eastAsia="arial" w:hAnsi="arial" w:cs="arial"/>
          <w:b w:val="0"/>
          <w:i w:val="0"/>
          <w:strike w:val="0"/>
          <w:noProof w:val="0"/>
          <w:color w:val="000000"/>
          <w:position w:val="0"/>
          <w:sz w:val="20"/>
          <w:u w:val="none"/>
          <w:vertAlign w:val="baseline"/>
        </w:rPr>
        <w:t>; therefore, his challenges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the enhancements pursuant to </w:t>
      </w:r>
      <w:hyperlink r:id="rId13" w:history="1">
        <w:r>
          <w:rPr>
            <w:rFonts w:ascii="arial" w:eastAsia="arial" w:hAnsi="arial" w:cs="arial"/>
            <w:b w:val="0"/>
            <w:i/>
            <w:strike w:val="0"/>
            <w:noProof w:val="0"/>
            <w:color w:val="0077CC"/>
            <w:position w:val="0"/>
            <w:sz w:val="20"/>
            <w:u w:val="single"/>
            <w:vertAlign w:val="baseline"/>
          </w:rPr>
          <w:t>§ 2C1.1(b)(1)</w:t>
        </w:r>
      </w:hyperlink>
      <w:r>
        <w:rPr>
          <w:rFonts w:ascii="arial" w:eastAsia="arial" w:hAnsi="arial" w:cs="arial"/>
          <w:b w:val="0"/>
          <w:i w:val="0"/>
          <w:strike w:val="0"/>
          <w:noProof w:val="0"/>
          <w:color w:val="000000"/>
          <w:position w:val="0"/>
          <w:sz w:val="20"/>
          <w:u w:val="none"/>
          <w:vertAlign w:val="baseline"/>
        </w:rPr>
        <w:t xml:space="preserve"> for accepting more than one bribe, and </w:t>
      </w:r>
      <w:hyperlink r:id="rId13" w:history="1">
        <w:r>
          <w:rPr>
            <w:rFonts w:ascii="arial" w:eastAsia="arial" w:hAnsi="arial" w:cs="arial"/>
            <w:b w:val="0"/>
            <w:i/>
            <w:strike w:val="0"/>
            <w:noProof w:val="0"/>
            <w:color w:val="0077CC"/>
            <w:position w:val="0"/>
            <w:sz w:val="20"/>
            <w:u w:val="single"/>
            <w:vertAlign w:val="baseline"/>
          </w:rPr>
          <w:t>§ 2C1.1(b)(4)</w:t>
        </w:r>
      </w:hyperlink>
      <w:r>
        <w:rPr>
          <w:rFonts w:ascii="arial" w:eastAsia="arial" w:hAnsi="arial" w:cs="arial"/>
          <w:b w:val="0"/>
          <w:i w:val="0"/>
          <w:strike w:val="0"/>
          <w:noProof w:val="0"/>
          <w:color w:val="000000"/>
          <w:position w:val="0"/>
          <w:sz w:val="20"/>
          <w:u w:val="none"/>
          <w:vertAlign w:val="baseline"/>
        </w:rPr>
        <w:t xml:space="preserve"> for facilitating, as a public official, the entry of a person, vehicle, or cargo into the United States, are moot.</w:t>
      </w:r>
    </w:p>
    <w:p>
      <w:pPr>
        <w:keepNext w:val="0"/>
        <w:spacing w:before="240" w:after="0" w:line="260" w:lineRule="atLeast"/>
        <w:ind w:left="0" w:right="0" w:firstLine="0"/>
        <w:jc w:val="both"/>
      </w:pPr>
      <w:bookmarkStart w:id="43" w:name="Bookmark_para_9"/>
      <w:bookmarkEnd w:id="43"/>
      <w:bookmarkStart w:id="44" w:name="Bookmark_I68NXBP22HM5XH0040000400"/>
      <w:bookmarkEnd w:id="44"/>
      <w:r>
        <w:rPr>
          <w:rFonts w:ascii="arial" w:eastAsia="arial" w:hAnsi="arial" w:cs="arial"/>
          <w:b w:val="0"/>
          <w:i w:val="0"/>
          <w:strike w:val="0"/>
          <w:noProof w:val="0"/>
          <w:color w:val="000000"/>
          <w:position w:val="0"/>
          <w:sz w:val="20"/>
          <w:u w:val="none"/>
          <w:vertAlign w:val="baseline"/>
        </w:rPr>
        <w:t xml:space="preserve">We lack jurisdiction to review the court's refusal to grant a downward departure given that Cantu does not contend, and the record does not suggest, that the court was unaware of its authority to depart from the Guidelines range. </w:t>
      </w:r>
      <w:r>
        <w:rPr>
          <w:rFonts w:ascii="arial" w:eastAsia="arial" w:hAnsi="arial" w:cs="arial"/>
          <w:b w:val="0"/>
          <w:i/>
          <w:strike w:val="0"/>
          <w:noProof w:val="0"/>
          <w:color w:val="000000"/>
          <w:position w:val="0"/>
          <w:sz w:val="20"/>
          <w:u w:val="none"/>
          <w:vertAlign w:val="baseline"/>
        </w:rPr>
        <w:t xml:space="preserve">See </w:t>
      </w:r>
      <w:bookmarkStart w:id="45" w:name="Bookmark_I68NXBP22HM5XH0030000400"/>
      <w:bookmarkEnd w:id="45"/>
      <w:hyperlink r:id="rId28" w:history="1">
        <w:r>
          <w:rPr>
            <w:rFonts w:ascii="arial" w:eastAsia="arial" w:hAnsi="arial" w:cs="arial"/>
            <w:b w:val="0"/>
            <w:i/>
            <w:strike w:val="0"/>
            <w:noProof w:val="0"/>
            <w:color w:val="0077CC"/>
            <w:position w:val="0"/>
            <w:sz w:val="20"/>
            <w:u w:val="single"/>
            <w:vertAlign w:val="baseline"/>
          </w:rPr>
          <w:t>United States v. Fillmore</w:t>
        </w:r>
      </w:hyperlink>
      <w:hyperlink r:id="rId28" w:history="1">
        <w:r>
          <w:rPr>
            <w:rFonts w:ascii="arial" w:eastAsia="arial" w:hAnsi="arial" w:cs="arial"/>
            <w:b w:val="0"/>
            <w:i/>
            <w:strike w:val="0"/>
            <w:noProof w:val="0"/>
            <w:color w:val="0077CC"/>
            <w:position w:val="0"/>
            <w:sz w:val="20"/>
            <w:u w:val="single"/>
            <w:vertAlign w:val="baseline"/>
          </w:rPr>
          <w:t>, 889 F.3d 249, 255 (5th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10"/>
      <w:bookmarkEnd w:id="46"/>
      <w:bookmarkStart w:id="47" w:name="Bookmark_LNHNREFclscc4"/>
      <w:bookmarkEnd w:id="47"/>
      <w:hyperlink r:id="rId29"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bookmarkStart w:id="48" w:name="Bookmark_I68NXBPF2N1PVJ0010000400"/>
      <w:bookmarkEnd w:id="48"/>
      <w:r>
        <w:rPr>
          <w:rFonts w:ascii="arial" w:eastAsia="arial" w:hAnsi="arial" w:cs="arial"/>
          <w:b w:val="0"/>
          <w:i w:val="0"/>
          <w:strike w:val="0"/>
          <w:noProof w:val="0"/>
          <w:color w:val="000000"/>
          <w:position w:val="0"/>
          <w:sz w:val="20"/>
          <w:u w:val="none"/>
          <w:vertAlign w:val="baseline"/>
        </w:rPr>
        <w:t xml:space="preserve">Regarding his downward-variance claim,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our court recognizes sentencing entrapment, Cantu must establish that he was persuaded to commit a greater offense than he otherwise was predisposed to commit or that the conduct of law-enforcement officials was overbearing or outrageous. </w:t>
      </w:r>
      <w:r>
        <w:rPr>
          <w:rFonts w:ascii="arial" w:eastAsia="arial" w:hAnsi="arial" w:cs="arial"/>
          <w:b w:val="0"/>
          <w:i/>
          <w:strike w:val="0"/>
          <w:noProof w:val="0"/>
          <w:color w:val="000000"/>
          <w:position w:val="0"/>
          <w:sz w:val="20"/>
          <w:u w:val="none"/>
          <w:vertAlign w:val="baseline"/>
        </w:rPr>
        <w:t xml:space="preserve">See </w:t>
      </w:r>
      <w:bookmarkStart w:id="49" w:name="Bookmark_I68NXBP22HM5XH0050000400"/>
      <w:bookmarkEnd w:id="49"/>
      <w:hyperlink r:id="rId30" w:history="1">
        <w:r>
          <w:rPr>
            <w:rFonts w:ascii="arial" w:eastAsia="arial" w:hAnsi="arial" w:cs="arial"/>
            <w:b w:val="0"/>
            <w:i/>
            <w:strike w:val="0"/>
            <w:noProof w:val="0"/>
            <w:color w:val="0077CC"/>
            <w:position w:val="0"/>
            <w:sz w:val="20"/>
            <w:u w:val="single"/>
            <w:vertAlign w:val="baseline"/>
          </w:rPr>
          <w:t>United States v. Stephens</w:t>
        </w:r>
      </w:hyperlink>
      <w:hyperlink r:id="rId30" w:history="1">
        <w:r>
          <w:rPr>
            <w:rFonts w:ascii="arial" w:eastAsia="arial" w:hAnsi="arial" w:cs="arial"/>
            <w:b w:val="0"/>
            <w:i/>
            <w:strike w:val="0"/>
            <w:noProof w:val="0"/>
            <w:color w:val="0077CC"/>
            <w:position w:val="0"/>
            <w:sz w:val="20"/>
            <w:u w:val="single"/>
            <w:vertAlign w:val="baseline"/>
          </w:rPr>
          <w:t>, 717 F.3d 440, 446 (5th Cir. 2013)</w:t>
        </w:r>
      </w:hyperlink>
      <w:r>
        <w:rPr>
          <w:rFonts w:ascii="arial" w:eastAsia="arial" w:hAnsi="arial" w:cs="arial"/>
          <w:b w:val="0"/>
          <w:i w:val="0"/>
          <w:strike w:val="0"/>
          <w:noProof w:val="0"/>
          <w:color w:val="000000"/>
          <w:position w:val="0"/>
          <w:sz w:val="20"/>
          <w:u w:val="none"/>
          <w:vertAlign w:val="baseline"/>
        </w:rPr>
        <w:t xml:space="preserve">; </w:t>
      </w:r>
      <w:bookmarkStart w:id="50" w:name="Bookmark_I68NXBPF2N1PVJ0020000400"/>
      <w:bookmarkEnd w:id="50"/>
      <w:hyperlink r:id="rId31" w:history="1">
        <w:r>
          <w:rPr>
            <w:rFonts w:ascii="arial" w:eastAsia="arial" w:hAnsi="arial" w:cs="arial"/>
            <w:b w:val="0"/>
            <w:i/>
            <w:strike w:val="0"/>
            <w:noProof w:val="0"/>
            <w:color w:val="0077CC"/>
            <w:position w:val="0"/>
            <w:sz w:val="20"/>
            <w:u w:val="single"/>
            <w:vertAlign w:val="baseline"/>
          </w:rPr>
          <w:t>United States v. Jones</w:t>
        </w:r>
      </w:hyperlink>
      <w:hyperlink r:id="rId31" w:history="1">
        <w:r>
          <w:rPr>
            <w:rFonts w:ascii="arial" w:eastAsia="arial" w:hAnsi="arial" w:cs="arial"/>
            <w:b w:val="0"/>
            <w:i/>
            <w:strike w:val="0"/>
            <w:noProof w:val="0"/>
            <w:color w:val="0077CC"/>
            <w:position w:val="0"/>
            <w:sz w:val="20"/>
            <w:u w:val="single"/>
            <w:vertAlign w:val="baseline"/>
          </w:rPr>
          <w:t>, 664 F.3d 966, 984 (5th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1"/>
      <w:bookmarkEnd w:id="51"/>
      <w:r>
        <w:rPr>
          <w:rFonts w:ascii="arial" w:eastAsia="arial" w:hAnsi="arial" w:cs="arial"/>
          <w:b w:val="0"/>
          <w:i w:val="0"/>
          <w:strike w:val="0"/>
          <w:noProof w:val="0"/>
          <w:color w:val="000000"/>
          <w:position w:val="0"/>
          <w:sz w:val="20"/>
          <w:u w:val="none"/>
          <w:vertAlign w:val="baseline"/>
        </w:rPr>
        <w:t xml:space="preserve">Cantu initiated the meeting with the drug-trafficking organization and offered the many ways he could assist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Further, after meeting with the undercover agent for the first time, Cantu texted the agent requesting another meeting. At that meeting, Cantu set his own price and determined the quantity of drugs. </w:t>
      </w:r>
      <w:bookmarkStart w:id="52" w:name="Bookmark_I68NXBPF2N1PVJ0050000400"/>
      <w:bookmarkEnd w:id="52"/>
      <w:r>
        <w:rPr>
          <w:rFonts w:ascii="arial" w:eastAsia="arial" w:hAnsi="arial" w:cs="arial"/>
          <w:b w:val="0"/>
          <w:i w:val="0"/>
          <w:strike w:val="0"/>
          <w:noProof w:val="0"/>
          <w:color w:val="000000"/>
          <w:position w:val="0"/>
          <w:sz w:val="20"/>
          <w:u w:val="none"/>
          <w:vertAlign w:val="baseline"/>
        </w:rPr>
        <w:t>Had the undercover agents acted on Cantu's suggestion of 40 kilograms of cocaine, Cantu would have received $30,000. These facts do not make the showing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required for sentencing entrapment. </w:t>
      </w:r>
      <w:r>
        <w:rPr>
          <w:rFonts w:ascii="arial" w:eastAsia="arial" w:hAnsi="arial" w:cs="arial"/>
          <w:b w:val="0"/>
          <w:i/>
          <w:strike w:val="0"/>
          <w:noProof w:val="0"/>
          <w:color w:val="000000"/>
          <w:position w:val="0"/>
          <w:sz w:val="20"/>
          <w:u w:val="none"/>
          <w:vertAlign w:val="baseline"/>
        </w:rPr>
        <w:t xml:space="preserve">See </w:t>
      </w:r>
      <w:bookmarkStart w:id="53" w:name="Bookmark_I68NXBPF2N1PVJ0040000400"/>
      <w:bookmarkEnd w:id="53"/>
      <w:hyperlink r:id="rId30" w:history="1">
        <w:r>
          <w:rPr>
            <w:rFonts w:ascii="arial" w:eastAsia="arial" w:hAnsi="arial" w:cs="arial"/>
            <w:b w:val="0"/>
            <w:i/>
            <w:strike w:val="0"/>
            <w:noProof w:val="0"/>
            <w:color w:val="0077CC"/>
            <w:position w:val="0"/>
            <w:sz w:val="20"/>
            <w:u w:val="single"/>
            <w:vertAlign w:val="baseline"/>
          </w:rPr>
          <w:t>Stephens</w:t>
        </w:r>
      </w:hyperlink>
      <w:hyperlink r:id="rId30" w:history="1">
        <w:r>
          <w:rPr>
            <w:rFonts w:ascii="arial" w:eastAsia="arial" w:hAnsi="arial" w:cs="arial"/>
            <w:b w:val="0"/>
            <w:i/>
            <w:strike w:val="0"/>
            <w:noProof w:val="0"/>
            <w:color w:val="0077CC"/>
            <w:position w:val="0"/>
            <w:sz w:val="20"/>
            <w:u w:val="single"/>
            <w:vertAlign w:val="baseline"/>
          </w:rPr>
          <w:t>, 717 F. 3d at 446-47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2"/>
      <w:bookmarkEnd w:id="54"/>
      <w:bookmarkStart w:id="55" w:name="Bookmark_I68NXBPF2N1PVK0020000400"/>
      <w:bookmarkEnd w:id="55"/>
      <w:r>
        <w:rPr>
          <w:rFonts w:ascii="arial" w:eastAsia="arial" w:hAnsi="arial" w:cs="arial"/>
          <w:b w:val="0"/>
          <w:i w:val="0"/>
          <w:strike w:val="0"/>
          <w:noProof w:val="0"/>
          <w:color w:val="000000"/>
          <w:position w:val="0"/>
          <w:sz w:val="20"/>
          <w:u w:val="none"/>
          <w:vertAlign w:val="baseline"/>
        </w:rPr>
        <w:t xml:space="preserve">Finally, Cantu contends the court erred when it retained the </w:t>
      </w:r>
      <w:hyperlink r:id="rId18" w:history="1">
        <w:r>
          <w:rPr>
            <w:rFonts w:ascii="arial" w:eastAsia="arial" w:hAnsi="arial" w:cs="arial"/>
            <w:b w:val="0"/>
            <w:i/>
            <w:strike w:val="0"/>
            <w:noProof w:val="0"/>
            <w:color w:val="0077CC"/>
            <w:position w:val="0"/>
            <w:sz w:val="20"/>
            <w:u w:val="single"/>
            <w:vertAlign w:val="baseline"/>
          </w:rPr>
          <w:t>§ 2D1.1(b)(16)(C)</w:t>
        </w:r>
      </w:hyperlink>
      <w:r>
        <w:rPr>
          <w:rFonts w:ascii="arial" w:eastAsia="arial" w:hAnsi="arial" w:cs="arial"/>
          <w:b w:val="0"/>
          <w:i w:val="0"/>
          <w:strike w:val="0"/>
          <w:noProof w:val="0"/>
          <w:color w:val="000000"/>
          <w:position w:val="0"/>
          <w:sz w:val="20"/>
          <w:u w:val="none"/>
          <w:vertAlign w:val="baseline"/>
        </w:rPr>
        <w:t xml:space="preserve"> two-level enhancement for Cantu's having been directly involved in importing a controlled substance after the court declined to apply an aggravating-role adjustment. </w:t>
      </w:r>
      <w:bookmarkStart w:id="56" w:name="Bookmark_LNHNREFclscc5"/>
      <w:bookmarkEnd w:id="56"/>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Because he did not object on this basis in district court, review is only for plain error. </w:t>
      </w:r>
      <w:r>
        <w:rPr>
          <w:rFonts w:ascii="arial" w:eastAsia="arial" w:hAnsi="arial" w:cs="arial"/>
          <w:b w:val="0"/>
          <w:i/>
          <w:strike w:val="0"/>
          <w:noProof w:val="0"/>
          <w:color w:val="000000"/>
          <w:position w:val="0"/>
          <w:sz w:val="20"/>
          <w:u w:val="none"/>
          <w:vertAlign w:val="baseline"/>
        </w:rPr>
        <w:t xml:space="preserve">E.g., </w:t>
      </w:r>
      <w:bookmarkStart w:id="57" w:name="Bookmark_I68NXBPF2N1PVK0010000400"/>
      <w:bookmarkEnd w:id="57"/>
      <w:hyperlink r:id="rId33" w:history="1">
        <w:r>
          <w:rPr>
            <w:rFonts w:ascii="arial" w:eastAsia="arial" w:hAnsi="arial" w:cs="arial"/>
            <w:b w:val="0"/>
            <w:i/>
            <w:strike w:val="0"/>
            <w:noProof w:val="0"/>
            <w:color w:val="0077CC"/>
            <w:position w:val="0"/>
            <w:sz w:val="20"/>
            <w:u w:val="single"/>
            <w:vertAlign w:val="baseline"/>
          </w:rPr>
          <w:t>Puckett v. United States</w:t>
        </w:r>
      </w:hyperlink>
      <w:hyperlink r:id="rId33"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13"/>
      <w:bookmarkEnd w:id="58"/>
      <w:r>
        <w:rPr>
          <w:rFonts w:ascii="arial" w:eastAsia="arial" w:hAnsi="arial" w:cs="arial"/>
          <w:b w:val="0"/>
          <w:i w:val="0"/>
          <w:strike w:val="0"/>
          <w:noProof w:val="0"/>
          <w:color w:val="000000"/>
          <w:position w:val="0"/>
          <w:sz w:val="20"/>
          <w:u w:val="none"/>
          <w:vertAlign w:val="baseline"/>
        </w:rPr>
        <w:t xml:space="preserve">The two-level enhancement under </w:t>
      </w:r>
      <w:hyperlink r:id="rId18" w:history="1">
        <w:r>
          <w:rPr>
            <w:rFonts w:ascii="arial" w:eastAsia="arial" w:hAnsi="arial" w:cs="arial"/>
            <w:b w:val="0"/>
            <w:i/>
            <w:strike w:val="0"/>
            <w:noProof w:val="0"/>
            <w:color w:val="0077CC"/>
            <w:position w:val="0"/>
            <w:sz w:val="20"/>
            <w:u w:val="single"/>
            <w:vertAlign w:val="baseline"/>
          </w:rPr>
          <w:t>Guideline § 2D1.1(b)(16)(C)</w:t>
        </w:r>
      </w:hyperlink>
      <w:r>
        <w:rPr>
          <w:rFonts w:ascii="arial" w:eastAsia="arial" w:hAnsi="arial" w:cs="arial"/>
          <w:b w:val="0"/>
          <w:i w:val="0"/>
          <w:strike w:val="0"/>
          <w:noProof w:val="0"/>
          <w:color w:val="000000"/>
          <w:position w:val="0"/>
          <w:sz w:val="20"/>
          <w:u w:val="none"/>
          <w:vertAlign w:val="baseline"/>
        </w:rPr>
        <w:t xml:space="preserve"> applies only if defendant receives an aggravating-role adjustment, which, as noted, Cantu did not. The Government concedes, and we agree, that this was plain error. Without that enhancement, Cantu's offense level is 29, and, with a criminal history category I, it appears his advisory Guidelines sentencing range is 87 to 108-months' imprisonment. </w:t>
      </w:r>
      <w:bookmarkStart w:id="59" w:name="Bookmark_I68NXBPF2N1PVK0040000400"/>
      <w:bookmarkEnd w:id="59"/>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U.S.S.G. Ch.5, Pt. A</w:t>
      </w:r>
      <w:r>
        <w:rPr>
          <w:rFonts w:ascii="arial" w:eastAsia="arial" w:hAnsi="arial" w:cs="arial"/>
          <w:b w:val="0"/>
          <w:i w:val="0"/>
          <w:strike w:val="0"/>
          <w:noProof w:val="0"/>
          <w:color w:val="000000"/>
          <w:position w:val="0"/>
          <w:sz w:val="20"/>
          <w:u w:val="none"/>
          <w:vertAlign w:val="baseline"/>
        </w:rPr>
        <w:t xml:space="preserve"> (sentencing table). Because the court considered the incorrect range of 108-135 months and Cantu's 120-months' sentence exceeds the above-described correct range, we exercise our discretion under plain-error review to correct the forfeited error. </w:t>
      </w:r>
      <w:r>
        <w:rPr>
          <w:rFonts w:ascii="arial" w:eastAsia="arial" w:hAnsi="arial" w:cs="arial"/>
          <w:b w:val="0"/>
          <w:i/>
          <w:strike w:val="0"/>
          <w:noProof w:val="0"/>
          <w:color w:val="000000"/>
          <w:position w:val="0"/>
          <w:sz w:val="20"/>
          <w:u w:val="none"/>
          <w:vertAlign w:val="baseline"/>
        </w:rPr>
        <w:t xml:space="preserve">See </w:t>
      </w:r>
      <w:bookmarkStart w:id="60" w:name="Bookmark_I68NXBPF2N1PVK0030000400"/>
      <w:bookmarkEnd w:id="60"/>
      <w:hyperlink r:id="rId34" w:history="1">
        <w:r>
          <w:rPr>
            <w:rFonts w:ascii="arial" w:eastAsia="arial" w:hAnsi="arial" w:cs="arial"/>
            <w:b w:val="0"/>
            <w:i/>
            <w:strike w:val="0"/>
            <w:noProof w:val="0"/>
            <w:color w:val="0077CC"/>
            <w:position w:val="0"/>
            <w:sz w:val="20"/>
            <w:u w:val="single"/>
            <w:vertAlign w:val="baseline"/>
          </w:rPr>
          <w:t>Rosales-Mireles v. United States</w:t>
        </w:r>
      </w:hyperlink>
      <w:hyperlink r:id="rId34" w:history="1">
        <w:r>
          <w:rPr>
            <w:rFonts w:ascii="arial" w:eastAsia="arial" w:hAnsi="arial" w:cs="arial"/>
            <w:b w:val="0"/>
            <w:i/>
            <w:strike w:val="0"/>
            <w:noProof w:val="0"/>
            <w:color w:val="0077CC"/>
            <w:position w:val="0"/>
            <w:sz w:val="20"/>
            <w:u w:val="single"/>
            <w:vertAlign w:val="baseline"/>
          </w:rPr>
          <w:t>, 138 S. Ct. 1897, 1907-11, 201 L. Ed. 2d 376 (2018)</w:t>
        </w:r>
      </w:hyperlink>
      <w:r>
        <w:rPr>
          <w:rFonts w:ascii="arial" w:eastAsia="arial" w:hAnsi="arial" w:cs="arial"/>
          <w:b w:val="0"/>
          <w:i w:val="0"/>
          <w:strike w:val="0"/>
          <w:noProof w:val="0"/>
          <w:color w:val="000000"/>
          <w:position w:val="0"/>
          <w:sz w:val="20"/>
          <w:u w:val="none"/>
          <w:vertAlign w:val="baseline"/>
        </w:rPr>
        <w:t>. Therefore, we remand for resentencing.</w:t>
      </w:r>
    </w:p>
    <w:p>
      <w:pPr>
        <w:keepNext w:val="0"/>
        <w:spacing w:before="200" w:after="0" w:line="260" w:lineRule="atLeast"/>
        <w:ind w:left="0" w:right="0" w:firstLine="0"/>
        <w:jc w:val="both"/>
      </w:pPr>
      <w:bookmarkStart w:id="61" w:name="Bookmark_para_14"/>
      <w:bookmarkEnd w:id="61"/>
      <w:r>
        <w:rPr>
          <w:rFonts w:ascii="arial" w:eastAsia="arial" w:hAnsi="arial" w:cs="arial"/>
          <w:b w:val="0"/>
          <w:i w:val="0"/>
          <w:strike w:val="0"/>
          <w:noProof w:val="0"/>
          <w:color w:val="000000"/>
          <w:position w:val="0"/>
          <w:sz w:val="20"/>
          <w:u w:val="none"/>
          <w:vertAlign w:val="baseline"/>
        </w:rPr>
        <w:t xml:space="preserve">We AFFIRM the conviction, the application of the </w:t>
      </w:r>
      <w:hyperlink r:id="rId13" w:history="1">
        <w:r>
          <w:rPr>
            <w:rFonts w:ascii="arial" w:eastAsia="arial" w:hAnsi="arial" w:cs="arial"/>
            <w:b w:val="0"/>
            <w:i/>
            <w:strike w:val="0"/>
            <w:noProof w:val="0"/>
            <w:color w:val="0077CC"/>
            <w:position w:val="0"/>
            <w:sz w:val="20"/>
            <w:u w:val="single"/>
            <w:vertAlign w:val="baseline"/>
          </w:rPr>
          <w:t>§ 2C1.1(c)</w:t>
        </w:r>
      </w:hyperlink>
      <w:r>
        <w:rPr>
          <w:rFonts w:ascii="arial" w:eastAsia="arial" w:hAnsi="arial" w:cs="arial"/>
          <w:b w:val="0"/>
          <w:i w:val="0"/>
          <w:strike w:val="0"/>
          <w:noProof w:val="0"/>
          <w:color w:val="000000"/>
          <w:position w:val="0"/>
          <w:sz w:val="20"/>
          <w:u w:val="none"/>
          <w:vertAlign w:val="baseline"/>
        </w:rPr>
        <w:t xml:space="preserve"> cross-reference, and the denial of a downward variance. We VACATE the sentence and REMAND for resentencing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instruction that, in resentencing Cantu, the district court should consider the correct Guidelines range.</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This opinion is not designated for publication.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5</w:t>
      </w:r>
      <w:r>
        <w:rPr>
          <w:rFonts w:ascii="arial" w:eastAsia="arial" w:hAnsi="arial" w:cs="arial"/>
          <w:b/>
          <w:i/>
          <w:smallCaps/>
          <w:strike w:val="0"/>
          <w:noProof w:val="0"/>
          <w:color w:val="000000"/>
          <w:position w:val="0"/>
          <w:sz w:val="18"/>
          <w:u w:val="none"/>
          <w:vertAlign w:val="baseline"/>
        </w:rPr>
        <w:t>Th Cir. R.</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Cantu, 2023 U.S. App. LEXIS 17069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MV-G7J1-JSC5-M4N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MV-G7J1-JSC5-M4NS-00000-00&amp;context=1519360&amp;link=LNHNREFclscc2" TargetMode="External" /><Relationship Id="rId13" Type="http://schemas.openxmlformats.org/officeDocument/2006/relationships/hyperlink" Target="https://advance.lexis.com/api/document?collection=statutes-legislation&amp;id=urn:contentItem:6D22-4FY3-RRSY-Y000-00000-00&amp;context=1519360" TargetMode="External" /><Relationship Id="rId14" Type="http://schemas.openxmlformats.org/officeDocument/2006/relationships/hyperlink" Target="https://advance.lexis.com/api/document?collection=cases&amp;id=urn:contentItem:68MV-G7J1-JSC5-M4NS-00000-00&amp;context=1519360&amp;link=LNHNREFclscc3" TargetMode="External" /><Relationship Id="rId15" Type="http://schemas.openxmlformats.org/officeDocument/2006/relationships/hyperlink" Target="https://advance.lexis.com/api/document?collection=cases&amp;id=urn:contentItem:68MV-G7J1-JSC5-M4NS-00000-00&amp;context=1519360&amp;link=LNHNREFclscc4" TargetMode="External" /><Relationship Id="rId16" Type="http://schemas.openxmlformats.org/officeDocument/2006/relationships/hyperlink" Target="https://advance.lexis.com/api/document?collection=cases&amp;id=urn:contentItem:68MV-G7J1-JSC5-M4NS-00000-00&amp;context=1519360&amp;link=LNHNREFclscc5" TargetMode="External" /><Relationship Id="rId17" Type="http://schemas.openxmlformats.org/officeDocument/2006/relationships/hyperlink" Target="https://advance.lexis.com/api/document?collection=statutes-legislation&amp;id=urn:contentItem:6CM9-FJ83-RSW6-B16R-00000-00&amp;context=1519360" TargetMode="External" /><Relationship Id="rId18" Type="http://schemas.openxmlformats.org/officeDocument/2006/relationships/hyperlink" Target="https://advance.lexis.com/api/document?collection=statutes-legislation&amp;id=urn:contentItem:6D22-5R13-RRKT-63C1-00000-00&amp;context=1519360" TargetMode="External" /><Relationship Id="rId19" Type="http://schemas.openxmlformats.org/officeDocument/2006/relationships/hyperlink" Target="https://advance.lexis.com/api/document?collection=cases&amp;id=urn:contentItem:68MV-G7J1-JSC5-M4NS-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4RB0-C410-TXFX-125G-00000-00&amp;context=1519360" TargetMode="External" /><Relationship Id="rId22" Type="http://schemas.openxmlformats.org/officeDocument/2006/relationships/hyperlink" Target="https://advance.lexis.com/api/document?collection=cases&amp;id=urn:contentItem:4W15-4SK0-TXFX-732T-00000-00&amp;context=1519360" TargetMode="External" /><Relationship Id="rId23" Type="http://schemas.openxmlformats.org/officeDocument/2006/relationships/hyperlink" Target="https://advance.lexis.com/api/document?collection=cases&amp;id=urn:contentItem:4RV3-16R0-TXFX-71VK-00000-00&amp;context=1519360" TargetMode="External" /><Relationship Id="rId24" Type="http://schemas.openxmlformats.org/officeDocument/2006/relationships/hyperlink" Target="https://advance.lexis.com/api/document?collection=cases&amp;id=urn:contentItem:68MV-G7J1-JSC5-M4NS-00000-00&amp;context=1519360&amp;link=clscc2" TargetMode="External" /><Relationship Id="rId25" Type="http://schemas.openxmlformats.org/officeDocument/2006/relationships/hyperlink" Target="https://advance.lexis.com/api/document?collection=cases&amp;id=urn:contentItem:5144-M1T1-652R-3005-00000-00&amp;context=1519360" TargetMode="External" /><Relationship Id="rId26" Type="http://schemas.openxmlformats.org/officeDocument/2006/relationships/hyperlink" Target="https://advance.lexis.com/api/document?collection=cases&amp;id=urn:contentItem:4HPT-RYT0-0038-X45B-00000-00&amp;context=1519360" TargetMode="External" /><Relationship Id="rId27" Type="http://schemas.openxmlformats.org/officeDocument/2006/relationships/hyperlink" Target="https://advance.lexis.com/api/document?collection=cases&amp;id=urn:contentItem:68MV-G7J1-JSC5-M4NS-00000-00&amp;context=1519360&amp;link=clscc3" TargetMode="External" /><Relationship Id="rId28" Type="http://schemas.openxmlformats.org/officeDocument/2006/relationships/hyperlink" Target="https://advance.lexis.com/api/document?collection=cases&amp;id=urn:contentItem:5S80-TK61-JNS1-M000-00000-00&amp;context=1519360" TargetMode="External" /><Relationship Id="rId29" Type="http://schemas.openxmlformats.org/officeDocument/2006/relationships/hyperlink" Target="https://advance.lexis.com/api/document?collection=cases&amp;id=urn:contentItem:68MV-G7J1-JSC5-M4NS-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8KB-7RW1-F04K-N000-00000-00&amp;context=1519360" TargetMode="External" /><Relationship Id="rId31" Type="http://schemas.openxmlformats.org/officeDocument/2006/relationships/hyperlink" Target="https://advance.lexis.com/api/document?collection=cases&amp;id=urn:contentItem:54GP-RCR1-F04K-N0MW-00000-00&amp;context=1519360" TargetMode="External" /><Relationship Id="rId32" Type="http://schemas.openxmlformats.org/officeDocument/2006/relationships/hyperlink" Target="https://advance.lexis.com/api/document?collection=cases&amp;id=urn:contentItem:68MV-G7J1-JSC5-M4NS-00000-00&amp;context=1519360&amp;link=clscc5" TargetMode="External" /><Relationship Id="rId33" Type="http://schemas.openxmlformats.org/officeDocument/2006/relationships/hyperlink" Target="https://advance.lexis.com/api/document?collection=cases&amp;id=urn:contentItem:4VXD-5VG0-TXFX-13CX-00000-00&amp;context=1519360" TargetMode="External" /><Relationship Id="rId34" Type="http://schemas.openxmlformats.org/officeDocument/2006/relationships/hyperlink" Target="https://advance.lexis.com/api/document?collection=cases&amp;id=urn:contentItem:5SKF-TY81-FGRY-B3R0-00000-00&amp;context=1519360"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V-G7J1-JSC5-M4N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Cantu, 2023 U.S. App. LEXIS 17069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urn:user:PA186186283</vt:lpwstr>
  </property>
</Properties>
</file>