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Roberts v. Wexford Health Sources,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 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ELH-20-0340</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23850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1970441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ROBERTS, Plaintiff, v. WEXFORD HEALTH SOURCES, INC.,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Motion denied by </w:t>
      </w:r>
      <w:hyperlink r:id="rId10" w:history="1">
        <w:r>
          <w:rPr>
            <w:rFonts w:ascii="arial" w:eastAsia="arial" w:hAnsi="arial" w:cs="arial"/>
            <w:b w:val="0"/>
            <w:i/>
            <w:strike w:val="0"/>
            <w:noProof w:val="0"/>
            <w:color w:val="0077CC"/>
            <w:position w:val="0"/>
            <w:sz w:val="20"/>
            <w:u w:val="single"/>
            <w:vertAlign w:val="baseline"/>
          </w:rPr>
          <w:t>Roberts v. Wexford Health Sources, 2023 U.S. App. LEXIS 19770 (4th Cir. Md., Aug. 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Roberts v. Wexford Health Sources, Inc., 2022 U.S. Dist. LEXIS 133421, 2022 WL 2971949 (D. Md., July 26,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summary judgment, discovery, strip search, transported, inmates, searched, material fact, nonmovant, genuine, parties, summary judgment motion, medical appointment, motion to dismiss, district court, Memorandum, pleadings, strip, reasons, defeat, rights, nonmoving party, communications, courts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Roberts, Plaintiff, Pro se, Cumberland,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Wexford Health Sources, Inc., Defendant: Gina Marie Smith, LEAD ATTORNEY, Meyers Rodbell and Rosenbaum PA, Riverdale, MD; Samuel Thomas Wolf, LEAD ATTORNEY, Meyers, Rodbell &amp; Rosenbaum, P.A., Riverdale Park,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Jessup Correctional Institution, Warden, Hagerstown Institution, Jeffery Nines, Warden at N.B.C.I., Commissioner of Maryland DOC, Wayne Webb, Keith Lyons, Defendants: Sharon E Conners, Office of the Attorney General, Baltimore,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Office of the Attorney General, Interested Party: Sharon E Conners, LEAD ATTORNEY, Office of the Attorney General, Baltimore, MD.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Ellen L. Hollander,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Ellen L. Hollander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Brandon Roberts is a prisoner at the North Branch Correctional Institution ("NBCI") in Cumberland, Maryland. He initiated this civil rights action by filing a Complaint, pursuant to </w:t>
      </w:r>
      <w:hyperlink r:id="rId12" w:history="1">
        <w:r>
          <w:rPr>
            <w:rFonts w:ascii="arial" w:eastAsia="arial" w:hAnsi="arial" w:cs="arial"/>
            <w:b w:val="0"/>
            <w:i/>
            <w:strike w:val="0"/>
            <w:noProof w:val="0"/>
            <w:color w:val="0077CC"/>
            <w:position w:val="0"/>
            <w:sz w:val="20"/>
            <w:u w:val="single"/>
            <w:vertAlign w:val="baseline"/>
          </w:rPr>
          <w:t>42 U.S.C. §1983</w:t>
        </w:r>
      </w:hyperlink>
      <w:r>
        <w:rPr>
          <w:rFonts w:ascii="arial" w:eastAsia="arial" w:hAnsi="arial" w:cs="arial"/>
          <w:b w:val="0"/>
          <w:i w:val="0"/>
          <w:strike w:val="0"/>
          <w:noProof w:val="0"/>
          <w:color w:val="000000"/>
          <w:position w:val="0"/>
          <w:sz w:val="20"/>
          <w:u w:val="none"/>
          <w:vertAlign w:val="baseline"/>
        </w:rPr>
        <w:t>. ECF 1. The Complaint was subsequently supplemented, clarified, and verified. ECF 8; ECF 10; ECF 11.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By Memorandum Opinion and Order of July 26, 2022, I granted the motion to dismiss filed by defendant Wexford Health Sources, Inc. ("Wexford"). ECF 44, ECF 45. I also granted in part and denied in part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motion to dismiss or for summary judgment filed by the remaining defendants, all of whom were employed by the Maryland Department of Public Safety and Correctional Services ("DPSCS"): NBCI Warden Jeffrey Nines; J. Phillip Morgan, Warden, Maryland Correctional Training Center ("MCTC"); Wayne Webb, former Commissioner of the Maryland Division of Correction; and Keith Lyons, Acting Warden, Jessup Correctional Institution ("JCI").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particular, I denied summary judgment as to plaintiff's claim that he was subjected to unreasonable strip searches conducted during a transport between prison facilities, allegedly in violation of his constitutional rights. But, I granted summary judgment as to plaintiff's claim of denial of access to the courts.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On October 25, 2022, defendants Nines, Morgan, Webb, and Lyons moved to dismiss or for summary judgment (ECF 55), supported by a memorandum (ECF 55-1) (collectively, the "Motion"). Defendants have also submitted an exhibit under seal, which is the search protocol for inmates in DPSCS custody. ECF 57. They assert that Roberts's strip search claim fails, as he has not stated a constitutional violation. In addition, they assert that the named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defendants are supervisors who were not personally involved or responsible. ECF 55.</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On October 26, 2022, Roberts was notified of his right to respond to the Motion. ECF 60. But, other than notifying the court that he would be filing a late response, and providing a "status report," he has not filed a response.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68, ECF 69. The Motion is ripe for disposition. No hearing is necessary. Local Rule 105.6.</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For reasons that follow, I shall construe the Motion as one for summary judgment and grant it in favor of the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Roberts asserts that he suffered a small fracture to his left wrist while housed at NBCI. ECF 8 at 2. On or about December 16, 2015, he was scheduled to be transported to JCI for a medical appointment at Bon Secours Hospital that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On or about December 17, 2015, Roberts was transported "temporarily" to "Hagerstown" on route to JCI for his medical appointment.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defendants clarify that Roberts's reference to "Hagerstown" is the location where MCTC is located, and that this is the facility Roberts is referencing. ECF 25-1, ECF 25-4 at 2.</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Roberts attended his medical appointment on December 18, 2015, and was then returned directly to JCI.</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ECF 8 at 3. On December 21, 2015, Roberts was transported from JCI to NBCI, with a stop at MCTC "simply to switch transport guards."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On arrival at MCTC, Roberts was escorted to a cage and strip searched a second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While at MCTC, Roberts was under "continuous observation" by the same transporting guards.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then transported to NBCI, where he was strip searched a third time. </w:t>
      </w:r>
      <w:r>
        <w:rPr>
          <w:rFonts w:ascii="arial" w:eastAsia="arial" w:hAnsi="arial" w:cs="arial"/>
          <w:b w:val="0"/>
          <w:i/>
          <w:strike w:val="0"/>
          <w:noProof w:val="0"/>
          <w:color w:val="000000"/>
          <w:position w:val="0"/>
          <w:sz w:val="20"/>
          <w:u w:val="none"/>
          <w:vertAlign w:val="baseline"/>
        </w:rPr>
        <w:t>Id.; see also id.</w:t>
      </w:r>
      <w:r>
        <w:rPr>
          <w:rFonts w:ascii="arial" w:eastAsia="arial" w:hAnsi="arial" w:cs="arial"/>
          <w:b w:val="0"/>
          <w:i w:val="0"/>
          <w:strike w:val="0"/>
          <w:noProof w:val="0"/>
          <w:color w:val="000000"/>
          <w:position w:val="0"/>
          <w:sz w:val="20"/>
          <w:u w:val="none"/>
          <w:vertAlign w:val="baseline"/>
        </w:rPr>
        <w:t xml:space="preserve"> at 5. Roberts had again been under "continuous observation" by the transport officers during his transport from MCTC to NBCI.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 xml:space="preserve">At the time of the NBCI strip search, there was video surveillance, where staff and other employees, both male and female, "can view or glance" at the surveillance.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Roberts complains that he should have been strip searched once, not three times, during his trip from JCI to NBCI.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The defendants' memorandum in support of the Motion references a Declaration from defendant Wayne Webb, submitted with an earlier filing, pertaining to strip search policies in effect at the time the events are alleged to have taken place. ECF 55-1 at 3, 25-4. Webb states that in December 2015, inmates were regularly transported from Western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Maryland to the Central Region to attend court dates or medical appointments. ECF 25-4, at ¶ 4. Further, to conserve resources, and assure attendance at appointments, inmates with appointments geographically near to each other with a specific timeframe would be transported together.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transferring an inmate housed in Western Maryland to the Central Region for an appointment, the inmate would be strip searched on arrival at MCTC and again on arrival at JCI.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 He posits: "For security purposes, it was necessary to strip search all inmates each time they came into the facility from the transport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7.</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Defendants provide the DPSCS inmate search protocol in effect during the relevant timeframe.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Confidential Executive Directive Number OPS.110.0047 ¶ F(1)(A). ECF 57 (under seal). The protocol requires that correctional staff strip search an inmate who is admitted to a facility from another correctional or detention setting.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2"/>
      <w:bookmarkEnd w:id="25"/>
      <w:bookmarkStart w:id="26" w:name="Bookmark_I67JTJTN2SF7S60040000400"/>
      <w:bookmarkEnd w:id="26"/>
      <w:r>
        <w:rPr>
          <w:rFonts w:ascii="arial" w:eastAsia="arial" w:hAnsi="arial" w:cs="arial"/>
          <w:b w:val="0"/>
          <w:i w:val="0"/>
          <w:strike w:val="0"/>
          <w:noProof w:val="0"/>
          <w:color w:val="000000"/>
          <w:position w:val="0"/>
          <w:sz w:val="20"/>
          <w:u w:val="none"/>
          <w:vertAlign w:val="baseline"/>
        </w:rPr>
        <w:t xml:space="preserve">Roberts is self-represented. </w:t>
      </w:r>
      <w:bookmarkStart w:id="27" w:name="Bookmark_I67JTJTP28T4PB0050000400"/>
      <w:bookmarkEnd w:id="27"/>
      <w:r>
        <w:rPr>
          <w:rFonts w:ascii="arial" w:eastAsia="arial" w:hAnsi="arial" w:cs="arial"/>
          <w:b w:val="0"/>
          <w:i w:val="0"/>
          <w:strike w:val="0"/>
          <w:noProof w:val="0"/>
          <w:color w:val="000000"/>
          <w:position w:val="0"/>
          <w:sz w:val="20"/>
          <w:u w:val="none"/>
          <w:vertAlign w:val="baseline"/>
        </w:rPr>
        <w:t xml:space="preserve">Therefore, his submissions are liberally construed. </w:t>
      </w:r>
      <w:bookmarkStart w:id="28" w:name="Bookmark_I67JTJTN2SF7S60030000400"/>
      <w:bookmarkEnd w:id="28"/>
      <w:hyperlink r:id="rId13" w:history="1">
        <w:r>
          <w:rPr>
            <w:rFonts w:ascii="arial" w:eastAsia="arial" w:hAnsi="arial" w:cs="arial"/>
            <w:b w:val="0"/>
            <w:i/>
            <w:strike w:val="0"/>
            <w:noProof w:val="0"/>
            <w:color w:val="0077CC"/>
            <w:position w:val="0"/>
            <w:sz w:val="20"/>
            <w:u w:val="single"/>
            <w:vertAlign w:val="baseline"/>
          </w:rPr>
          <w:t>Erickson v. Pardus</w:t>
        </w:r>
      </w:hyperlink>
      <w:hyperlink r:id="rId13"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see </w:t>
      </w:r>
      <w:hyperlink r:id="rId14" w:history="1">
        <w:r>
          <w:rPr>
            <w:rFonts w:ascii="arial" w:eastAsia="arial" w:hAnsi="arial" w:cs="arial"/>
            <w:b w:val="0"/>
            <w:i/>
            <w:strike w:val="0"/>
            <w:noProof w:val="0"/>
            <w:color w:val="0077CC"/>
            <w:position w:val="0"/>
            <w:sz w:val="20"/>
            <w:u w:val="single"/>
            <w:vertAlign w:val="baseline"/>
          </w:rPr>
          <w:t>Fed. R. Civ. P. 8(f)</w:t>
        </w:r>
      </w:hyperlink>
      <w:r>
        <w:rPr>
          <w:rFonts w:ascii="arial" w:eastAsia="arial" w:hAnsi="arial" w:cs="arial"/>
          <w:b w:val="0"/>
          <w:i w:val="0"/>
          <w:strike w:val="0"/>
          <w:noProof w:val="0"/>
          <w:color w:val="000000"/>
          <w:position w:val="0"/>
          <w:sz w:val="20"/>
          <w:u w:val="none"/>
          <w:vertAlign w:val="baseline"/>
        </w:rPr>
        <w:t xml:space="preserve"> ("All pleadings shall be so construed as to do substantial justice"); </w:t>
      </w:r>
      <w:r>
        <w:rPr>
          <w:rFonts w:ascii="arial" w:eastAsia="arial" w:hAnsi="arial" w:cs="arial"/>
          <w:b w:val="0"/>
          <w:i/>
          <w:strike w:val="0"/>
          <w:noProof w:val="0"/>
          <w:color w:val="000000"/>
          <w:position w:val="0"/>
          <w:sz w:val="20"/>
          <w:u w:val="none"/>
          <w:vertAlign w:val="baseline"/>
        </w:rPr>
        <w:t xml:space="preserve">see also </w:t>
      </w:r>
      <w:bookmarkStart w:id="29" w:name="Bookmark_I67JTJTN2SF7S60050000400"/>
      <w:bookmarkEnd w:id="29"/>
      <w:hyperlink r:id="rId15" w:history="1">
        <w:r>
          <w:rPr>
            <w:rFonts w:ascii="arial" w:eastAsia="arial" w:hAnsi="arial" w:cs="arial"/>
            <w:b w:val="0"/>
            <w:i/>
            <w:strike w:val="0"/>
            <w:noProof w:val="0"/>
            <w:color w:val="0077CC"/>
            <w:position w:val="0"/>
            <w:sz w:val="20"/>
            <w:u w:val="single"/>
            <w:vertAlign w:val="baseline"/>
          </w:rPr>
          <w:t>Haines v. Kerner</w:t>
        </w:r>
      </w:hyperlink>
      <w:hyperlink r:id="rId15"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(stating that claims of self-represented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litigants are held "to less stringent standards than formal pleadings drafted by lawyers"); </w:t>
      </w:r>
      <w:r>
        <w:rPr>
          <w:rFonts w:ascii="arial" w:eastAsia="arial" w:hAnsi="arial" w:cs="arial"/>
          <w:b w:val="0"/>
          <w:i/>
          <w:strike w:val="0"/>
          <w:noProof w:val="0"/>
          <w:color w:val="000000"/>
          <w:position w:val="0"/>
          <w:sz w:val="20"/>
          <w:u w:val="none"/>
          <w:vertAlign w:val="baseline"/>
        </w:rPr>
        <w:t xml:space="preserve">accord </w:t>
      </w:r>
      <w:bookmarkStart w:id="30" w:name="Bookmark_I67JTJTP28T4PB0020000400"/>
      <w:bookmarkEnd w:id="30"/>
      <w:hyperlink r:id="rId16" w:history="1">
        <w:r>
          <w:rPr>
            <w:rFonts w:ascii="arial" w:eastAsia="arial" w:hAnsi="arial" w:cs="arial"/>
            <w:b w:val="0"/>
            <w:i/>
            <w:strike w:val="0"/>
            <w:noProof w:val="0"/>
            <w:color w:val="0077CC"/>
            <w:position w:val="0"/>
            <w:sz w:val="20"/>
            <w:u w:val="single"/>
            <w:vertAlign w:val="baseline"/>
          </w:rPr>
          <w:t>Bala v. Cmm'w of Va. Dep't of Conservation &amp; Recreation</w:t>
        </w:r>
      </w:hyperlink>
      <w:hyperlink r:id="rId16" w:history="1">
        <w:r>
          <w:rPr>
            <w:rFonts w:ascii="arial" w:eastAsia="arial" w:hAnsi="arial" w:cs="arial"/>
            <w:b w:val="0"/>
            <w:i/>
            <w:strike w:val="0"/>
            <w:noProof w:val="0"/>
            <w:color w:val="0077CC"/>
            <w:position w:val="0"/>
            <w:sz w:val="20"/>
            <w:u w:val="single"/>
            <w:vertAlign w:val="baseline"/>
          </w:rPr>
          <w:t>, 532 F. App'x 332, 334 (4th Cir. 2013)</w:t>
        </w:r>
      </w:hyperlink>
      <w:r>
        <w:rPr>
          <w:rFonts w:ascii="arial" w:eastAsia="arial" w:hAnsi="arial" w:cs="arial"/>
          <w:b w:val="0"/>
          <w:i w:val="0"/>
          <w:strike w:val="0"/>
          <w:noProof w:val="0"/>
          <w:color w:val="000000"/>
          <w:position w:val="0"/>
          <w:sz w:val="20"/>
          <w:u w:val="none"/>
          <w:vertAlign w:val="baseline"/>
        </w:rPr>
        <w:t xml:space="preserve">. </w:t>
      </w:r>
      <w:bookmarkStart w:id="31" w:name="Bookmark_I67JTJTP28T4PB0050000400_2"/>
      <w:bookmarkEnd w:id="31"/>
      <w:r>
        <w:rPr>
          <w:rFonts w:ascii="arial" w:eastAsia="arial" w:hAnsi="arial" w:cs="arial"/>
          <w:b w:val="0"/>
          <w:i w:val="0"/>
          <w:strike w:val="0"/>
          <w:noProof w:val="0"/>
          <w:color w:val="000000"/>
          <w:position w:val="0"/>
          <w:sz w:val="20"/>
          <w:u w:val="none"/>
          <w:vertAlign w:val="baseline"/>
        </w:rPr>
        <w:t xml:space="preserve">But, the court must also abide by the "'affirmative obligation of the trial judge to prevent factually unsupported claims and defenses from proceeding to trial.'" </w:t>
      </w:r>
      <w:bookmarkStart w:id="32" w:name="Bookmark_I67JTJTP28T4PB0040000400"/>
      <w:bookmarkEnd w:id="32"/>
      <w:hyperlink r:id="rId17" w:history="1">
        <w:r>
          <w:rPr>
            <w:rFonts w:ascii="arial" w:eastAsia="arial" w:hAnsi="arial" w:cs="arial"/>
            <w:b w:val="0"/>
            <w:i/>
            <w:strike w:val="0"/>
            <w:noProof w:val="0"/>
            <w:color w:val="0077CC"/>
            <w:position w:val="0"/>
            <w:sz w:val="20"/>
            <w:u w:val="single"/>
            <w:vertAlign w:val="baseline"/>
          </w:rPr>
          <w:t>Bouchat v. Baltimore Ravens Football Club, Inc.</w:t>
        </w:r>
      </w:hyperlink>
      <w:hyperlink r:id="rId17" w:history="1">
        <w:r>
          <w:rPr>
            <w:rFonts w:ascii="arial" w:eastAsia="arial" w:hAnsi="arial" w:cs="arial"/>
            <w:b w:val="0"/>
            <w:i/>
            <w:strike w:val="0"/>
            <w:noProof w:val="0"/>
            <w:color w:val="0077CC"/>
            <w:position w:val="0"/>
            <w:sz w:val="20"/>
            <w:u w:val="single"/>
            <w:vertAlign w:val="baseline"/>
          </w:rPr>
          <w:t>, 346 F.3d 514, 526 (4th Cir. 2003)</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33" w:name="Bookmark_I67JTJTP2N1R220010000400"/>
      <w:bookmarkEnd w:id="33"/>
      <w:hyperlink r:id="rId18" w:history="1">
        <w:r>
          <w:rPr>
            <w:rFonts w:ascii="arial" w:eastAsia="arial" w:hAnsi="arial" w:cs="arial"/>
            <w:b w:val="0"/>
            <w:i/>
            <w:strike w:val="0"/>
            <w:noProof w:val="0"/>
            <w:color w:val="0077CC"/>
            <w:position w:val="0"/>
            <w:sz w:val="20"/>
            <w:u w:val="single"/>
            <w:vertAlign w:val="baseline"/>
          </w:rPr>
          <w:t>Drewitt v. Pratt</w:t>
        </w:r>
      </w:hyperlink>
      <w:hyperlink r:id="rId18" w:history="1">
        <w:r>
          <w:rPr>
            <w:rFonts w:ascii="arial" w:eastAsia="arial" w:hAnsi="arial" w:cs="arial"/>
            <w:b w:val="0"/>
            <w:i/>
            <w:strike w:val="0"/>
            <w:noProof w:val="0"/>
            <w:color w:val="0077CC"/>
            <w:position w:val="0"/>
            <w:sz w:val="20"/>
            <w:u w:val="single"/>
            <w:vertAlign w:val="baseline"/>
          </w:rPr>
          <w:t>, 999 F.2d 774, 778-79 (4th Cir. 1993)</w:t>
        </w:r>
      </w:hyperlink>
      <w:r>
        <w:rPr>
          <w:rFonts w:ascii="arial" w:eastAsia="arial" w:hAnsi="arial" w:cs="arial"/>
          <w:b w:val="0"/>
          <w:i w:val="0"/>
          <w:strike w:val="0"/>
          <w:noProof w:val="0"/>
          <w:color w:val="000000"/>
          <w:position w:val="0"/>
          <w:sz w:val="20"/>
          <w:u w:val="none"/>
          <w:vertAlign w:val="baseline"/>
        </w:rPr>
        <w:t xml:space="preserve">, and citing </w:t>
      </w:r>
      <w:bookmarkStart w:id="34" w:name="Bookmark_I67JTJTP2N1R220030000400"/>
      <w:bookmarkEnd w:id="34"/>
      <w:hyperlink r:id="rId19" w:history="1">
        <w:r>
          <w:rPr>
            <w:rFonts w:ascii="arial" w:eastAsia="arial" w:hAnsi="arial" w:cs="arial"/>
            <w:b w:val="0"/>
            <w:i/>
            <w:strike w:val="0"/>
            <w:noProof w:val="0"/>
            <w:color w:val="0077CC"/>
            <w:position w:val="0"/>
            <w:sz w:val="20"/>
            <w:u w:val="single"/>
            <w:vertAlign w:val="baseline"/>
          </w:rPr>
          <w:t>Celotex Corp. v. Catrett</w:t>
        </w:r>
      </w:hyperlink>
      <w:hyperlink r:id="rId19" w:history="1">
        <w:r>
          <w:rPr>
            <w:rFonts w:ascii="arial" w:eastAsia="arial" w:hAnsi="arial" w:cs="arial"/>
            <w:b w:val="0"/>
            <w:i/>
            <w:strike w:val="0"/>
            <w:noProof w:val="0"/>
            <w:color w:val="0077CC"/>
            <w:position w:val="0"/>
            <w:sz w:val="20"/>
            <w:u w:val="single"/>
            <w:vertAlign w:val="baseline"/>
          </w:rPr>
          <w:t>, 477 U.S. 317, 323-24, 106 S. Ct. 2548, 91 L. Ed. 2d 265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541 U.S. 1042, 124 S. Ct. 2171, 158 L. Ed. 2d 732 (2004)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3"/>
      <w:bookmarkEnd w:id="35"/>
      <w:bookmarkStart w:id="36" w:name="Bookmark_I67JTJTR2HM6VJ0010000400"/>
      <w:bookmarkEnd w:id="36"/>
      <w:r>
        <w:rPr>
          <w:rFonts w:ascii="arial" w:eastAsia="arial" w:hAnsi="arial" w:cs="arial"/>
          <w:b w:val="0"/>
          <w:i w:val="0"/>
          <w:strike w:val="0"/>
          <w:noProof w:val="0"/>
          <w:color w:val="000000"/>
          <w:position w:val="0"/>
          <w:sz w:val="20"/>
          <w:u w:val="none"/>
          <w:vertAlign w:val="baseline"/>
        </w:rPr>
        <w:t xml:space="preserve">Defendants' Motion is styled as a motion to dismiss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or, in the alternative, for summary judgment under </w:t>
      </w:r>
      <w:hyperlink r:id="rId20"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A motion styled in this manner implicates the court's discretion under </w:t>
      </w:r>
      <w:r>
        <w:rPr>
          <w:rFonts w:ascii="arial" w:eastAsia="arial" w:hAnsi="arial" w:cs="arial"/>
          <w:b w:val="0"/>
          <w:i/>
          <w:strike w:val="0"/>
          <w:noProof w:val="0"/>
          <w:color w:val="000000"/>
          <w:position w:val="0"/>
          <w:sz w:val="20"/>
          <w:u w:val="none"/>
          <w:vertAlign w:val="baseline"/>
        </w:rPr>
        <w:t>Rule 12(d) of the Federal Rules of Civil Procedure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7" w:name="Bookmark_I67JTJTP2N1R220050000400"/>
      <w:bookmarkEnd w:id="37"/>
      <w:hyperlink r:id="rId21" w:history="1">
        <w:r>
          <w:rPr>
            <w:rFonts w:ascii="arial" w:eastAsia="arial" w:hAnsi="arial" w:cs="arial"/>
            <w:b w:val="0"/>
            <w:i/>
            <w:strike w:val="0"/>
            <w:noProof w:val="0"/>
            <w:color w:val="0077CC"/>
            <w:position w:val="0"/>
            <w:sz w:val="20"/>
            <w:u w:val="single"/>
            <w:vertAlign w:val="baseline"/>
          </w:rPr>
          <w:t>Kensington Vol. Fire Dept., Inc. v. Montgomery County</w:t>
        </w:r>
      </w:hyperlink>
      <w:hyperlink r:id="rId21" w:history="1">
        <w:r>
          <w:rPr>
            <w:rFonts w:ascii="arial" w:eastAsia="arial" w:hAnsi="arial" w:cs="arial"/>
            <w:b w:val="0"/>
            <w:i/>
            <w:strike w:val="0"/>
            <w:noProof w:val="0"/>
            <w:color w:val="0077CC"/>
            <w:position w:val="0"/>
            <w:sz w:val="20"/>
            <w:u w:val="single"/>
            <w:vertAlign w:val="baseline"/>
          </w:rPr>
          <w:t>, 788 F. Supp. 2d 431, 436-37 (D. Md.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4"/>
      <w:bookmarkEnd w:id="38"/>
      <w:bookmarkStart w:id="39" w:name="Bookmark_I67JTJTR2HM6VJ0030000400"/>
      <w:bookmarkEnd w:id="39"/>
      <w:bookmarkStart w:id="40" w:name="Bookmark_I67JTJTR2HM6VJ0050000400"/>
      <w:bookmarkEnd w:id="40"/>
      <w:r>
        <w:rPr>
          <w:rFonts w:ascii="arial" w:eastAsia="arial" w:hAnsi="arial" w:cs="arial"/>
          <w:b w:val="0"/>
          <w:i w:val="0"/>
          <w:strike w:val="0"/>
          <w:noProof w:val="0"/>
          <w:color w:val="000000"/>
          <w:position w:val="0"/>
          <w:sz w:val="20"/>
          <w:u w:val="none"/>
          <w:vertAlign w:val="baseline"/>
        </w:rPr>
        <w:t xml:space="preserve">Ordinarily, a court "is not to consider matters outside the pleadings or resolve factual disputes when ruling on a motion to dismiss." </w:t>
      </w:r>
      <w:bookmarkStart w:id="41" w:name="Bookmark_I67JTJTR2HM6VJ0020000400"/>
      <w:bookmarkEnd w:id="41"/>
      <w:hyperlink r:id="rId22" w:history="1">
        <w:r>
          <w:rPr>
            <w:rFonts w:ascii="arial" w:eastAsia="arial" w:hAnsi="arial" w:cs="arial"/>
            <w:b w:val="0"/>
            <w:i/>
            <w:strike w:val="0"/>
            <w:noProof w:val="0"/>
            <w:color w:val="0077CC"/>
            <w:position w:val="0"/>
            <w:sz w:val="20"/>
            <w:u w:val="single"/>
            <w:vertAlign w:val="baseline"/>
          </w:rPr>
          <w:t>Bosiger v. U.S. Airways, Inc.</w:t>
        </w:r>
      </w:hyperlink>
      <w:hyperlink r:id="rId22" w:history="1">
        <w:r>
          <w:rPr>
            <w:rFonts w:ascii="arial" w:eastAsia="arial" w:hAnsi="arial" w:cs="arial"/>
            <w:b w:val="0"/>
            <w:i/>
            <w:strike w:val="0"/>
            <w:noProof w:val="0"/>
            <w:color w:val="0077CC"/>
            <w:position w:val="0"/>
            <w:sz w:val="20"/>
            <w:u w:val="single"/>
            <w:vertAlign w:val="baseline"/>
          </w:rPr>
          <w:t>, 510 F.3d 442, 450 (4th Cir. 2007)</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however, a court, in its discretion, may consider matters outside of the pleadings, pursuant to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If the court does so, "the motion must be treated as one for summary judgment under </w:t>
      </w:r>
      <w:hyperlink r:id="rId2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but "[a]ll parties must be given a reasonable opportunity to present all the material that is pertinent to the motion." </w:t>
      </w:r>
      <w:r>
        <w:rPr>
          <w:rFonts w:ascii="arial" w:eastAsia="arial" w:hAnsi="arial" w:cs="arial"/>
          <w:b w:val="0"/>
          <w:i/>
          <w:strike w:val="0"/>
          <w:noProof w:val="0"/>
          <w:color w:val="000000"/>
          <w:position w:val="0"/>
          <w:sz w:val="20"/>
          <w:u w:val="none"/>
          <w:vertAlign w:val="baseline"/>
        </w:rPr>
        <w:t>Fed. R. Civ. P. 12(d)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67JTJTR2HM6VJ0040000400"/>
      <w:bookmarkEnd w:id="42"/>
      <w:hyperlink r:id="rId23" w:history="1">
        <w:r>
          <w:rPr>
            <w:rFonts w:ascii="arial" w:eastAsia="arial" w:hAnsi="arial" w:cs="arial"/>
            <w:b w:val="0"/>
            <w:i/>
            <w:strike w:val="0"/>
            <w:noProof w:val="0"/>
            <w:color w:val="0077CC"/>
            <w:position w:val="0"/>
            <w:sz w:val="20"/>
            <w:u w:val="single"/>
            <w:vertAlign w:val="baseline"/>
          </w:rPr>
          <w:t>Adams Housing, LLC v. The City of Salisbury, Maryland</w:t>
        </w:r>
      </w:hyperlink>
      <w:hyperlink r:id="rId23" w:history="1">
        <w:r>
          <w:rPr>
            <w:rFonts w:ascii="arial" w:eastAsia="arial" w:hAnsi="arial" w:cs="arial"/>
            <w:b w:val="0"/>
            <w:i/>
            <w:strike w:val="0"/>
            <w:noProof w:val="0"/>
            <w:color w:val="0077CC"/>
            <w:position w:val="0"/>
            <w:sz w:val="20"/>
            <w:u w:val="single"/>
            <w:vertAlign w:val="baseline"/>
          </w:rPr>
          <w:t>, 672 F. App'x 220, 222 (4th Cir. 2016)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43" w:name="Bookmark_para_15"/>
      <w:bookmarkEnd w:id="43"/>
      <w:bookmarkStart w:id="44" w:name="Bookmark_I67JTJTR2D6NVT0020000400"/>
      <w:bookmarkEnd w:id="44"/>
      <w:bookmarkStart w:id="45" w:name="Bookmark_I67JTJTS2HM6VN0030000400"/>
      <w:bookmarkEnd w:id="45"/>
      <w:r>
        <w:rPr>
          <w:rFonts w:ascii="arial" w:eastAsia="arial" w:hAnsi="arial" w:cs="arial"/>
          <w:b w:val="0"/>
          <w:i w:val="0"/>
          <w:strike w:val="0"/>
          <w:noProof w:val="0"/>
          <w:color w:val="000000"/>
          <w:position w:val="0"/>
          <w:sz w:val="20"/>
          <w:u w:val="none"/>
          <w:vertAlign w:val="baseline"/>
        </w:rPr>
        <w:t xml:space="preserve">A court may not convert a motion to dismiss to one for summary judgment sua sponte, unless it gives notice to the parties that it will do so. </w:t>
      </w:r>
      <w:r>
        <w:rPr>
          <w:rFonts w:ascii="arial" w:eastAsia="arial" w:hAnsi="arial" w:cs="arial"/>
          <w:b w:val="0"/>
          <w:i/>
          <w:strike w:val="0"/>
          <w:noProof w:val="0"/>
          <w:color w:val="000000"/>
          <w:position w:val="0"/>
          <w:sz w:val="20"/>
          <w:u w:val="none"/>
          <w:vertAlign w:val="baseline"/>
        </w:rPr>
        <w:t xml:space="preserve">See </w:t>
      </w:r>
      <w:bookmarkStart w:id="46" w:name="Bookmark_I67JTJTR2D6NVT0010000400"/>
      <w:bookmarkEnd w:id="46"/>
      <w:hyperlink r:id="rId24" w:history="1">
        <w:r>
          <w:rPr>
            <w:rFonts w:ascii="arial" w:eastAsia="arial" w:hAnsi="arial" w:cs="arial"/>
            <w:b w:val="0"/>
            <w:i/>
            <w:strike w:val="0"/>
            <w:noProof w:val="0"/>
            <w:color w:val="0077CC"/>
            <w:position w:val="0"/>
            <w:sz w:val="20"/>
            <w:u w:val="single"/>
            <w:vertAlign w:val="baseline"/>
          </w:rPr>
          <w:t>Laughlin v. Metro Washington Airports Auth.</w:t>
        </w:r>
      </w:hyperlink>
      <w:hyperlink r:id="rId24" w:history="1">
        <w:r>
          <w:rPr>
            <w:rFonts w:ascii="arial" w:eastAsia="arial" w:hAnsi="arial" w:cs="arial"/>
            <w:b w:val="0"/>
            <w:i/>
            <w:strike w:val="0"/>
            <w:noProof w:val="0"/>
            <w:color w:val="0077CC"/>
            <w:position w:val="0"/>
            <w:sz w:val="20"/>
            <w:u w:val="single"/>
            <w:vertAlign w:val="baseline"/>
          </w:rPr>
          <w:t>, 149 F.3d 253, 261 (4th Cir. 1998)</w:t>
        </w:r>
      </w:hyperlink>
      <w:r>
        <w:rPr>
          <w:rFonts w:ascii="arial" w:eastAsia="arial" w:hAnsi="arial" w:cs="arial"/>
          <w:b w:val="0"/>
          <w:i w:val="0"/>
          <w:strike w:val="0"/>
          <w:noProof w:val="0"/>
          <w:color w:val="000000"/>
          <w:position w:val="0"/>
          <w:sz w:val="20"/>
          <w:u w:val="none"/>
          <w:vertAlign w:val="baseline"/>
        </w:rPr>
        <w:t xml:space="preserve"> (stating that a district court "clearly has an obligation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notify parties regarding any court-instituted changes" in the posture of a motion, including conversion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w:t>
      </w:r>
      <w:bookmarkStart w:id="47" w:name="Bookmark_I67JTJTR2D6NVT0030000400"/>
      <w:bookmarkEnd w:id="47"/>
      <w:hyperlink r:id="rId25" w:history="1">
        <w:r>
          <w:rPr>
            <w:rFonts w:ascii="arial" w:eastAsia="arial" w:hAnsi="arial" w:cs="arial"/>
            <w:b w:val="0"/>
            <w:i/>
            <w:strike w:val="0"/>
            <w:noProof w:val="0"/>
            <w:color w:val="0077CC"/>
            <w:position w:val="0"/>
            <w:sz w:val="20"/>
            <w:u w:val="single"/>
            <w:vertAlign w:val="baseline"/>
          </w:rPr>
          <w:t>Finley Lines Joint Protective Bd. Unit 200 v. Norfolk So. Corp.</w:t>
        </w:r>
      </w:hyperlink>
      <w:hyperlink r:id="rId25" w:history="1">
        <w:r>
          <w:rPr>
            <w:rFonts w:ascii="arial" w:eastAsia="arial" w:hAnsi="arial" w:cs="arial"/>
            <w:b w:val="0"/>
            <w:i/>
            <w:strike w:val="0"/>
            <w:noProof w:val="0"/>
            <w:color w:val="0077CC"/>
            <w:position w:val="0"/>
            <w:sz w:val="20"/>
            <w:u w:val="single"/>
            <w:vertAlign w:val="baseline"/>
          </w:rPr>
          <w:t>, 109 F.3d 993, 997 (4th Cir. 1997)</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supported by extraneous materials cannot be regarded as one for summary judgment until the district court acts to convert the motion by indicating that it will not exclude from its consideration of the motion the supporting extraneous materials."); </w:t>
      </w:r>
      <w:r>
        <w:rPr>
          <w:rFonts w:ascii="arial" w:eastAsia="arial" w:hAnsi="arial" w:cs="arial"/>
          <w:b w:val="0"/>
          <w:i/>
          <w:strike w:val="0"/>
          <w:noProof w:val="0"/>
          <w:color w:val="000000"/>
          <w:position w:val="0"/>
          <w:sz w:val="20"/>
          <w:u w:val="none"/>
          <w:vertAlign w:val="baseline"/>
        </w:rPr>
        <w:t xml:space="preserve">see also </w:t>
      </w:r>
      <w:bookmarkStart w:id="48" w:name="Bookmark_I67JTJTR2D6NVT0050000400"/>
      <w:bookmarkEnd w:id="48"/>
      <w:hyperlink r:id="rId23" w:history="1">
        <w:r>
          <w:rPr>
            <w:rFonts w:ascii="arial" w:eastAsia="arial" w:hAnsi="arial" w:cs="arial"/>
            <w:b w:val="0"/>
            <w:i/>
            <w:strike w:val="0"/>
            <w:noProof w:val="0"/>
            <w:color w:val="0077CC"/>
            <w:position w:val="0"/>
            <w:sz w:val="20"/>
            <w:u w:val="single"/>
            <w:vertAlign w:val="baseline"/>
          </w:rPr>
          <w:t>Adams Housing, LLC</w:t>
        </w:r>
      </w:hyperlink>
      <w:hyperlink r:id="rId23" w:history="1">
        <w:r>
          <w:rPr>
            <w:rFonts w:ascii="arial" w:eastAsia="arial" w:hAnsi="arial" w:cs="arial"/>
            <w:b w:val="0"/>
            <w:i/>
            <w:strike w:val="0"/>
            <w:noProof w:val="0"/>
            <w:color w:val="0077CC"/>
            <w:position w:val="0"/>
            <w:sz w:val="20"/>
            <w:u w:val="single"/>
            <w:vertAlign w:val="baseline"/>
          </w:rPr>
          <w:t>, 672 F. App'x at 222</w:t>
        </w:r>
      </w:hyperlink>
      <w:r>
        <w:rPr>
          <w:rFonts w:ascii="arial" w:eastAsia="arial" w:hAnsi="arial" w:cs="arial"/>
          <w:b w:val="0"/>
          <w:i w:val="0"/>
          <w:strike w:val="0"/>
          <w:noProof w:val="0"/>
          <w:color w:val="000000"/>
          <w:position w:val="0"/>
          <w:sz w:val="20"/>
          <w:u w:val="none"/>
          <w:vertAlign w:val="baseline"/>
        </w:rPr>
        <w:t xml:space="preserve"> ("The court must give notice to ensure that the party is aware that it must 'come forward with all of [its] evidence.'") (citation omitted). However, when the movant expressly captions its motion "in the alternative" as one for summary judgment, and submits matters outside the pleadings for the court's consideration, the parties are deemed to be on notice that conversion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may occur; the court "does not have an obligation to notify parties of the obvious." </w:t>
      </w:r>
      <w:bookmarkStart w:id="49" w:name="Bookmark_I67JTJTS2HM6VN0020000400"/>
      <w:bookmarkEnd w:id="49"/>
      <w:hyperlink r:id="rId24" w:history="1">
        <w:r>
          <w:rPr>
            <w:rFonts w:ascii="arial" w:eastAsia="arial" w:hAnsi="arial" w:cs="arial"/>
            <w:b w:val="0"/>
            <w:i/>
            <w:strike w:val="0"/>
            <w:noProof w:val="0"/>
            <w:color w:val="0077CC"/>
            <w:position w:val="0"/>
            <w:sz w:val="20"/>
            <w:u w:val="single"/>
            <w:vertAlign w:val="baseline"/>
          </w:rPr>
          <w:t>Laughlin</w:t>
        </w:r>
      </w:hyperlink>
      <w:hyperlink r:id="rId24" w:history="1">
        <w:r>
          <w:rPr>
            <w:rFonts w:ascii="arial" w:eastAsia="arial" w:hAnsi="arial" w:cs="arial"/>
            <w:b w:val="0"/>
            <w:i/>
            <w:strike w:val="0"/>
            <w:noProof w:val="0"/>
            <w:color w:val="0077CC"/>
            <w:position w:val="0"/>
            <w:sz w:val="20"/>
            <w:u w:val="single"/>
            <w:vertAlign w:val="baseline"/>
          </w:rPr>
          <w:t>, 149 F.3d at 261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6"/>
      <w:bookmarkEnd w:id="50"/>
      <w:r>
        <w:rPr>
          <w:rFonts w:ascii="arial" w:eastAsia="arial" w:hAnsi="arial" w:cs="arial"/>
          <w:b w:val="0"/>
          <w:i w:val="0"/>
          <w:strike w:val="0"/>
          <w:noProof w:val="0"/>
          <w:color w:val="000000"/>
          <w:position w:val="0"/>
          <w:sz w:val="20"/>
          <w:u w:val="none"/>
          <w:vertAlign w:val="baseline"/>
        </w:rPr>
        <w:t xml:space="preserve">A district judge has "complete discretion to determine whether or not to accept the submission of any material beyond the pleadings that is offered in conjunction with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and rely on it, thereby converting the motion, or to reject it or simply not consider it." 5 C </w:t>
      </w:r>
      <w:r>
        <w:rPr>
          <w:rFonts w:ascii="arial" w:eastAsia="arial" w:hAnsi="arial" w:cs="arial"/>
          <w:b w:val="0"/>
          <w:i w:val="0"/>
          <w:smallCaps/>
          <w:strike w:val="0"/>
          <w:noProof w:val="0"/>
          <w:color w:val="000000"/>
          <w:position w:val="0"/>
          <w:sz w:val="20"/>
          <w:u w:val="none"/>
          <w:vertAlign w:val="baseline"/>
        </w:rPr>
        <w:t>Wright &amp; Miller, Federal Practice &amp; Procedure</w:t>
      </w:r>
      <w:r>
        <w:rPr>
          <w:rFonts w:ascii="arial" w:eastAsia="arial" w:hAnsi="arial" w:cs="arial"/>
          <w:b w:val="0"/>
          <w:i w:val="0"/>
          <w:strike w:val="0"/>
          <w:noProof w:val="0"/>
          <w:color w:val="000000"/>
          <w:position w:val="0"/>
          <w:sz w:val="20"/>
          <w:u w:val="none"/>
          <w:vertAlign w:val="baseline"/>
        </w:rPr>
        <w:t xml:space="preserve"> § 1366, at 159</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(3d ed. 2004, 2011 Supp.). But, this discretion "should be exercised with great caution and attention to the parties' procedural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 In general, courts are guided by whether consideration of extraneous material "is likely to facilitate the disposition of the action," and "whether discovery prior to the utilization of the summary judgment procedure" is 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165-67.</w:t>
      </w:r>
    </w:p>
    <w:p>
      <w:pPr>
        <w:keepNext w:val="0"/>
        <w:spacing w:before="240" w:after="0" w:line="260" w:lineRule="atLeast"/>
        <w:ind w:left="0" w:right="0" w:firstLine="0"/>
        <w:jc w:val="both"/>
      </w:pPr>
      <w:bookmarkStart w:id="51" w:name="Bookmark_para_17"/>
      <w:bookmarkEnd w:id="51"/>
      <w:bookmarkStart w:id="52" w:name="Bookmark_I67JTJTS2HM6VN0050000400"/>
      <w:bookmarkEnd w:id="52"/>
      <w:bookmarkStart w:id="53" w:name="Bookmark_I67JTJTS2SF7SG0030000400"/>
      <w:bookmarkEnd w:id="53"/>
      <w:r>
        <w:rPr>
          <w:rFonts w:ascii="arial" w:eastAsia="arial" w:hAnsi="arial" w:cs="arial"/>
          <w:b w:val="0"/>
          <w:i w:val="0"/>
          <w:strike w:val="0"/>
          <w:noProof w:val="0"/>
          <w:color w:val="000000"/>
          <w:position w:val="0"/>
          <w:sz w:val="20"/>
          <w:u w:val="none"/>
          <w:vertAlign w:val="baseline"/>
        </w:rPr>
        <w:t xml:space="preserve">Summary judgment is generally inappropriate "where the parties have not had an opportunity for reasonable discovery." </w:t>
      </w:r>
      <w:bookmarkStart w:id="54" w:name="Bookmark_I67JTJTS2HM6VN0040000400"/>
      <w:bookmarkEnd w:id="54"/>
      <w:hyperlink r:id="rId26" w:history="1">
        <w:r>
          <w:rPr>
            <w:rFonts w:ascii="arial" w:eastAsia="arial" w:hAnsi="arial" w:cs="arial"/>
            <w:b w:val="0"/>
            <w:i/>
            <w:strike w:val="0"/>
            <w:noProof w:val="0"/>
            <w:color w:val="0077CC"/>
            <w:position w:val="0"/>
            <w:sz w:val="20"/>
            <w:u w:val="single"/>
            <w:vertAlign w:val="baseline"/>
          </w:rPr>
          <w:t>E.I. du Pont De Nemours and Co. v. Kolon Industries, Inc.</w:t>
        </w:r>
      </w:hyperlink>
      <w:hyperlink r:id="rId26" w:history="1">
        <w:r>
          <w:rPr>
            <w:rFonts w:ascii="arial" w:eastAsia="arial" w:hAnsi="arial" w:cs="arial"/>
            <w:b w:val="0"/>
            <w:i/>
            <w:strike w:val="0"/>
            <w:noProof w:val="0"/>
            <w:color w:val="0077CC"/>
            <w:position w:val="0"/>
            <w:sz w:val="20"/>
            <w:u w:val="single"/>
            <w:vertAlign w:val="baseline"/>
          </w:rPr>
          <w:t>, 637 F.3d 435, 448-49 (4th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5" w:name="Bookmark_I67JTJTS28T4PH0010000400"/>
      <w:bookmarkEnd w:id="55"/>
      <w:hyperlink r:id="rId27" w:history="1">
        <w:r>
          <w:rPr>
            <w:rFonts w:ascii="arial" w:eastAsia="arial" w:hAnsi="arial" w:cs="arial"/>
            <w:b w:val="0"/>
            <w:i/>
            <w:strike w:val="0"/>
            <w:noProof w:val="0"/>
            <w:color w:val="0077CC"/>
            <w:position w:val="0"/>
            <w:sz w:val="20"/>
            <w:u w:val="single"/>
            <w:vertAlign w:val="baseline"/>
          </w:rPr>
          <w:t>Shaw v. Foreman</w:t>
        </w:r>
      </w:hyperlink>
      <w:hyperlink r:id="rId27" w:history="1">
        <w:r>
          <w:rPr>
            <w:rFonts w:ascii="arial" w:eastAsia="arial" w:hAnsi="arial" w:cs="arial"/>
            <w:b w:val="0"/>
            <w:i/>
            <w:strike w:val="0"/>
            <w:noProof w:val="0"/>
            <w:color w:val="0077CC"/>
            <w:position w:val="0"/>
            <w:sz w:val="20"/>
            <w:u w:val="single"/>
            <w:vertAlign w:val="baseline"/>
          </w:rPr>
          <w:t>, 59 F.4th 121, 2023 U.S. App. LEXIS 2751, 2023 WL 1486310, at *4 (4th Cir. Feb. 3, 2023)</w:t>
        </w:r>
      </w:hyperlink>
      <w:r>
        <w:rPr>
          <w:rFonts w:ascii="arial" w:eastAsia="arial" w:hAnsi="arial" w:cs="arial"/>
          <w:b w:val="0"/>
          <w:i w:val="0"/>
          <w:strike w:val="0"/>
          <w:noProof w:val="0"/>
          <w:color w:val="000000"/>
          <w:position w:val="0"/>
          <w:sz w:val="20"/>
          <w:u w:val="none"/>
          <w:vertAlign w:val="baseline"/>
        </w:rPr>
        <w:t xml:space="preserve">; </w:t>
      </w:r>
      <w:bookmarkStart w:id="56" w:name="Bookmark_I67JTJTS28T4PH0030000400"/>
      <w:bookmarkEnd w:id="56"/>
      <w:hyperlink r:id="rId28" w:history="1">
        <w:r>
          <w:rPr>
            <w:rFonts w:ascii="arial" w:eastAsia="arial" w:hAnsi="arial" w:cs="arial"/>
            <w:b w:val="0"/>
            <w:i/>
            <w:strike w:val="0"/>
            <w:noProof w:val="0"/>
            <w:color w:val="0077CC"/>
            <w:position w:val="0"/>
            <w:sz w:val="20"/>
            <w:u w:val="single"/>
            <w:vertAlign w:val="baseline"/>
          </w:rPr>
          <w:t>Putney v. Likin</w:t>
        </w:r>
      </w:hyperlink>
      <w:hyperlink r:id="rId28" w:history="1">
        <w:r>
          <w:rPr>
            <w:rFonts w:ascii="arial" w:eastAsia="arial" w:hAnsi="arial" w:cs="arial"/>
            <w:b w:val="0"/>
            <w:i/>
            <w:strike w:val="0"/>
            <w:noProof w:val="0"/>
            <w:color w:val="0077CC"/>
            <w:position w:val="0"/>
            <w:sz w:val="20"/>
            <w:u w:val="single"/>
            <w:vertAlign w:val="baseline"/>
          </w:rPr>
          <w:t>, 656 F. App'x 632, 638-39 (4th Cir. July 14, 2016)</w:t>
        </w:r>
      </w:hyperlink>
      <w:r>
        <w:rPr>
          <w:rFonts w:ascii="arial" w:eastAsia="arial" w:hAnsi="arial" w:cs="arial"/>
          <w:b w:val="0"/>
          <w:i w:val="0"/>
          <w:strike w:val="0"/>
          <w:noProof w:val="0"/>
          <w:color w:val="000000"/>
          <w:position w:val="0"/>
          <w:sz w:val="20"/>
          <w:u w:val="none"/>
          <w:vertAlign w:val="baseline"/>
        </w:rPr>
        <w:t xml:space="preserve"> (per curiam); </w:t>
      </w:r>
      <w:bookmarkStart w:id="57" w:name="Bookmark_I67JTJTS28T4PH0050000400"/>
      <w:bookmarkEnd w:id="57"/>
      <w:hyperlink r:id="rId29" w:history="1">
        <w:r>
          <w:rPr>
            <w:rFonts w:ascii="arial" w:eastAsia="arial" w:hAnsi="arial" w:cs="arial"/>
            <w:b w:val="0"/>
            <w:i/>
            <w:strike w:val="0"/>
            <w:noProof w:val="0"/>
            <w:color w:val="0077CC"/>
            <w:position w:val="0"/>
            <w:sz w:val="20"/>
            <w:u w:val="single"/>
            <w:vertAlign w:val="baseline"/>
          </w:rPr>
          <w:t>McCray v. Maryland Dep't of Transportation</w:t>
        </w:r>
      </w:hyperlink>
      <w:hyperlink r:id="rId29" w:history="1">
        <w:r>
          <w:rPr>
            <w:rFonts w:ascii="arial" w:eastAsia="arial" w:hAnsi="arial" w:cs="arial"/>
            <w:b w:val="0"/>
            <w:i/>
            <w:strike w:val="0"/>
            <w:noProof w:val="0"/>
            <w:color w:val="0077CC"/>
            <w:position w:val="0"/>
            <w:sz w:val="20"/>
            <w:u w:val="single"/>
            <w:vertAlign w:val="baseline"/>
          </w:rPr>
          <w:t>, 741 F.3d 480, 483 (4th Cir. 2015)</w:t>
        </w:r>
      </w:hyperlink>
      <w:r>
        <w:rPr>
          <w:rFonts w:ascii="arial" w:eastAsia="arial" w:hAnsi="arial" w:cs="arial"/>
          <w:b w:val="0"/>
          <w:i w:val="0"/>
          <w:strike w:val="0"/>
          <w:noProof w:val="0"/>
          <w:color w:val="000000"/>
          <w:position w:val="0"/>
          <w:sz w:val="20"/>
          <w:u w:val="none"/>
          <w:vertAlign w:val="baseline"/>
        </w:rPr>
        <w:t xml:space="preserve">. However, "the party opposing summary judgment 'cannot complain that summary judgment was granted without discovery unless that party has made an attempt to oppose the motion on the grounds that more time was needed for discovery.'" </w:t>
      </w:r>
      <w:bookmarkStart w:id="58" w:name="Bookmark_I67JTJTS2SF7SG0020000400"/>
      <w:bookmarkEnd w:id="58"/>
      <w:hyperlink r:id="rId30"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30" w:history="1">
        <w:r>
          <w:rPr>
            <w:rFonts w:ascii="arial" w:eastAsia="arial" w:hAnsi="arial" w:cs="arial"/>
            <w:b w:val="0"/>
            <w:i/>
            <w:strike w:val="0"/>
            <w:noProof w:val="0"/>
            <w:color w:val="0077CC"/>
            <w:position w:val="0"/>
            <w:sz w:val="20"/>
            <w:u w:val="single"/>
            <w:vertAlign w:val="baseline"/>
          </w:rPr>
          <w:t>, 302 F.3d 214, 244 (4th Cir. 2002)</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7JTJTS2SF7SG0040000400"/>
      <w:bookmarkEnd w:id="59"/>
      <w:hyperlink r:id="rId31" w:history="1">
        <w:r>
          <w:rPr>
            <w:rFonts w:ascii="arial" w:eastAsia="arial" w:hAnsi="arial" w:cs="arial"/>
            <w:b w:val="0"/>
            <w:i/>
            <w:strike w:val="0"/>
            <w:noProof w:val="0"/>
            <w:color w:val="0077CC"/>
            <w:position w:val="0"/>
            <w:sz w:val="20"/>
            <w:u w:val="single"/>
            <w:vertAlign w:val="baseline"/>
          </w:rPr>
          <w:t>Evans v. Techs. Applications &amp; Serv. Co.</w:t>
        </w:r>
      </w:hyperlink>
      <w:hyperlink r:id="rId31" w:history="1">
        <w:r>
          <w:rPr>
            <w:rFonts w:ascii="arial" w:eastAsia="arial" w:hAnsi="arial" w:cs="arial"/>
            <w:b w:val="0"/>
            <w:i/>
            <w:strike w:val="0"/>
            <w:noProof w:val="0"/>
            <w:color w:val="0077CC"/>
            <w:position w:val="0"/>
            <w:sz w:val="20"/>
            <w:u w:val="single"/>
            <w:vertAlign w:val="baseline"/>
          </w:rPr>
          <w:t>, 80 F.3d 954, 961 (4th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8"/>
      <w:bookmarkEnd w:id="60"/>
      <w:bookmarkStart w:id="61" w:name="Bookmark_I67JTJTT2N1R290020000400"/>
      <w:bookmarkEnd w:id="61"/>
      <w:bookmarkStart w:id="62" w:name="Bookmark_I67JTJTT2N1R290040000400"/>
      <w:bookmarkEnd w:id="62"/>
      <w:r>
        <w:rPr>
          <w:rFonts w:ascii="arial" w:eastAsia="arial" w:hAnsi="arial" w:cs="arial"/>
          <w:b w:val="0"/>
          <w:i w:val="0"/>
          <w:strike w:val="0"/>
          <w:noProof w:val="0"/>
          <w:color w:val="000000"/>
          <w:position w:val="0"/>
          <w:sz w:val="20"/>
          <w:u w:val="none"/>
          <w:vertAlign w:val="baseline"/>
        </w:rPr>
        <w:t xml:space="preserve">To raise adequately the issue that discovery is needed, the nonmovant typically must file an affidavit or declaration pursuant to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(formerly </w:t>
      </w:r>
      <w:hyperlink r:id="rId2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explaining why, "for specified reasons, it cannot present facts essential to justify its opposition," without needed discovery. </w:t>
      </w:r>
      <w:bookmarkStart w:id="63" w:name="Bookmark_I67JTJTT2HM6VR0030000400"/>
      <w:bookmarkEnd w:id="63"/>
      <w:hyperlink r:id="rId20"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4" w:name="Bookmark_I67JTJTT2N1R290010000400"/>
      <w:bookmarkEnd w:id="64"/>
      <w:hyperlink r:id="rId30" w:history="1">
        <w:r>
          <w:rPr>
            <w:rFonts w:ascii="arial" w:eastAsia="arial" w:hAnsi="arial" w:cs="arial"/>
            <w:b w:val="0"/>
            <w:i/>
            <w:strike w:val="0"/>
            <w:noProof w:val="0"/>
            <w:color w:val="0077CC"/>
            <w:position w:val="0"/>
            <w:sz w:val="20"/>
            <w:u w:val="single"/>
            <w:vertAlign w:val="baseline"/>
          </w:rPr>
          <w:t>Harrods</w:t>
        </w:r>
      </w:hyperlink>
      <w:hyperlink r:id="rId30" w:history="1">
        <w:r>
          <w:rPr>
            <w:rFonts w:ascii="arial" w:eastAsia="arial" w:hAnsi="arial" w:cs="arial"/>
            <w:b w:val="0"/>
            <w:i/>
            <w:strike w:val="0"/>
            <w:noProof w:val="0"/>
            <w:color w:val="0077CC"/>
            <w:position w:val="0"/>
            <w:sz w:val="20"/>
            <w:u w:val="single"/>
            <w:vertAlign w:val="baseline"/>
          </w:rPr>
          <w:t>, 302 F.3d at 244-45</w:t>
        </w:r>
      </w:hyperlink>
      <w:r>
        <w:rPr>
          <w:rFonts w:ascii="arial" w:eastAsia="arial" w:hAnsi="arial" w:cs="arial"/>
          <w:b w:val="0"/>
          <w:i w:val="0"/>
          <w:strike w:val="0"/>
          <w:noProof w:val="0"/>
          <w:color w:val="000000"/>
          <w:position w:val="0"/>
          <w:sz w:val="20"/>
          <w:u w:val="none"/>
          <w:vertAlign w:val="baseline"/>
        </w:rPr>
        <w:t xml:space="preserve"> (discussing affidavit requirement of former </w:t>
      </w:r>
      <w:hyperlink r:id="rId2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"[T]o justify a denial of summary judgment on the grounds that additional discovery is necessary, the facts identified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a </w:t>
      </w:r>
      <w:hyperlink r:id="rId20"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affidavit must be 'essential to [the] opposition.'" </w:t>
      </w:r>
      <w:bookmarkStart w:id="65" w:name="Bookmark_I67JTJTT2N1R290030000400"/>
      <w:bookmarkEnd w:id="65"/>
      <w:hyperlink r:id="rId32" w:history="1">
        <w:r>
          <w:rPr>
            <w:rFonts w:ascii="arial" w:eastAsia="arial" w:hAnsi="arial" w:cs="arial"/>
            <w:b w:val="0"/>
            <w:i/>
            <w:strike w:val="0"/>
            <w:noProof w:val="0"/>
            <w:color w:val="0077CC"/>
            <w:position w:val="0"/>
            <w:sz w:val="20"/>
            <w:u w:val="single"/>
            <w:vertAlign w:val="baseline"/>
          </w:rPr>
          <w:t>Scott v. Nuvell Fin. Servs., LLC</w:t>
        </w:r>
      </w:hyperlink>
      <w:hyperlink r:id="rId32" w:history="1">
        <w:r>
          <w:rPr>
            <w:rFonts w:ascii="arial" w:eastAsia="arial" w:hAnsi="arial" w:cs="arial"/>
            <w:b w:val="0"/>
            <w:i/>
            <w:strike w:val="0"/>
            <w:noProof w:val="0"/>
            <w:color w:val="0077CC"/>
            <w:position w:val="0"/>
            <w:sz w:val="20"/>
            <w:u w:val="single"/>
            <w:vertAlign w:val="baseline"/>
          </w:rPr>
          <w:t>, 789 F. Supp. 2d 637, 641 (D. Md. 2011)</w:t>
        </w:r>
      </w:hyperlink>
      <w:r>
        <w:rPr>
          <w:rFonts w:ascii="arial" w:eastAsia="arial" w:hAnsi="arial" w:cs="arial"/>
          <w:b w:val="0"/>
          <w:i w:val="0"/>
          <w:strike w:val="0"/>
          <w:noProof w:val="0"/>
          <w:color w:val="000000"/>
          <w:position w:val="0"/>
          <w:sz w:val="20"/>
          <w:u w:val="none"/>
          <w:vertAlign w:val="baseline"/>
        </w:rPr>
        <w:t xml:space="preserve"> (alteration in original) (citation omitted), </w:t>
      </w:r>
      <w:r>
        <w:rPr>
          <w:rFonts w:ascii="arial" w:eastAsia="arial" w:hAnsi="arial" w:cs="arial"/>
          <w:b w:val="0"/>
          <w:i/>
          <w:strike w:val="0"/>
          <w:noProof w:val="0"/>
          <w:color w:val="000000"/>
          <w:position w:val="0"/>
          <w:sz w:val="20"/>
          <w:u w:val="none"/>
          <w:vertAlign w:val="baseline"/>
        </w:rPr>
        <w:t xml:space="preserve">rev'd on other grounds sub nom. </w:t>
      </w:r>
      <w:bookmarkStart w:id="66" w:name="Bookmark_I67JTJTT2N1R290050000400"/>
      <w:bookmarkEnd w:id="66"/>
      <w:hyperlink r:id="rId33" w:history="1">
        <w:r>
          <w:rPr>
            <w:rFonts w:ascii="arial" w:eastAsia="arial" w:hAnsi="arial" w:cs="arial"/>
            <w:b w:val="0"/>
            <w:i/>
            <w:strike w:val="0"/>
            <w:noProof w:val="0"/>
            <w:color w:val="0077CC"/>
            <w:position w:val="0"/>
            <w:sz w:val="20"/>
            <w:u w:val="single"/>
            <w:vertAlign w:val="baseline"/>
          </w:rPr>
          <w:t>Gardner v. Ally Fin., Inc.</w:t>
        </w:r>
      </w:hyperlink>
      <w:hyperlink r:id="rId33" w:history="1">
        <w:r>
          <w:rPr>
            <w:rFonts w:ascii="arial" w:eastAsia="arial" w:hAnsi="arial" w:cs="arial"/>
            <w:b w:val="0"/>
            <w:i/>
            <w:strike w:val="0"/>
            <w:noProof w:val="0"/>
            <w:color w:val="0077CC"/>
            <w:position w:val="0"/>
            <w:sz w:val="20"/>
            <w:u w:val="single"/>
            <w:vertAlign w:val="baseline"/>
          </w:rPr>
          <w:t>, 514 Fed. App'x 378 (4th Cir. 2013)</w:t>
        </w:r>
      </w:hyperlink>
      <w:r>
        <w:rPr>
          <w:rFonts w:ascii="arial" w:eastAsia="arial" w:hAnsi="arial" w:cs="arial"/>
          <w:b w:val="0"/>
          <w:i w:val="0"/>
          <w:strike w:val="0"/>
          <w:noProof w:val="0"/>
          <w:color w:val="000000"/>
          <w:position w:val="0"/>
          <w:sz w:val="20"/>
          <w:u w:val="none"/>
          <w:vertAlign w:val="baseline"/>
        </w:rPr>
        <w:t xml:space="preserve"> (per curiam). </w:t>
      </w:r>
      <w:bookmarkStart w:id="67" w:name="Bookmark_I67JTJTT2HM6VR0030000400_2"/>
      <w:bookmarkEnd w:id="67"/>
      <w:r>
        <w:rPr>
          <w:rFonts w:ascii="arial" w:eastAsia="arial" w:hAnsi="arial" w:cs="arial"/>
          <w:b w:val="0"/>
          <w:i w:val="0"/>
          <w:strike w:val="0"/>
          <w:noProof w:val="0"/>
          <w:color w:val="000000"/>
          <w:position w:val="0"/>
          <w:sz w:val="20"/>
          <w:u w:val="none"/>
          <w:vertAlign w:val="baseline"/>
        </w:rPr>
        <w:t xml:space="preserve">A nonmoving party's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request for additional discovery is properly denied "where the additional evidence sought for discovery would not have by itself created a genuine issue of material fact sufficient to defeat summary judgment." </w:t>
      </w:r>
      <w:bookmarkStart w:id="68" w:name="Bookmark_I67JTJTT2HM6VR0020000400"/>
      <w:bookmarkEnd w:id="68"/>
      <w:hyperlink r:id="rId34" w:history="1">
        <w:r>
          <w:rPr>
            <w:rFonts w:ascii="arial" w:eastAsia="arial" w:hAnsi="arial" w:cs="arial"/>
            <w:b w:val="0"/>
            <w:i/>
            <w:strike w:val="0"/>
            <w:noProof w:val="0"/>
            <w:color w:val="0077CC"/>
            <w:position w:val="0"/>
            <w:sz w:val="20"/>
            <w:u w:val="single"/>
            <w:vertAlign w:val="baseline"/>
          </w:rPr>
          <w:t>Strag v. Bd. of Trs., Craven Cmty. Coll.</w:t>
        </w:r>
      </w:hyperlink>
      <w:hyperlink r:id="rId34" w:history="1">
        <w:r>
          <w:rPr>
            <w:rFonts w:ascii="arial" w:eastAsia="arial" w:hAnsi="arial" w:cs="arial"/>
            <w:b w:val="0"/>
            <w:i/>
            <w:strike w:val="0"/>
            <w:noProof w:val="0"/>
            <w:color w:val="0077CC"/>
            <w:position w:val="0"/>
            <w:sz w:val="20"/>
            <w:u w:val="single"/>
            <w:vertAlign w:val="baseline"/>
          </w:rPr>
          <w:t>, 55 F.3d 943, 954 (4th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9" w:name="Bookmark_I67JTJTT2HM6VR0040000400"/>
      <w:bookmarkEnd w:id="69"/>
      <w:hyperlink r:id="rId35" w:history="1">
        <w:r>
          <w:rPr>
            <w:rFonts w:ascii="arial" w:eastAsia="arial" w:hAnsi="arial" w:cs="arial"/>
            <w:b w:val="0"/>
            <w:i/>
            <w:strike w:val="0"/>
            <w:noProof w:val="0"/>
            <w:color w:val="0077CC"/>
            <w:position w:val="0"/>
            <w:sz w:val="20"/>
            <w:u w:val="single"/>
            <w:vertAlign w:val="baseline"/>
          </w:rPr>
          <w:t>McClure v. Ports</w:t>
        </w:r>
      </w:hyperlink>
      <w:hyperlink r:id="rId35" w:history="1">
        <w:r>
          <w:rPr>
            <w:rFonts w:ascii="arial" w:eastAsia="arial" w:hAnsi="arial" w:cs="arial"/>
            <w:b w:val="0"/>
            <w:i/>
            <w:strike w:val="0"/>
            <w:noProof w:val="0"/>
            <w:color w:val="0077CC"/>
            <w:position w:val="0"/>
            <w:sz w:val="20"/>
            <w:u w:val="single"/>
            <w:vertAlign w:val="baseline"/>
          </w:rPr>
          <w:t>, 914 F.3d 866, 874-75 (4th Cir. 2019)</w:t>
        </w:r>
      </w:hyperlink>
      <w:r>
        <w:rPr>
          <w:rFonts w:ascii="arial" w:eastAsia="arial" w:hAnsi="arial" w:cs="arial"/>
          <w:b w:val="0"/>
          <w:i w:val="0"/>
          <w:strike w:val="0"/>
          <w:noProof w:val="0"/>
          <w:color w:val="000000"/>
          <w:position w:val="0"/>
          <w:sz w:val="20"/>
          <w:u w:val="none"/>
          <w:vertAlign w:val="baseline"/>
        </w:rPr>
        <w:t xml:space="preserve">; </w:t>
      </w:r>
      <w:bookmarkStart w:id="70" w:name="Bookmark_I67JTJTV28T4PN0010000400"/>
      <w:bookmarkEnd w:id="70"/>
      <w:hyperlink r:id="rId36" w:history="1">
        <w:r>
          <w:rPr>
            <w:rFonts w:ascii="arial" w:eastAsia="arial" w:hAnsi="arial" w:cs="arial"/>
            <w:b w:val="0"/>
            <w:i/>
            <w:strike w:val="0"/>
            <w:noProof w:val="0"/>
            <w:color w:val="0077CC"/>
            <w:position w:val="0"/>
            <w:sz w:val="20"/>
            <w:u w:val="single"/>
            <w:vertAlign w:val="baseline"/>
          </w:rPr>
          <w:t>Gordon v. CIGNA Corp.</w:t>
        </w:r>
      </w:hyperlink>
      <w:hyperlink r:id="rId36" w:history="1">
        <w:r>
          <w:rPr>
            <w:rFonts w:ascii="arial" w:eastAsia="arial" w:hAnsi="arial" w:cs="arial"/>
            <w:b w:val="0"/>
            <w:i/>
            <w:strike w:val="0"/>
            <w:noProof w:val="0"/>
            <w:color w:val="0077CC"/>
            <w:position w:val="0"/>
            <w:sz w:val="20"/>
            <w:u w:val="single"/>
            <w:vertAlign w:val="baseline"/>
          </w:rPr>
          <w:t>, 890 F.3d 463, 479 (4th Cir. 2018)</w:t>
        </w:r>
      </w:hyperlink>
      <w:r>
        <w:rPr>
          <w:rFonts w:ascii="arial" w:eastAsia="arial" w:hAnsi="arial" w:cs="arial"/>
          <w:b w:val="0"/>
          <w:i w:val="0"/>
          <w:strike w:val="0"/>
          <w:noProof w:val="0"/>
          <w:color w:val="000000"/>
          <w:position w:val="0"/>
          <w:sz w:val="20"/>
          <w:u w:val="none"/>
          <w:vertAlign w:val="baseline"/>
        </w:rPr>
        <w:t xml:space="preserve">; </w:t>
      </w:r>
      <w:bookmarkStart w:id="71" w:name="Bookmark_I67JTJTV28T4PN0030000400"/>
      <w:bookmarkEnd w:id="71"/>
      <w:hyperlink r:id="rId37" w:history="1">
        <w:r>
          <w:rPr>
            <w:rFonts w:ascii="arial" w:eastAsia="arial" w:hAnsi="arial" w:cs="arial"/>
            <w:b w:val="0"/>
            <w:i/>
            <w:strike w:val="0"/>
            <w:noProof w:val="0"/>
            <w:color w:val="0077CC"/>
            <w:position w:val="0"/>
            <w:sz w:val="20"/>
            <w:u w:val="single"/>
            <w:vertAlign w:val="baseline"/>
          </w:rPr>
          <w:t>Amirmokri v. Abraham</w:t>
        </w:r>
      </w:hyperlink>
      <w:hyperlink r:id="rId37" w:history="1">
        <w:r>
          <w:rPr>
            <w:rFonts w:ascii="arial" w:eastAsia="arial" w:hAnsi="arial" w:cs="arial"/>
            <w:b w:val="0"/>
            <w:i/>
            <w:strike w:val="0"/>
            <w:noProof w:val="0"/>
            <w:color w:val="0077CC"/>
            <w:position w:val="0"/>
            <w:sz w:val="20"/>
            <w:u w:val="single"/>
            <w:vertAlign w:val="baseline"/>
          </w:rPr>
          <w:t>, 437 F. Supp. 2d 414, 420 (D. Md.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72" w:name="Bookmark_I67JTJTV28T4PN0050000400"/>
      <w:bookmarkEnd w:id="72"/>
      <w:hyperlink r:id="rId38" w:history="1">
        <w:r>
          <w:rPr>
            <w:rFonts w:ascii="arial" w:eastAsia="arial" w:hAnsi="arial" w:cs="arial"/>
            <w:b w:val="0"/>
            <w:i/>
            <w:strike w:val="0"/>
            <w:noProof w:val="0"/>
            <w:color w:val="0077CC"/>
            <w:position w:val="0"/>
            <w:sz w:val="20"/>
            <w:u w:val="single"/>
            <w:vertAlign w:val="baseline"/>
          </w:rPr>
          <w:t>266 F. App'x. 274 (4th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555 U.S. 885, 129 S. Ct. 259, 172 L. Ed. 2d 147 (2008)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9"/>
      <w:bookmarkEnd w:id="73"/>
      <w:bookmarkStart w:id="74" w:name="Bookmark_I67JTJTV2HM6VS0030000400"/>
      <w:bookmarkEnd w:id="74"/>
      <w:bookmarkStart w:id="75" w:name="Bookmark_I67JTJTV2HM6VS0050000400"/>
      <w:bookmarkEnd w:id="75"/>
      <w:r>
        <w:rPr>
          <w:rFonts w:ascii="arial" w:eastAsia="arial" w:hAnsi="arial" w:cs="arial"/>
          <w:b w:val="0"/>
          <w:i w:val="0"/>
          <w:strike w:val="0"/>
          <w:noProof w:val="0"/>
          <w:color w:val="000000"/>
          <w:position w:val="0"/>
          <w:sz w:val="20"/>
          <w:u w:val="none"/>
          <w:vertAlign w:val="baseline"/>
        </w:rPr>
        <w:t xml:space="preserve">If a nonmoving party believes that further discovery is necessary before consideration of summary judgment, the party who fails to file a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does so at his peril, because "'the failure to file an affidavit . . . is itself sufficient grounds to reject a claim that the opportunity for discovery was inadequate.'" </w:t>
      </w:r>
      <w:bookmarkStart w:id="76" w:name="Bookmark_I67JTJTV2HM6VS0020000400"/>
      <w:bookmarkEnd w:id="76"/>
      <w:hyperlink r:id="rId30" w:history="1">
        <w:r>
          <w:rPr>
            <w:rFonts w:ascii="arial" w:eastAsia="arial" w:hAnsi="arial" w:cs="arial"/>
            <w:b w:val="0"/>
            <w:i/>
            <w:strike w:val="0"/>
            <w:noProof w:val="0"/>
            <w:color w:val="0077CC"/>
            <w:position w:val="0"/>
            <w:sz w:val="20"/>
            <w:u w:val="single"/>
            <w:vertAlign w:val="baseline"/>
          </w:rPr>
          <w:t>Harrods</w:t>
        </w:r>
      </w:hyperlink>
      <w:hyperlink r:id="rId30" w:history="1">
        <w:r>
          <w:rPr>
            <w:rFonts w:ascii="arial" w:eastAsia="arial" w:hAnsi="arial" w:cs="arial"/>
            <w:b w:val="0"/>
            <w:i/>
            <w:strike w:val="0"/>
            <w:noProof w:val="0"/>
            <w:color w:val="0077CC"/>
            <w:position w:val="0"/>
            <w:sz w:val="20"/>
            <w:u w:val="single"/>
            <w:vertAlign w:val="baseline"/>
          </w:rPr>
          <w:t>, 302 F.3d at 244</w:t>
        </w:r>
      </w:hyperlink>
      <w:r>
        <w:rPr>
          <w:rFonts w:ascii="arial" w:eastAsia="arial" w:hAnsi="arial" w:cs="arial"/>
          <w:b w:val="0"/>
          <w:i w:val="0"/>
          <w:strike w:val="0"/>
          <w:noProof w:val="0"/>
          <w:color w:val="000000"/>
          <w:position w:val="0"/>
          <w:sz w:val="20"/>
          <w:u w:val="none"/>
          <w:vertAlign w:val="baseline"/>
        </w:rPr>
        <w:t xml:space="preserve"> (citations omitted). But, the nonmoving party's failure to file a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cannot obligate a court to issue a summary judgment ruling that is obviously premature. And, a court "should hesitate before denying a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motion when the nonmovant seeks necessary information possessed only by the movant." </w:t>
      </w:r>
      <w:bookmarkStart w:id="77" w:name="Bookmark_I67JTJTV2HM6VS0040000400"/>
      <w:bookmarkEnd w:id="77"/>
      <w:hyperlink r:id="rId39" w:history="1">
        <w:r>
          <w:rPr>
            <w:rFonts w:ascii="arial" w:eastAsia="arial" w:hAnsi="arial" w:cs="arial"/>
            <w:b w:val="0"/>
            <w:i/>
            <w:strike w:val="0"/>
            <w:noProof w:val="0"/>
            <w:color w:val="0077CC"/>
            <w:position w:val="0"/>
            <w:sz w:val="20"/>
            <w:u w:val="single"/>
            <w:vertAlign w:val="baseline"/>
          </w:rPr>
          <w:t>Pisano v. Strach</w:t>
        </w:r>
      </w:hyperlink>
      <w:hyperlink r:id="rId39" w:history="1">
        <w:r>
          <w:rPr>
            <w:rFonts w:ascii="arial" w:eastAsia="arial" w:hAnsi="arial" w:cs="arial"/>
            <w:b w:val="0"/>
            <w:i/>
            <w:strike w:val="0"/>
            <w:noProof w:val="0"/>
            <w:color w:val="0077CC"/>
            <w:position w:val="0"/>
            <w:sz w:val="20"/>
            <w:u w:val="single"/>
            <w:vertAlign w:val="baseline"/>
          </w:rPr>
          <w:t>, 743 F.3d 927, 931 (4th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20"/>
      <w:bookmarkEnd w:id="78"/>
      <w:bookmarkStart w:id="79" w:name="Bookmark_I67JTJTV28T4PP0020000400"/>
      <w:bookmarkEnd w:id="79"/>
      <w:bookmarkStart w:id="80" w:name="Bookmark_I67JTJTV28T4PP0040000400"/>
      <w:bookmarkEnd w:id="80"/>
      <w:r>
        <w:rPr>
          <w:rFonts w:ascii="arial" w:eastAsia="arial" w:hAnsi="arial" w:cs="arial"/>
          <w:b w:val="0"/>
          <w:i w:val="0"/>
          <w:strike w:val="0"/>
          <w:noProof w:val="0"/>
          <w:color w:val="000000"/>
          <w:position w:val="0"/>
          <w:sz w:val="20"/>
          <w:u w:val="none"/>
          <w:vertAlign w:val="baseline"/>
        </w:rPr>
        <w:t xml:space="preserve">The Fourth Circuit has placed "'great weight'" on the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and has said that a mere "'reference to </w:t>
      </w:r>
      <w:hyperlink r:id="rId20"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[now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and the need for additional discovery in a memorandum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law in opposition to a motion for summary judgment is not an adequate substitute for [an] affidavit.'" </w:t>
      </w:r>
      <w:bookmarkStart w:id="81" w:name="Bookmark_I67JTJTV28T4PP0010000400"/>
      <w:bookmarkEnd w:id="81"/>
      <w:hyperlink r:id="rId30" w:history="1">
        <w:r>
          <w:rPr>
            <w:rFonts w:ascii="arial" w:eastAsia="arial" w:hAnsi="arial" w:cs="arial"/>
            <w:b w:val="0"/>
            <w:i/>
            <w:strike w:val="0"/>
            <w:noProof w:val="0"/>
            <w:color w:val="0077CC"/>
            <w:position w:val="0"/>
            <w:sz w:val="20"/>
            <w:u w:val="single"/>
            <w:vertAlign w:val="baseline"/>
          </w:rPr>
          <w:t>Harrods</w:t>
        </w:r>
      </w:hyperlink>
      <w:hyperlink r:id="rId30" w:history="1">
        <w:r>
          <w:rPr>
            <w:rFonts w:ascii="arial" w:eastAsia="arial" w:hAnsi="arial" w:cs="arial"/>
            <w:b w:val="0"/>
            <w:i/>
            <w:strike w:val="0"/>
            <w:noProof w:val="0"/>
            <w:color w:val="0077CC"/>
            <w:position w:val="0"/>
            <w:sz w:val="20"/>
            <w:u w:val="single"/>
            <w:vertAlign w:val="baseline"/>
          </w:rPr>
          <w:t>, 302 F.3d at 244</w:t>
        </w:r>
      </w:hyperlink>
      <w:r>
        <w:rPr>
          <w:rFonts w:ascii="arial" w:eastAsia="arial" w:hAnsi="arial" w:cs="arial"/>
          <w:b w:val="0"/>
          <w:i w:val="0"/>
          <w:strike w:val="0"/>
          <w:noProof w:val="0"/>
          <w:color w:val="000000"/>
          <w:position w:val="0"/>
          <w:sz w:val="20"/>
          <w:u w:val="none"/>
          <w:vertAlign w:val="baseline"/>
        </w:rPr>
        <w:t xml:space="preserve"> (internal citation omitted). </w:t>
      </w:r>
      <w:bookmarkStart w:id="82" w:name="Bookmark_I67JTJTV2SF7SM0050000400"/>
      <w:bookmarkEnd w:id="82"/>
      <w:r>
        <w:rPr>
          <w:rFonts w:ascii="arial" w:eastAsia="arial" w:hAnsi="arial" w:cs="arial"/>
          <w:b w:val="0"/>
          <w:i w:val="0"/>
          <w:strike w:val="0"/>
          <w:noProof w:val="0"/>
          <w:color w:val="000000"/>
          <w:position w:val="0"/>
          <w:sz w:val="20"/>
          <w:u w:val="none"/>
          <w:vertAlign w:val="baseline"/>
        </w:rPr>
        <w:t xml:space="preserve">Nevertheless, the Court has "not always insisted" on a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Failure to file an affidavit may be excused "if the nonmoving party has adequately informed the district court that the motion is premature and that more discovery is necessary" and the "nonmoving party's objections before the district court 'served as the functional equivalent of an affidavit.'" </w:t>
      </w:r>
      <w:bookmarkStart w:id="83" w:name="Bookmark_I67JTJTV28T4PP0030000400"/>
      <w:bookmarkEnd w:id="83"/>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244-45</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bookmarkStart w:id="84" w:name="Bookmark_I67JTJTV28T4PP0050000400"/>
      <w:bookmarkEnd w:id="84"/>
      <w:hyperlink r:id="rId28" w:history="1">
        <w:r>
          <w:rPr>
            <w:rFonts w:ascii="arial" w:eastAsia="arial" w:hAnsi="arial" w:cs="arial"/>
            <w:b w:val="0"/>
            <w:i/>
            <w:strike w:val="0"/>
            <w:noProof w:val="0"/>
            <w:color w:val="0077CC"/>
            <w:position w:val="0"/>
            <w:sz w:val="20"/>
            <w:u w:val="single"/>
            <w:vertAlign w:val="baseline"/>
          </w:rPr>
          <w:t>Putney</w:t>
        </w:r>
      </w:hyperlink>
      <w:hyperlink r:id="rId28"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 xml:space="preserve">; </w:t>
      </w:r>
      <w:bookmarkStart w:id="85" w:name="Bookmark_I67JTJTV2SF7SM0020000400"/>
      <w:bookmarkEnd w:id="85"/>
      <w:hyperlink r:id="rId40" w:history="1">
        <w:r>
          <w:rPr>
            <w:rFonts w:ascii="arial" w:eastAsia="arial" w:hAnsi="arial" w:cs="arial"/>
            <w:b w:val="0"/>
            <w:i/>
            <w:strike w:val="0"/>
            <w:noProof w:val="0"/>
            <w:color w:val="0077CC"/>
            <w:position w:val="0"/>
            <w:sz w:val="20"/>
            <w:u w:val="single"/>
            <w:vertAlign w:val="baseline"/>
          </w:rPr>
          <w:t>Nader v. Blair</w:t>
        </w:r>
      </w:hyperlink>
      <w:hyperlink r:id="rId40" w:history="1">
        <w:r>
          <w:rPr>
            <w:rFonts w:ascii="arial" w:eastAsia="arial" w:hAnsi="arial" w:cs="arial"/>
            <w:b w:val="0"/>
            <w:i/>
            <w:strike w:val="0"/>
            <w:noProof w:val="0"/>
            <w:color w:val="0077CC"/>
            <w:position w:val="0"/>
            <w:sz w:val="20"/>
            <w:u w:val="single"/>
            <w:vertAlign w:val="baseline"/>
          </w:rPr>
          <w:t>, 549 F.3d 953, 961 (4th Cir. 2008)</w:t>
        </w:r>
      </w:hyperlink>
      <w:r>
        <w:rPr>
          <w:rFonts w:ascii="arial" w:eastAsia="arial" w:hAnsi="arial" w:cs="arial"/>
          <w:b w:val="0"/>
          <w:i w:val="0"/>
          <w:strike w:val="0"/>
          <w:noProof w:val="0"/>
          <w:color w:val="000000"/>
          <w:position w:val="0"/>
          <w:sz w:val="20"/>
          <w:u w:val="none"/>
          <w:vertAlign w:val="baseline"/>
        </w:rPr>
        <w:t xml:space="preserve">. </w:t>
      </w:r>
      <w:bookmarkStart w:id="86" w:name="Bookmark_I67JTJTV2SF7SM0050000400_2"/>
      <w:bookmarkEnd w:id="86"/>
      <w:r>
        <w:rPr>
          <w:rFonts w:ascii="arial" w:eastAsia="arial" w:hAnsi="arial" w:cs="arial"/>
          <w:b w:val="0"/>
          <w:i w:val="0"/>
          <w:strike w:val="0"/>
          <w:noProof w:val="0"/>
          <w:color w:val="000000"/>
          <w:position w:val="0"/>
          <w:sz w:val="20"/>
          <w:u w:val="none"/>
          <w:vertAlign w:val="baseline"/>
        </w:rPr>
        <w:t xml:space="preserve">"This is especially true where, as here, the non-moving party is proceeding pro se." </w:t>
      </w:r>
      <w:bookmarkStart w:id="87" w:name="Bookmark_I67JTJTV2SF7SM0040000400"/>
      <w:bookmarkEnd w:id="87"/>
      <w:hyperlink r:id="rId28" w:history="1">
        <w:r>
          <w:rPr>
            <w:rFonts w:ascii="arial" w:eastAsia="arial" w:hAnsi="arial" w:cs="arial"/>
            <w:b w:val="0"/>
            <w:i/>
            <w:strike w:val="0"/>
            <w:noProof w:val="0"/>
            <w:color w:val="0077CC"/>
            <w:position w:val="0"/>
            <w:sz w:val="20"/>
            <w:u w:val="single"/>
            <w:vertAlign w:val="baseline"/>
          </w:rPr>
          <w:t>Putney</w:t>
        </w:r>
      </w:hyperlink>
      <w:hyperlink r:id="rId28"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1"/>
      <w:bookmarkEnd w:id="88"/>
      <w:bookmarkStart w:id="89" w:name="Bookmark_I67JTJTV2N1R2C0020000400"/>
      <w:bookmarkEnd w:id="89"/>
      <w:r>
        <w:rPr>
          <w:rFonts w:ascii="arial" w:eastAsia="arial" w:hAnsi="arial" w:cs="arial"/>
          <w:b w:val="0"/>
          <w:i w:val="0"/>
          <w:strike w:val="0"/>
          <w:noProof w:val="0"/>
          <w:color w:val="000000"/>
          <w:position w:val="0"/>
          <w:sz w:val="20"/>
          <w:u w:val="none"/>
          <w:vertAlign w:val="baseline"/>
        </w:rPr>
        <w:t>On the other hand, "[a] party may not simply assert in its brief that discovery was necessary and thereby overturn summary judgment when it failed to comply with the requirement of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to set out reasons for the need for discovery in an affidavit." </w:t>
      </w:r>
      <w:bookmarkStart w:id="90" w:name="Bookmark_I67JTJTV2N1R2C0010000400"/>
      <w:bookmarkEnd w:id="90"/>
      <w:hyperlink r:id="rId41" w:history="1">
        <w:r>
          <w:rPr>
            <w:rFonts w:ascii="arial" w:eastAsia="arial" w:hAnsi="arial" w:cs="arial"/>
            <w:b w:val="0"/>
            <w:i/>
            <w:strike w:val="0"/>
            <w:noProof w:val="0"/>
            <w:color w:val="0077CC"/>
            <w:position w:val="0"/>
            <w:sz w:val="20"/>
            <w:u w:val="single"/>
            <w:vertAlign w:val="baseline"/>
          </w:rPr>
          <w:t>Nguyen v. CNA Corp.</w:t>
        </w:r>
      </w:hyperlink>
      <w:hyperlink r:id="rId41" w:history="1">
        <w:r>
          <w:rPr>
            <w:rFonts w:ascii="arial" w:eastAsia="arial" w:hAnsi="arial" w:cs="arial"/>
            <w:b w:val="0"/>
            <w:i/>
            <w:strike w:val="0"/>
            <w:noProof w:val="0"/>
            <w:color w:val="0077CC"/>
            <w:position w:val="0"/>
            <w:sz w:val="20"/>
            <w:u w:val="single"/>
            <w:vertAlign w:val="baseline"/>
          </w:rPr>
          <w:t>, 44 F.3d 234, 242 (4th Cir. 1995)</w:t>
        </w:r>
      </w:hyperlink>
      <w:r>
        <w:rPr>
          <w:rFonts w:ascii="arial" w:eastAsia="arial" w:hAnsi="arial" w:cs="arial"/>
          <w:b w:val="0"/>
          <w:i w:val="0"/>
          <w:strike w:val="0"/>
          <w:noProof w:val="0"/>
          <w:color w:val="000000"/>
          <w:position w:val="0"/>
          <w:sz w:val="20"/>
          <w:u w:val="none"/>
          <w:vertAlign w:val="baseline"/>
        </w:rPr>
        <w:t xml:space="preserve"> (citing </w:t>
      </w:r>
      <w:bookmarkStart w:id="91" w:name="Bookmark_I67JTJTV2N1R2C0030000400"/>
      <w:bookmarkEnd w:id="91"/>
      <w:hyperlink r:id="rId42" w:history="1">
        <w:r>
          <w:rPr>
            <w:rFonts w:ascii="arial" w:eastAsia="arial" w:hAnsi="arial" w:cs="arial"/>
            <w:b w:val="0"/>
            <w:i/>
            <w:strike w:val="0"/>
            <w:noProof w:val="0"/>
            <w:color w:val="0077CC"/>
            <w:position w:val="0"/>
            <w:sz w:val="20"/>
            <w:u w:val="single"/>
            <w:vertAlign w:val="baseline"/>
          </w:rPr>
          <w:t>Hayes v. N. State L. Enf't Officers Ass'n</w:t>
        </w:r>
      </w:hyperlink>
      <w:hyperlink r:id="rId42" w:history="1">
        <w:r>
          <w:rPr>
            <w:rFonts w:ascii="arial" w:eastAsia="arial" w:hAnsi="arial" w:cs="arial"/>
            <w:b w:val="0"/>
            <w:i/>
            <w:strike w:val="0"/>
            <w:noProof w:val="0"/>
            <w:color w:val="0077CC"/>
            <w:position w:val="0"/>
            <w:sz w:val="20"/>
            <w:u w:val="single"/>
            <w:vertAlign w:val="baseline"/>
          </w:rPr>
          <w:t>, 10 F.3d 207, 215 (4th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2" w:name="Bookmark_I67JTJTV2N1R2C0050000400"/>
      <w:bookmarkEnd w:id="92"/>
      <w:hyperlink r:id="rId43" w:history="1">
        <w:r>
          <w:rPr>
            <w:rFonts w:ascii="arial" w:eastAsia="arial" w:hAnsi="arial" w:cs="arial"/>
            <w:b w:val="0"/>
            <w:i/>
            <w:strike w:val="0"/>
            <w:noProof w:val="0"/>
            <w:color w:val="0077CC"/>
            <w:position w:val="0"/>
            <w:sz w:val="20"/>
            <w:u w:val="single"/>
            <w:vertAlign w:val="baseline"/>
          </w:rPr>
          <w:t>Rohrbough v. Wyeth Labs., Inc.</w:t>
        </w:r>
      </w:hyperlink>
      <w:hyperlink r:id="rId43" w:history="1">
        <w:r>
          <w:rPr>
            <w:rFonts w:ascii="arial" w:eastAsia="arial" w:hAnsi="arial" w:cs="arial"/>
            <w:b w:val="0"/>
            <w:i/>
            <w:strike w:val="0"/>
            <w:noProof w:val="0"/>
            <w:color w:val="0077CC"/>
            <w:position w:val="0"/>
            <w:sz w:val="20"/>
            <w:u w:val="single"/>
            <w:vertAlign w:val="baseline"/>
          </w:rPr>
          <w:t>, 916 F.2d 970, 972 n.3 (4th Cir. 1990)</w:t>
        </w:r>
      </w:hyperlink>
      <w:r>
        <w:rPr>
          <w:rFonts w:ascii="arial" w:eastAsia="arial" w:hAnsi="arial" w:cs="arial"/>
          <w:b w:val="0"/>
          <w:i w:val="0"/>
          <w:strike w:val="0"/>
          <w:noProof w:val="0"/>
          <w:color w:val="000000"/>
          <w:position w:val="0"/>
          <w:sz w:val="20"/>
          <w:u w:val="none"/>
          <w:vertAlign w:val="baseline"/>
        </w:rPr>
        <w:t xml:space="preserve"> ("[I]f plaintiffs genuinely were concerned that defendant's motion was premature, plaintiffs should have sought relief under </w:t>
      </w:r>
      <w:hyperlink r:id="rId20" w:history="1">
        <w:r>
          <w:rPr>
            <w:rFonts w:ascii="arial" w:eastAsia="arial" w:hAnsi="arial" w:cs="arial"/>
            <w:b w:val="0"/>
            <w:i/>
            <w:strike w:val="0"/>
            <w:noProof w:val="0"/>
            <w:color w:val="0077CC"/>
            <w:position w:val="0"/>
            <w:sz w:val="20"/>
            <w:u w:val="single"/>
            <w:vertAlign w:val="baseline"/>
          </w:rPr>
          <w:t>Fed. R. Civ. P. 56[(d)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22"/>
      <w:bookmarkEnd w:id="93"/>
      <w:bookmarkStart w:id="94" w:name="Bookmark_I67JTJTW2D6NW20030000400"/>
      <w:bookmarkEnd w:id="94"/>
      <w:bookmarkStart w:id="95" w:name="Bookmark_I67JTJTW2SF7SN0020000400"/>
      <w:bookmarkEnd w:id="95"/>
      <w:r>
        <w:rPr>
          <w:rFonts w:ascii="arial" w:eastAsia="arial" w:hAnsi="arial" w:cs="arial"/>
          <w:b w:val="0"/>
          <w:i w:val="0"/>
          <w:strike w:val="0"/>
          <w:noProof w:val="0"/>
          <w:color w:val="000000"/>
          <w:position w:val="0"/>
          <w:sz w:val="20"/>
          <w:u w:val="none"/>
          <w:vertAlign w:val="baseline"/>
        </w:rPr>
        <w:t>As the Fourth Circuit has said, when a district judge rules on a summary judgment motion prior to discovery, it is akin to "for[cing] the non-moving party into a fencing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match without a sword or mask." </w:t>
      </w:r>
      <w:bookmarkStart w:id="96" w:name="Bookmark_I67JTJTW2D6NW20020000400"/>
      <w:bookmarkEnd w:id="96"/>
      <w:hyperlink r:id="rId29" w:history="1">
        <w:r>
          <w:rPr>
            <w:rFonts w:ascii="arial" w:eastAsia="arial" w:hAnsi="arial" w:cs="arial"/>
            <w:b w:val="0"/>
            <w:i/>
            <w:strike w:val="0"/>
            <w:noProof w:val="0"/>
            <w:color w:val="0077CC"/>
            <w:position w:val="0"/>
            <w:sz w:val="20"/>
            <w:u w:val="single"/>
            <w:vertAlign w:val="baseline"/>
          </w:rPr>
          <w:t>McCray</w:t>
        </w:r>
      </w:hyperlink>
      <w:hyperlink r:id="rId29" w:history="1">
        <w:r>
          <w:rPr>
            <w:rFonts w:ascii="arial" w:eastAsia="arial" w:hAnsi="arial" w:cs="arial"/>
            <w:b w:val="0"/>
            <w:i/>
            <w:strike w:val="0"/>
            <w:noProof w:val="0"/>
            <w:color w:val="0077CC"/>
            <w:position w:val="0"/>
            <w:sz w:val="20"/>
            <w:u w:val="single"/>
            <w:vertAlign w:val="baseline"/>
          </w:rPr>
          <w:t>, 741 F.3d at 483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97" w:name="Bookmark_I67JTJTW2D6NW20040000400"/>
      <w:bookmarkEnd w:id="97"/>
      <w:hyperlink r:id="rId28" w:history="1">
        <w:r>
          <w:rPr>
            <w:rFonts w:ascii="arial" w:eastAsia="arial" w:hAnsi="arial" w:cs="arial"/>
            <w:b w:val="0"/>
            <w:i/>
            <w:strike w:val="0"/>
            <w:noProof w:val="0"/>
            <w:color w:val="0077CC"/>
            <w:position w:val="0"/>
            <w:sz w:val="20"/>
            <w:u w:val="single"/>
            <w:vertAlign w:val="baseline"/>
          </w:rPr>
          <w:t>Putney</w:t>
        </w:r>
      </w:hyperlink>
      <w:hyperlink r:id="rId28" w:history="1">
        <w:r>
          <w:rPr>
            <w:rFonts w:ascii="arial" w:eastAsia="arial" w:hAnsi="arial" w:cs="arial"/>
            <w:b w:val="0"/>
            <w:i/>
            <w:strike w:val="0"/>
            <w:noProof w:val="0"/>
            <w:color w:val="0077CC"/>
            <w:position w:val="0"/>
            <w:sz w:val="20"/>
            <w:u w:val="single"/>
            <w:vertAlign w:val="baseline"/>
          </w:rPr>
          <w:t>, 656 F. App'x at 639</w:t>
        </w:r>
      </w:hyperlink>
      <w:r>
        <w:rPr>
          <w:rFonts w:ascii="arial" w:eastAsia="arial" w:hAnsi="arial" w:cs="arial"/>
          <w:b w:val="0"/>
          <w:i w:val="0"/>
          <w:strike w:val="0"/>
          <w:noProof w:val="0"/>
          <w:color w:val="000000"/>
          <w:position w:val="0"/>
          <w:sz w:val="20"/>
          <w:u w:val="none"/>
          <w:vertAlign w:val="baseline"/>
        </w:rPr>
        <w:t xml:space="preserve">. </w:t>
      </w:r>
      <w:bookmarkStart w:id="98" w:name="Bookmark_I67JTJTW2SF7SN0040000400"/>
      <w:bookmarkEnd w:id="98"/>
      <w:r>
        <w:rPr>
          <w:rFonts w:ascii="arial" w:eastAsia="arial" w:hAnsi="arial" w:cs="arial"/>
          <w:b w:val="0"/>
          <w:i w:val="0"/>
          <w:strike w:val="0"/>
          <w:noProof w:val="0"/>
          <w:color w:val="000000"/>
          <w:position w:val="0"/>
          <w:sz w:val="20"/>
          <w:u w:val="none"/>
          <w:vertAlign w:val="baseline"/>
        </w:rPr>
        <w:t xml:space="preserve">And, the Fourth Circuit recently reaffirmed this principle when it concluded that a district court abused its discretion by granting summary judgment before discovery, even though the plaintiff failed to comply with </w:t>
      </w:r>
      <w:hyperlink r:id="rId20"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because "the district court was on fair notice of potential disputes as to the sufficiency of the summary judgment record." </w:t>
      </w:r>
      <w:bookmarkStart w:id="99" w:name="Bookmark_I67JTJTW2SF7SN0010000400"/>
      <w:bookmarkEnd w:id="99"/>
      <w:hyperlink r:id="rId27" w:history="1">
        <w:r>
          <w:rPr>
            <w:rFonts w:ascii="arial" w:eastAsia="arial" w:hAnsi="arial" w:cs="arial"/>
            <w:b w:val="0"/>
            <w:i/>
            <w:strike w:val="0"/>
            <w:noProof w:val="0"/>
            <w:color w:val="0077CC"/>
            <w:position w:val="0"/>
            <w:sz w:val="20"/>
            <w:u w:val="single"/>
            <w:vertAlign w:val="baseline"/>
          </w:rPr>
          <w:t>Shaw v. Foreman</w:t>
        </w:r>
      </w:hyperlink>
      <w:hyperlink r:id="rId27" w:history="1">
        <w:r>
          <w:rPr>
            <w:rFonts w:ascii="arial" w:eastAsia="arial" w:hAnsi="arial" w:cs="arial"/>
            <w:b w:val="0"/>
            <w:i/>
            <w:strike w:val="0"/>
            <w:noProof w:val="0"/>
            <w:color w:val="0077CC"/>
            <w:position w:val="0"/>
            <w:sz w:val="20"/>
            <w:u w:val="single"/>
            <w:vertAlign w:val="baseline"/>
          </w:rPr>
          <w:t>, 2023 U.S. App. LEXIS 2751, 2023 WL 1486310, at *5</w:t>
        </w:r>
      </w:hyperlink>
      <w:r>
        <w:rPr>
          <w:rFonts w:ascii="arial" w:eastAsia="arial" w:hAnsi="arial" w:cs="arial"/>
          <w:b w:val="0"/>
          <w:i w:val="0"/>
          <w:strike w:val="0"/>
          <w:noProof w:val="0"/>
          <w:color w:val="000000"/>
          <w:position w:val="0"/>
          <w:sz w:val="20"/>
          <w:u w:val="none"/>
          <w:vertAlign w:val="baseline"/>
        </w:rPr>
        <w:t xml:space="preserve">. In the case, much of the evidence the plaintiff needed involved the subjective knowledge of the prison officials or was in their exclusive control. </w:t>
      </w:r>
      <w:bookmarkStart w:id="100" w:name="Bookmark_I67JTJTW2SF7SN0040000400_2"/>
      <w:bookmarkEnd w:id="100"/>
      <w:r>
        <w:rPr>
          <w:rFonts w:ascii="arial" w:eastAsia="arial" w:hAnsi="arial" w:cs="arial"/>
          <w:b w:val="0"/>
          <w:i/>
          <w:strike w:val="0"/>
          <w:noProof w:val="0"/>
          <w:color w:val="000000"/>
          <w:position w:val="0"/>
          <w:sz w:val="20"/>
          <w:u w:val="none"/>
          <w:vertAlign w:val="baseline"/>
        </w:rPr>
        <w:t xml:space="preserve">Id.; see also </w:t>
      </w:r>
      <w:bookmarkStart w:id="101" w:name="Bookmark_I67JTJTW2SF7SN0030000400"/>
      <w:bookmarkEnd w:id="101"/>
      <w:hyperlink r:id="rId44" w:history="1">
        <w:r>
          <w:rPr>
            <w:rFonts w:ascii="arial" w:eastAsia="arial" w:hAnsi="arial" w:cs="arial"/>
            <w:b w:val="0"/>
            <w:i/>
            <w:strike w:val="0"/>
            <w:noProof w:val="0"/>
            <w:color w:val="0077CC"/>
            <w:position w:val="0"/>
            <w:sz w:val="20"/>
            <w:u w:val="single"/>
            <w:vertAlign w:val="baseline"/>
          </w:rPr>
          <w:t>Pledger v. Lynch</w:t>
        </w:r>
      </w:hyperlink>
      <w:hyperlink r:id="rId44" w:history="1">
        <w:r>
          <w:rPr>
            <w:rFonts w:ascii="arial" w:eastAsia="arial" w:hAnsi="arial" w:cs="arial"/>
            <w:b w:val="0"/>
            <w:i/>
            <w:strike w:val="0"/>
            <w:noProof w:val="0"/>
            <w:color w:val="0077CC"/>
            <w:position w:val="0"/>
            <w:sz w:val="20"/>
            <w:u w:val="single"/>
            <w:vertAlign w:val="baseline"/>
          </w:rPr>
          <w:t>, 5 F.4th 511, 526 (4th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3"/>
      <w:bookmarkEnd w:id="102"/>
      <w:r>
        <w:rPr>
          <w:rFonts w:ascii="arial" w:eastAsia="arial" w:hAnsi="arial" w:cs="arial"/>
          <w:b w:val="0"/>
          <w:i w:val="0"/>
          <w:strike w:val="0"/>
          <w:noProof w:val="0"/>
          <w:color w:val="000000"/>
          <w:position w:val="0"/>
          <w:sz w:val="20"/>
          <w:u w:val="none"/>
          <w:vertAlign w:val="baseline"/>
        </w:rPr>
        <w:t>Here, Roberts filed a Motion for Discovery (ECF 63), which I denied. ECF 65, ECF 66. In particular, plaintiff sought (1) a copy of "any video conference recording, fax report, email, teleconference recording disc or any tangible information related to any communications the warden at NBCI had with medical officials" related to his transfer to Bon Secours Hospital during the week prior to December 17, 2015 (ECF 63-3 at 1); (2) the names of the officers who transported him from NBCI to JCI, communications they received regarding his transfer, and a copy of the "Bed Management Report" at MCTC during the relevant time period, in order to determine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if he spent the night at MCTC during his scheduled appointment at the hospital (ECF 63-3 at 2); (3) the name of the transporting officers who transferred him to JCI after his medical appointment and communications they received; (4) the names of the officers who transported him from JCI to NBCI and communications they received; and (5) a "record, report and/or invoice" of the dates and time when he was picked up and transferred from each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support of his motion, Roberts stated that he needed discovery related to his remaining requests (the names of all officers, and their communications, pertaining to his transfers, and a bed management report) to determine if he spent the night at MCTC.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3" w:name="Bookmark_para_24"/>
      <w:bookmarkEnd w:id="103"/>
      <w:bookmarkStart w:id="104" w:name="Bookmark_I67JTJTW2HM6VV0010000400"/>
      <w:bookmarkEnd w:id="104"/>
      <w:r>
        <w:rPr>
          <w:rFonts w:ascii="arial" w:eastAsia="arial" w:hAnsi="arial" w:cs="arial"/>
          <w:b w:val="0"/>
          <w:i w:val="0"/>
          <w:strike w:val="0"/>
          <w:noProof w:val="0"/>
          <w:color w:val="000000"/>
          <w:position w:val="0"/>
          <w:sz w:val="20"/>
          <w:u w:val="none"/>
          <w:vertAlign w:val="baseline"/>
        </w:rPr>
        <w:t xml:space="preserve">In denying the discovery motion, I noted that Roberts did not explain how any communication between the warden and a medical official relates to his strip search claim or how the information is essential to his opposition. ECF 65 at 4. Compare </w:t>
      </w:r>
      <w:bookmarkStart w:id="105" w:name="Bookmark_I67JTJTW2SF7SN0050000400"/>
      <w:bookmarkEnd w:id="105"/>
      <w:hyperlink r:id="rId45" w:history="1">
        <w:r>
          <w:rPr>
            <w:rFonts w:ascii="arial" w:eastAsia="arial" w:hAnsi="arial" w:cs="arial"/>
            <w:b w:val="0"/>
            <w:i/>
            <w:strike w:val="0"/>
            <w:noProof w:val="0"/>
            <w:color w:val="0077CC"/>
            <w:position w:val="0"/>
            <w:sz w:val="20"/>
            <w:u w:val="single"/>
            <w:vertAlign w:val="baseline"/>
          </w:rPr>
          <w:t>Brooks v. Johnson</w:t>
        </w:r>
      </w:hyperlink>
      <w:hyperlink r:id="rId45" w:history="1">
        <w:r>
          <w:rPr>
            <w:rFonts w:ascii="arial" w:eastAsia="arial" w:hAnsi="arial" w:cs="arial"/>
            <w:b w:val="0"/>
            <w:i/>
            <w:strike w:val="0"/>
            <w:noProof w:val="0"/>
            <w:color w:val="0077CC"/>
            <w:position w:val="0"/>
            <w:sz w:val="20"/>
            <w:u w:val="single"/>
            <w:vertAlign w:val="baseline"/>
          </w:rPr>
          <w:t>, 924 F.3d 104, 110 (4th Cir. 2019)</w:t>
        </w:r>
      </w:hyperlink>
      <w:r>
        <w:rPr>
          <w:rFonts w:ascii="arial" w:eastAsia="arial" w:hAnsi="arial" w:cs="arial"/>
          <w:b w:val="0"/>
          <w:i w:val="0"/>
          <w:strike w:val="0"/>
          <w:noProof w:val="0"/>
          <w:color w:val="000000"/>
          <w:position w:val="0"/>
          <w:sz w:val="20"/>
          <w:u w:val="none"/>
          <w:vertAlign w:val="baseline"/>
        </w:rPr>
        <w:t xml:space="preserve">. I also noted that it appears Roberts was trying to determine whether he spent the night at MCTC. But, this is information entirely of his own knowledge, and thus discovery is not necessary to present such information. </w:t>
      </w:r>
      <w:bookmarkStart w:id="106" w:name="Bookmark_I67JTJTW2HM6VV0030000400"/>
      <w:bookmarkEnd w:id="106"/>
      <w:r>
        <w:rPr>
          <w:rFonts w:ascii="arial" w:eastAsia="arial" w:hAnsi="arial" w:cs="arial"/>
          <w:b w:val="0"/>
          <w:i w:val="0"/>
          <w:strike w:val="0"/>
          <w:noProof w:val="0"/>
          <w:color w:val="000000"/>
          <w:position w:val="0"/>
          <w:sz w:val="20"/>
          <w:u w:val="none"/>
          <w:vertAlign w:val="baseline"/>
        </w:rPr>
        <w:t>ECF 65 at 4. Indeed,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testimony based on personal knowledge or firsthand experience can constitute evidence of disputed material facts, even if it is uncorroborated and self-serving. </w:t>
      </w:r>
      <w:bookmarkStart w:id="107" w:name="Bookmark_I67JTJTW2HM6VV0020000400"/>
      <w:bookmarkEnd w:id="107"/>
      <w:hyperlink r:id="rId46" w:history="1">
        <w:r>
          <w:rPr>
            <w:rFonts w:ascii="arial" w:eastAsia="arial" w:hAnsi="arial" w:cs="arial"/>
            <w:b w:val="0"/>
            <w:i/>
            <w:strike w:val="0"/>
            <w:noProof w:val="0"/>
            <w:color w:val="0077CC"/>
            <w:position w:val="0"/>
            <w:sz w:val="20"/>
            <w:u w:val="single"/>
            <w:vertAlign w:val="baseline"/>
          </w:rPr>
          <w:t>Lovett v. Cracker Barrel Old Country Store, Inc.</w:t>
        </w:r>
      </w:hyperlink>
      <w:hyperlink r:id="rId46" w:history="1">
        <w:r>
          <w:rPr>
            <w:rFonts w:ascii="arial" w:eastAsia="arial" w:hAnsi="arial" w:cs="arial"/>
            <w:b w:val="0"/>
            <w:i/>
            <w:strike w:val="0"/>
            <w:noProof w:val="0"/>
            <w:color w:val="0077CC"/>
            <w:position w:val="0"/>
            <w:sz w:val="20"/>
            <w:u w:val="single"/>
            <w:vertAlign w:val="baseline"/>
          </w:rPr>
          <w:t>, 700 Fed. App'x 209, 212 (4th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25"/>
      <w:bookmarkEnd w:id="108"/>
      <w:r>
        <w:rPr>
          <w:rFonts w:ascii="arial" w:eastAsia="arial" w:hAnsi="arial" w:cs="arial"/>
          <w:b w:val="0"/>
          <w:i w:val="0"/>
          <w:strike w:val="0"/>
          <w:noProof w:val="0"/>
          <w:color w:val="000000"/>
          <w:position w:val="0"/>
          <w:sz w:val="20"/>
          <w:u w:val="none"/>
          <w:vertAlign w:val="baseline"/>
        </w:rPr>
        <w:t>Further, to the extent plaintiff was trying to establish the officers' "purpose" in stopping at MCTC, and the purpose of the stop at each facility, this information is not relevant to plaintiff's claims against the named defendants in this action. Indeed, Roberts has not named any correctional officers as defendants. In addition, the fact that the strip searches were conducted is not contested.</w:t>
      </w:r>
    </w:p>
    <w:p>
      <w:pPr>
        <w:keepNext w:val="0"/>
        <w:spacing w:before="200" w:after="0" w:line="260" w:lineRule="atLeast"/>
        <w:ind w:left="0" w:right="0" w:firstLine="0"/>
        <w:jc w:val="both"/>
      </w:pPr>
      <w:bookmarkStart w:id="109" w:name="Bookmark_para_26"/>
      <w:bookmarkEnd w:id="109"/>
      <w:r>
        <w:rPr>
          <w:rFonts w:ascii="arial" w:eastAsia="arial" w:hAnsi="arial" w:cs="arial"/>
          <w:b w:val="0"/>
          <w:i w:val="0"/>
          <w:strike w:val="0"/>
          <w:noProof w:val="0"/>
          <w:color w:val="000000"/>
          <w:position w:val="0"/>
          <w:sz w:val="20"/>
          <w:u w:val="none"/>
          <w:vertAlign w:val="baseline"/>
        </w:rPr>
        <w:t>Accordingly, I am satisfied that it is appropriate to address the Motion as a motion for summary judgment, as this will facilitate resolution of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27"/>
      <w:bookmarkEnd w:id="110"/>
      <w:bookmarkStart w:id="111" w:name="Bookmark_I67JTJTW2HM6VV0050000400"/>
      <w:bookmarkEnd w:id="111"/>
      <w:bookmarkStart w:id="112" w:name="Bookmark_I67JTJTX28T4PS0030000400"/>
      <w:bookmarkEnd w:id="112"/>
      <w:r>
        <w:rPr>
          <w:rFonts w:ascii="arial" w:eastAsia="arial" w:hAnsi="arial" w:cs="arial"/>
          <w:b w:val="0"/>
          <w:i w:val="0"/>
          <w:strike w:val="0"/>
          <w:noProof w:val="0"/>
          <w:color w:val="000000"/>
          <w:position w:val="0"/>
          <w:sz w:val="20"/>
          <w:u w:val="none"/>
          <w:vertAlign w:val="baseline"/>
        </w:rPr>
        <w:t xml:space="preserve">Summary judgment is governed by </w:t>
      </w:r>
      <w:hyperlink r:id="rId20"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It provides, in part: "The court shall grant summary judgment if the movant shows that there is no genuine dispute as to any material fact and the movant is entitled to judgment as a matter of law." </w:t>
      </w:r>
      <w:r>
        <w:rPr>
          <w:rFonts w:ascii="arial" w:eastAsia="arial" w:hAnsi="arial" w:cs="arial"/>
          <w:b w:val="0"/>
          <w:i/>
          <w:strike w:val="0"/>
          <w:noProof w:val="0"/>
          <w:color w:val="000000"/>
          <w:position w:val="0"/>
          <w:sz w:val="20"/>
          <w:u w:val="none"/>
          <w:vertAlign w:val="baseline"/>
        </w:rPr>
        <w:t xml:space="preserve">See </w:t>
      </w:r>
      <w:bookmarkStart w:id="113" w:name="Bookmark_I67JTJTW2HM6VV0040000400"/>
      <w:bookmarkEnd w:id="113"/>
      <w:hyperlink r:id="rId19" w:history="1">
        <w:r>
          <w:rPr>
            <w:rFonts w:ascii="arial" w:eastAsia="arial" w:hAnsi="arial" w:cs="arial"/>
            <w:b w:val="0"/>
            <w:i/>
            <w:strike w:val="0"/>
            <w:noProof w:val="0"/>
            <w:color w:val="0077CC"/>
            <w:position w:val="0"/>
            <w:sz w:val="20"/>
            <w:u w:val="single"/>
            <w:vertAlign w:val="baseline"/>
          </w:rPr>
          <w:t>Celotex Corp. v. Catrett</w:t>
        </w:r>
      </w:hyperlink>
      <w:hyperlink r:id="rId19" w:history="1">
        <w:r>
          <w:rPr>
            <w:rFonts w:ascii="arial" w:eastAsia="arial" w:hAnsi="arial" w:cs="arial"/>
            <w:b w:val="0"/>
            <w:i/>
            <w:strike w:val="0"/>
            <w:noProof w:val="0"/>
            <w:color w:val="0077CC"/>
            <w:position w:val="0"/>
            <w:sz w:val="20"/>
            <w:u w:val="single"/>
            <w:vertAlign w:val="baseline"/>
          </w:rPr>
          <w:t>, 477 U.S. 317, 322-24, 106 S. Ct. 2548, 91 L. Ed. 2d 265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4" w:name="Bookmark_I67JTJTX2D6NW30010000400"/>
      <w:bookmarkEnd w:id="114"/>
      <w:hyperlink r:id="rId47" w:history="1">
        <w:r>
          <w:rPr>
            <w:rFonts w:ascii="arial" w:eastAsia="arial" w:hAnsi="arial" w:cs="arial"/>
            <w:b w:val="0"/>
            <w:i/>
            <w:strike w:val="0"/>
            <w:noProof w:val="0"/>
            <w:color w:val="0077CC"/>
            <w:position w:val="0"/>
            <w:sz w:val="20"/>
            <w:u w:val="single"/>
            <w:vertAlign w:val="baseline"/>
          </w:rPr>
          <w:t>Cybernet, LLC v. David</w:t>
        </w:r>
      </w:hyperlink>
      <w:hyperlink r:id="rId47" w:history="1">
        <w:r>
          <w:rPr>
            <w:rFonts w:ascii="arial" w:eastAsia="arial" w:hAnsi="arial" w:cs="arial"/>
            <w:b w:val="0"/>
            <w:i/>
            <w:strike w:val="0"/>
            <w:noProof w:val="0"/>
            <w:color w:val="0077CC"/>
            <w:position w:val="0"/>
            <w:sz w:val="20"/>
            <w:u w:val="single"/>
            <w:vertAlign w:val="baseline"/>
          </w:rPr>
          <w:t>, 954 F.3d 162, 168 (4th Cir. 2020)</w:t>
        </w:r>
      </w:hyperlink>
      <w:r>
        <w:rPr>
          <w:rFonts w:ascii="arial" w:eastAsia="arial" w:hAnsi="arial" w:cs="arial"/>
          <w:b w:val="0"/>
          <w:i w:val="0"/>
          <w:strike w:val="0"/>
          <w:noProof w:val="0"/>
          <w:color w:val="000000"/>
          <w:position w:val="0"/>
          <w:sz w:val="20"/>
          <w:u w:val="none"/>
          <w:vertAlign w:val="baseline"/>
        </w:rPr>
        <w:t xml:space="preserve">; </w:t>
      </w:r>
      <w:bookmarkStart w:id="115" w:name="Bookmark_I67JTJTX2D6NW30030000400"/>
      <w:bookmarkEnd w:id="115"/>
      <w:hyperlink r:id="rId48" w:history="1">
        <w:r>
          <w:rPr>
            <w:rFonts w:ascii="arial" w:eastAsia="arial" w:hAnsi="arial" w:cs="arial"/>
            <w:b w:val="0"/>
            <w:i/>
            <w:strike w:val="0"/>
            <w:noProof w:val="0"/>
            <w:color w:val="0077CC"/>
            <w:position w:val="0"/>
            <w:sz w:val="20"/>
            <w:u w:val="single"/>
            <w:vertAlign w:val="baseline"/>
          </w:rPr>
          <w:t>Variety Stores, Inc. Wal-Mart Stores, Inc.</w:t>
        </w:r>
      </w:hyperlink>
      <w:hyperlink r:id="rId48" w:history="1">
        <w:r>
          <w:rPr>
            <w:rFonts w:ascii="arial" w:eastAsia="arial" w:hAnsi="arial" w:cs="arial"/>
            <w:b w:val="0"/>
            <w:i/>
            <w:strike w:val="0"/>
            <w:noProof w:val="0"/>
            <w:color w:val="0077CC"/>
            <w:position w:val="0"/>
            <w:sz w:val="20"/>
            <w:u w:val="single"/>
            <w:vertAlign w:val="baseline"/>
          </w:rPr>
          <w:t>, 888 F.3d 651, 659 (4th Cir. 2018)</w:t>
        </w:r>
      </w:hyperlink>
      <w:r>
        <w:rPr>
          <w:rFonts w:ascii="arial" w:eastAsia="arial" w:hAnsi="arial" w:cs="arial"/>
          <w:b w:val="0"/>
          <w:i w:val="0"/>
          <w:strike w:val="0"/>
          <w:noProof w:val="0"/>
          <w:color w:val="000000"/>
          <w:position w:val="0"/>
          <w:sz w:val="20"/>
          <w:u w:val="none"/>
          <w:vertAlign w:val="baseline"/>
        </w:rPr>
        <w:t xml:space="preserve">; </w:t>
      </w:r>
      <w:bookmarkStart w:id="116" w:name="Bookmark_I67JTJTX2D6NW30050000400"/>
      <w:bookmarkEnd w:id="116"/>
      <w:hyperlink r:id="rId49" w:history="1">
        <w:r>
          <w:rPr>
            <w:rFonts w:ascii="arial" w:eastAsia="arial" w:hAnsi="arial" w:cs="arial"/>
            <w:b w:val="0"/>
            <w:i/>
            <w:strike w:val="0"/>
            <w:noProof w:val="0"/>
            <w:color w:val="0077CC"/>
            <w:position w:val="0"/>
            <w:sz w:val="20"/>
            <w:u w:val="single"/>
            <w:vertAlign w:val="baseline"/>
          </w:rPr>
          <w:t>Iraq Middle Mkt. Dev. Found v. Harmoosh</w:t>
        </w:r>
      </w:hyperlink>
      <w:hyperlink r:id="rId49" w:history="1">
        <w:r>
          <w:rPr>
            <w:rFonts w:ascii="arial" w:eastAsia="arial" w:hAnsi="arial" w:cs="arial"/>
            <w:b w:val="0"/>
            <w:i/>
            <w:strike w:val="0"/>
            <w:noProof w:val="0"/>
            <w:color w:val="0077CC"/>
            <w:position w:val="0"/>
            <w:sz w:val="20"/>
            <w:u w:val="single"/>
            <w:vertAlign w:val="baseline"/>
          </w:rPr>
          <w:t>, 848 F.3d 235, 238 (4th Cir. 2017)</w:t>
        </w:r>
      </w:hyperlink>
      <w:r>
        <w:rPr>
          <w:rFonts w:ascii="arial" w:eastAsia="arial" w:hAnsi="arial" w:cs="arial"/>
          <w:b w:val="0"/>
          <w:i w:val="0"/>
          <w:strike w:val="0"/>
          <w:noProof w:val="0"/>
          <w:color w:val="000000"/>
          <w:position w:val="0"/>
          <w:sz w:val="20"/>
          <w:u w:val="none"/>
          <w:vertAlign w:val="baseline"/>
        </w:rPr>
        <w:t xml:space="preserve">. To avoid summary judgment, the nonmoving party must demonstrate that there is a genuine dispute of material fact so as to preclude the award of summary judgment as a matter of law. </w:t>
      </w:r>
      <w:bookmarkStart w:id="117" w:name="Bookmark_I67JTJTX28T4PS0020000400"/>
      <w:bookmarkEnd w:id="117"/>
      <w:hyperlink r:id="rId50" w:history="1">
        <w:r>
          <w:rPr>
            <w:rFonts w:ascii="arial" w:eastAsia="arial" w:hAnsi="arial" w:cs="arial"/>
            <w:b w:val="0"/>
            <w:i/>
            <w:strike w:val="0"/>
            <w:noProof w:val="0"/>
            <w:color w:val="0077CC"/>
            <w:position w:val="0"/>
            <w:sz w:val="20"/>
            <w:u w:val="single"/>
            <w:vertAlign w:val="baseline"/>
          </w:rPr>
          <w:t>Ricci v. DeStefano</w:t>
        </w:r>
      </w:hyperlink>
      <w:hyperlink r:id="rId50" w:history="1">
        <w:r>
          <w:rPr>
            <w:rFonts w:ascii="arial" w:eastAsia="arial" w:hAnsi="arial" w:cs="arial"/>
            <w:b w:val="0"/>
            <w:i/>
            <w:strike w:val="0"/>
            <w:noProof w:val="0"/>
            <w:color w:val="0077CC"/>
            <w:position w:val="0"/>
            <w:sz w:val="20"/>
            <w:u w:val="single"/>
            <w:vertAlign w:val="baseline"/>
          </w:rPr>
          <w:t>, 557 U.S. 557, 585-86, 129 S. Ct. 2658, 174 L. Ed. 2d 490 (2009)</w:t>
        </w:r>
      </w:hyperlink>
      <w:r>
        <w:rPr>
          <w:rFonts w:ascii="arial" w:eastAsia="arial" w:hAnsi="arial" w:cs="arial"/>
          <w:b w:val="0"/>
          <w:i w:val="0"/>
          <w:strike w:val="0"/>
          <w:noProof w:val="0"/>
          <w:color w:val="000000"/>
          <w:position w:val="0"/>
          <w:sz w:val="20"/>
          <w:u w:val="none"/>
          <w:vertAlign w:val="baseline"/>
        </w:rPr>
        <w:t xml:space="preserve">; </w:t>
      </w:r>
      <w:bookmarkStart w:id="118" w:name="Bookmark_I67JTJTX28T4PS0040000400"/>
      <w:bookmarkEnd w:id="118"/>
      <w:hyperlink r:id="rId51"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51" w:history="1">
        <w:r>
          <w:rPr>
            <w:rFonts w:ascii="arial" w:eastAsia="arial" w:hAnsi="arial" w:cs="arial"/>
            <w:b w:val="0"/>
            <w:i/>
            <w:strike w:val="0"/>
            <w:noProof w:val="0"/>
            <w:color w:val="0077CC"/>
            <w:position w:val="0"/>
            <w:sz w:val="20"/>
            <w:u w:val="single"/>
            <w:vertAlign w:val="baseline"/>
          </w:rPr>
          <w:t>, 475 U.S. 574, 585-86, 106 S. Ct. 1348, 89 L. Ed. 2d 538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9" w:name="Bookmark_I67JTJV82SF7SV0010000400"/>
      <w:bookmarkEnd w:id="119"/>
      <w:hyperlink r:id="rId36" w:history="1">
        <w:r>
          <w:rPr>
            <w:rFonts w:ascii="arial" w:eastAsia="arial" w:hAnsi="arial" w:cs="arial"/>
            <w:b w:val="0"/>
            <w:i/>
            <w:strike w:val="0"/>
            <w:noProof w:val="0"/>
            <w:color w:val="0077CC"/>
            <w:position w:val="0"/>
            <w:sz w:val="20"/>
            <w:u w:val="single"/>
            <w:vertAlign w:val="baseline"/>
          </w:rPr>
          <w:t>Gordon v. CIGNA Corp.</w:t>
        </w:r>
      </w:hyperlink>
      <w:hyperlink r:id="rId36" w:history="1">
        <w:r>
          <w:rPr>
            <w:rFonts w:ascii="arial" w:eastAsia="arial" w:hAnsi="arial" w:cs="arial"/>
            <w:b w:val="0"/>
            <w:i/>
            <w:strike w:val="0"/>
            <w:noProof w:val="0"/>
            <w:color w:val="0077CC"/>
            <w:position w:val="0"/>
            <w:sz w:val="20"/>
            <w:u w:val="single"/>
            <w:vertAlign w:val="baseline"/>
          </w:rPr>
          <w:t>, 890 F.3d 463, 470 (4th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28"/>
      <w:bookmarkEnd w:id="120"/>
      <w:bookmarkStart w:id="121" w:name="Bookmark_I67JTJV82SF7SV0040000400"/>
      <w:bookmarkEnd w:id="121"/>
      <w:r>
        <w:rPr>
          <w:rFonts w:ascii="arial" w:eastAsia="arial" w:hAnsi="arial" w:cs="arial"/>
          <w:b w:val="0"/>
          <w:i w:val="0"/>
          <w:strike w:val="0"/>
          <w:noProof w:val="0"/>
          <w:color w:val="000000"/>
          <w:position w:val="0"/>
          <w:sz w:val="20"/>
          <w:u w:val="none"/>
          <w:vertAlign w:val="baseline"/>
        </w:rPr>
        <w:t>The Supreme Court has clarified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every factual dispute will defeat a summary judgment motion. "By its very terms, this standard provides that the mere existence of some alleged factual dispute between the parties will not defeat an otherwise properly supported motion for summary judgment; the requirement is that there be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w:t>
      </w:r>
      <w:bookmarkStart w:id="122" w:name="Bookmark_I67JTJV82SF7SV0030000400"/>
      <w:bookmarkEnd w:id="122"/>
      <w:hyperlink r:id="rId52" w:history="1">
        <w:r>
          <w:rPr>
            <w:rFonts w:ascii="arial" w:eastAsia="arial" w:hAnsi="arial" w:cs="arial"/>
            <w:b w:val="0"/>
            <w:i/>
            <w:strike w:val="0"/>
            <w:noProof w:val="0"/>
            <w:color w:val="0077CC"/>
            <w:position w:val="0"/>
            <w:sz w:val="20"/>
            <w:u w:val="single"/>
            <w:vertAlign w:val="baseline"/>
          </w:rPr>
          <w:t>Anderson v. Liberty Lobby, Inc.</w:t>
        </w:r>
      </w:hyperlink>
      <w:hyperlink r:id="rId52"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123" w:name="Bookmark_para_29"/>
      <w:bookmarkEnd w:id="123"/>
      <w:bookmarkStart w:id="124" w:name="Bookmark_I67JTJV82N1R2K0010000400"/>
      <w:bookmarkEnd w:id="124"/>
      <w:bookmarkStart w:id="125" w:name="Bookmark_I67JTJV82N1R2K0050000400"/>
      <w:bookmarkEnd w:id="125"/>
      <w:r>
        <w:rPr>
          <w:rFonts w:ascii="arial" w:eastAsia="arial" w:hAnsi="arial" w:cs="arial"/>
          <w:b w:val="0"/>
          <w:i w:val="0"/>
          <w:strike w:val="0"/>
          <w:noProof w:val="0"/>
          <w:color w:val="000000"/>
          <w:position w:val="0"/>
          <w:sz w:val="20"/>
          <w:u w:val="none"/>
          <w:vertAlign w:val="baseline"/>
        </w:rPr>
        <w:t xml:space="preserve">A fact is "material" if it "might affect the outcome of the suit under the governing law." </w:t>
      </w:r>
      <w:bookmarkStart w:id="126" w:name="Bookmark_I67JTJV82SF7SV0050000400"/>
      <w:bookmarkEnd w:id="126"/>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7" w:name="Bookmark_I67JTJV82N1R2K0020000400"/>
      <w:bookmarkEnd w:id="127"/>
      <w:hyperlink r:id="rId53" w:history="1">
        <w:r>
          <w:rPr>
            <w:rFonts w:ascii="arial" w:eastAsia="arial" w:hAnsi="arial" w:cs="arial"/>
            <w:b w:val="0"/>
            <w:i/>
            <w:strike w:val="0"/>
            <w:noProof w:val="0"/>
            <w:color w:val="0077CC"/>
            <w:position w:val="0"/>
            <w:sz w:val="20"/>
            <w:u w:val="single"/>
            <w:vertAlign w:val="baseline"/>
          </w:rPr>
          <w:t>Tom v. Hospitality Ventures, LLC</w:t>
        </w:r>
      </w:hyperlink>
      <w:hyperlink r:id="rId53" w:history="1">
        <w:r>
          <w:rPr>
            <w:rFonts w:ascii="arial" w:eastAsia="arial" w:hAnsi="arial" w:cs="arial"/>
            <w:b w:val="0"/>
            <w:i/>
            <w:strike w:val="0"/>
            <w:noProof w:val="0"/>
            <w:color w:val="0077CC"/>
            <w:position w:val="0"/>
            <w:sz w:val="20"/>
            <w:u w:val="single"/>
            <w:vertAlign w:val="baseline"/>
          </w:rPr>
          <w:t>, 980 F.3d 1027, 1037 (4th Cir. 2020)</w:t>
        </w:r>
      </w:hyperlink>
      <w:r>
        <w:rPr>
          <w:rFonts w:ascii="arial" w:eastAsia="arial" w:hAnsi="arial" w:cs="arial"/>
          <w:b w:val="0"/>
          <w:i w:val="0"/>
          <w:strike w:val="0"/>
          <w:noProof w:val="0"/>
          <w:color w:val="000000"/>
          <w:position w:val="0"/>
          <w:sz w:val="20"/>
          <w:u w:val="none"/>
          <w:vertAlign w:val="baseline"/>
        </w:rPr>
        <w:t xml:space="preserve">. There is a genuine issue as to material fact "if the evidence is such that a reasonable jury could return a verdict for the nonmoving party." </w:t>
      </w:r>
      <w:bookmarkStart w:id="128" w:name="Bookmark_I67JTJV82N1R2K0040000400"/>
      <w:bookmarkEnd w:id="128"/>
      <w:hyperlink r:id="rId52" w:history="1">
        <w:r>
          <w:rPr>
            <w:rFonts w:ascii="arial" w:eastAsia="arial" w:hAnsi="arial" w:cs="arial"/>
            <w:b w:val="0"/>
            <w:i/>
            <w:strike w:val="0"/>
            <w:noProof w:val="0"/>
            <w:color w:val="0077CC"/>
            <w:position w:val="0"/>
            <w:sz w:val="20"/>
            <w:u w:val="single"/>
            <w:vertAlign w:val="baseline"/>
          </w:rPr>
          <w:t>Anderson</w:t>
        </w:r>
      </w:hyperlink>
      <w:hyperlink r:id="rId52"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9" w:name="Bookmark_I67JTJV82HM6W30010000400"/>
      <w:bookmarkEnd w:id="129"/>
      <w:hyperlink r:id="rId54" w:history="1">
        <w:r>
          <w:rPr>
            <w:rFonts w:ascii="arial" w:eastAsia="arial" w:hAnsi="arial" w:cs="arial"/>
            <w:b w:val="0"/>
            <w:i/>
            <w:strike w:val="0"/>
            <w:noProof w:val="0"/>
            <w:color w:val="0077CC"/>
            <w:position w:val="0"/>
            <w:sz w:val="20"/>
            <w:u w:val="single"/>
            <w:vertAlign w:val="baseline"/>
          </w:rPr>
          <w:t>CTB, Inc. v. Hog Slat, Inc.</w:t>
        </w:r>
      </w:hyperlink>
      <w:hyperlink r:id="rId54" w:history="1">
        <w:r>
          <w:rPr>
            <w:rFonts w:ascii="arial" w:eastAsia="arial" w:hAnsi="arial" w:cs="arial"/>
            <w:b w:val="0"/>
            <w:i/>
            <w:strike w:val="0"/>
            <w:noProof w:val="0"/>
            <w:color w:val="0077CC"/>
            <w:position w:val="0"/>
            <w:sz w:val="20"/>
            <w:u w:val="single"/>
            <w:vertAlign w:val="baseline"/>
          </w:rPr>
          <w:t>, 954 F.3d 647, 658 (4th Cir. 2020)</w:t>
        </w:r>
      </w:hyperlink>
      <w:r>
        <w:rPr>
          <w:rFonts w:ascii="arial" w:eastAsia="arial" w:hAnsi="arial" w:cs="arial"/>
          <w:b w:val="0"/>
          <w:i w:val="0"/>
          <w:strike w:val="0"/>
          <w:noProof w:val="0"/>
          <w:color w:val="000000"/>
          <w:position w:val="0"/>
          <w:sz w:val="20"/>
          <w:u w:val="none"/>
          <w:vertAlign w:val="baseline"/>
        </w:rPr>
        <w:t xml:space="preserve">; </w:t>
      </w:r>
      <w:bookmarkStart w:id="130" w:name="Bookmark_I67JTJV82HM6W30030000400"/>
      <w:bookmarkEnd w:id="130"/>
      <w:hyperlink r:id="rId48" w:history="1">
        <w:r>
          <w:rPr>
            <w:rFonts w:ascii="arial" w:eastAsia="arial" w:hAnsi="arial" w:cs="arial"/>
            <w:b w:val="0"/>
            <w:i/>
            <w:strike w:val="0"/>
            <w:noProof w:val="0"/>
            <w:color w:val="0077CC"/>
            <w:position w:val="0"/>
            <w:sz w:val="20"/>
            <w:u w:val="single"/>
            <w:vertAlign w:val="baseline"/>
          </w:rPr>
          <w:t>Variety Stores, Inc.</w:t>
        </w:r>
      </w:hyperlink>
      <w:hyperlink r:id="rId48" w:history="1">
        <w:r>
          <w:rPr>
            <w:rFonts w:ascii="arial" w:eastAsia="arial" w:hAnsi="arial" w:cs="arial"/>
            <w:b w:val="0"/>
            <w:i/>
            <w:strike w:val="0"/>
            <w:noProof w:val="0"/>
            <w:color w:val="0077CC"/>
            <w:position w:val="0"/>
            <w:sz w:val="20"/>
            <w:u w:val="single"/>
            <w:vertAlign w:val="baseline"/>
          </w:rPr>
          <w:t>, 888 F.3d at 659</w:t>
        </w:r>
      </w:hyperlink>
      <w:r>
        <w:rPr>
          <w:rFonts w:ascii="arial" w:eastAsia="arial" w:hAnsi="arial" w:cs="arial"/>
          <w:b w:val="0"/>
          <w:i w:val="0"/>
          <w:strike w:val="0"/>
          <w:noProof w:val="0"/>
          <w:color w:val="000000"/>
          <w:position w:val="0"/>
          <w:sz w:val="20"/>
          <w:u w:val="none"/>
          <w:vertAlign w:val="baseline"/>
        </w:rPr>
        <w:t xml:space="preserve">; </w:t>
      </w:r>
      <w:bookmarkStart w:id="131" w:name="Bookmark_I67JTJV82HM6W30050000400"/>
      <w:bookmarkEnd w:id="131"/>
      <w:hyperlink r:id="rId55" w:history="1">
        <w:r>
          <w:rPr>
            <w:rFonts w:ascii="arial" w:eastAsia="arial" w:hAnsi="arial" w:cs="arial"/>
            <w:b w:val="0"/>
            <w:i/>
            <w:strike w:val="0"/>
            <w:noProof w:val="0"/>
            <w:color w:val="0077CC"/>
            <w:position w:val="0"/>
            <w:sz w:val="20"/>
            <w:u w:val="single"/>
            <w:vertAlign w:val="baseline"/>
          </w:rPr>
          <w:t>Sharif v. United Airlines, Inc.</w:t>
        </w:r>
      </w:hyperlink>
      <w:hyperlink r:id="rId55" w:history="1">
        <w:r>
          <w:rPr>
            <w:rFonts w:ascii="arial" w:eastAsia="arial" w:hAnsi="arial" w:cs="arial"/>
            <w:b w:val="0"/>
            <w:i/>
            <w:strike w:val="0"/>
            <w:noProof w:val="0"/>
            <w:color w:val="0077CC"/>
            <w:position w:val="0"/>
            <w:sz w:val="20"/>
            <w:u w:val="single"/>
            <w:vertAlign w:val="baseline"/>
          </w:rPr>
          <w:t>, 841 F.3d 199, 204 (4th Cir. 2016)</w:t>
        </w:r>
      </w:hyperlink>
      <w:r>
        <w:rPr>
          <w:rFonts w:ascii="arial" w:eastAsia="arial" w:hAnsi="arial" w:cs="arial"/>
          <w:b w:val="0"/>
          <w:i w:val="0"/>
          <w:strike w:val="0"/>
          <w:noProof w:val="0"/>
          <w:color w:val="000000"/>
          <w:position w:val="0"/>
          <w:sz w:val="20"/>
          <w:u w:val="none"/>
          <w:vertAlign w:val="baseline"/>
        </w:rPr>
        <w:t xml:space="preserve">; </w:t>
      </w:r>
      <w:bookmarkStart w:id="132" w:name="Bookmark_I67JTJV92D6NW80020000400"/>
      <w:bookmarkEnd w:id="132"/>
      <w:hyperlink r:id="rId56" w:history="1">
        <w:r>
          <w:rPr>
            <w:rFonts w:ascii="arial" w:eastAsia="arial" w:hAnsi="arial" w:cs="arial"/>
            <w:b w:val="0"/>
            <w:i/>
            <w:strike w:val="0"/>
            <w:noProof w:val="0"/>
            <w:color w:val="0077CC"/>
            <w:position w:val="0"/>
            <w:sz w:val="20"/>
            <w:u w:val="single"/>
            <w:vertAlign w:val="baseline"/>
          </w:rPr>
          <w:t>Raynor v. Pugh</w:t>
        </w:r>
      </w:hyperlink>
      <w:hyperlink r:id="rId56" w:history="1">
        <w:r>
          <w:rPr>
            <w:rFonts w:ascii="arial" w:eastAsia="arial" w:hAnsi="arial" w:cs="arial"/>
            <w:b w:val="0"/>
            <w:i/>
            <w:strike w:val="0"/>
            <w:noProof w:val="0"/>
            <w:color w:val="0077CC"/>
            <w:position w:val="0"/>
            <w:sz w:val="20"/>
            <w:u w:val="single"/>
            <w:vertAlign w:val="baseline"/>
          </w:rPr>
          <w:t>, 817 F.3d 123, 130 (4th Cir. 2016)</w:t>
        </w:r>
      </w:hyperlink>
      <w:r>
        <w:rPr>
          <w:rFonts w:ascii="arial" w:eastAsia="arial" w:hAnsi="arial" w:cs="arial"/>
          <w:b w:val="0"/>
          <w:i w:val="0"/>
          <w:strike w:val="0"/>
          <w:noProof w:val="0"/>
          <w:color w:val="000000"/>
          <w:position w:val="0"/>
          <w:sz w:val="20"/>
          <w:u w:val="none"/>
          <w:vertAlign w:val="baseline"/>
        </w:rPr>
        <w:t xml:space="preserve">; </w:t>
      </w:r>
      <w:bookmarkStart w:id="133" w:name="Bookmark_I67JTJV92D6NW80040000400"/>
      <w:bookmarkEnd w:id="133"/>
      <w:hyperlink r:id="rId57" w:history="1">
        <w:r>
          <w:rPr>
            <w:rFonts w:ascii="arial" w:eastAsia="arial" w:hAnsi="arial" w:cs="arial"/>
            <w:b w:val="0"/>
            <w:i/>
            <w:strike w:val="0"/>
            <w:noProof w:val="0"/>
            <w:color w:val="0077CC"/>
            <w:position w:val="0"/>
            <w:sz w:val="20"/>
            <w:u w:val="single"/>
            <w:vertAlign w:val="baseline"/>
          </w:rPr>
          <w:t>Libertarian Party of Va. v. Judd</w:t>
        </w:r>
      </w:hyperlink>
      <w:hyperlink r:id="rId57" w:history="1">
        <w:r>
          <w:rPr>
            <w:rFonts w:ascii="arial" w:eastAsia="arial" w:hAnsi="arial" w:cs="arial"/>
            <w:b w:val="0"/>
            <w:i/>
            <w:strike w:val="0"/>
            <w:noProof w:val="0"/>
            <w:color w:val="0077CC"/>
            <w:position w:val="0"/>
            <w:sz w:val="20"/>
            <w:u w:val="single"/>
            <w:vertAlign w:val="baseline"/>
          </w:rPr>
          <w:t>, 718 F.3d 308, 313 (4th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0"/>
      <w:bookmarkEnd w:id="134"/>
      <w:bookmarkStart w:id="135" w:name="Bookmark_I67JTJVB2SF7SY0020000400"/>
      <w:bookmarkEnd w:id="135"/>
      <w:bookmarkStart w:id="136" w:name="Bookmark_I67JTJVB2SF7SY0040000400"/>
      <w:bookmarkEnd w:id="136"/>
      <w:r>
        <w:rPr>
          <w:rFonts w:ascii="arial" w:eastAsia="arial" w:hAnsi="arial" w:cs="arial"/>
          <w:b w:val="0"/>
          <w:i w:val="0"/>
          <w:strike w:val="0"/>
          <w:noProof w:val="0"/>
          <w:color w:val="000000"/>
          <w:position w:val="0"/>
          <w:sz w:val="20"/>
          <w:u w:val="none"/>
          <w:vertAlign w:val="baseline"/>
        </w:rPr>
        <w:t xml:space="preserve">"A party opposing a properly supported motion for summary judgment 'may not rest upon the mere allegations or denials of [his] pleadings,' but rather must 'set forth specific facts showing that there is a genuine issue for trial.'" </w:t>
      </w:r>
      <w:bookmarkStart w:id="137" w:name="Bookmark_I67JTJVB2SF7SY0010000400"/>
      <w:bookmarkEnd w:id="137"/>
      <w:hyperlink r:id="rId17" w:history="1">
        <w:r>
          <w:rPr>
            <w:rFonts w:ascii="arial" w:eastAsia="arial" w:hAnsi="arial" w:cs="arial"/>
            <w:b w:val="0"/>
            <w:i/>
            <w:strike w:val="0"/>
            <w:noProof w:val="0"/>
            <w:color w:val="0077CC"/>
            <w:position w:val="0"/>
            <w:sz w:val="20"/>
            <w:u w:val="single"/>
            <w:vertAlign w:val="baseline"/>
          </w:rPr>
          <w:t>Bouchat</w:t>
        </w:r>
      </w:hyperlink>
      <w:hyperlink r:id="rId17" w:history="1">
        <w:r>
          <w:rPr>
            <w:rFonts w:ascii="arial" w:eastAsia="arial" w:hAnsi="arial" w:cs="arial"/>
            <w:b w:val="0"/>
            <w:i/>
            <w:strike w:val="0"/>
            <w:noProof w:val="0"/>
            <w:color w:val="0077CC"/>
            <w:position w:val="0"/>
            <w:sz w:val="20"/>
            <w:u w:val="single"/>
            <w:vertAlign w:val="baseline"/>
          </w:rPr>
          <w:t>, 346 F.3d at 522</w:t>
        </w:r>
      </w:hyperlink>
      <w:r>
        <w:rPr>
          <w:rFonts w:ascii="arial" w:eastAsia="arial" w:hAnsi="arial" w:cs="arial"/>
          <w:b w:val="0"/>
          <w:i w:val="0"/>
          <w:strike w:val="0"/>
          <w:noProof w:val="0"/>
          <w:color w:val="000000"/>
          <w:position w:val="0"/>
          <w:sz w:val="20"/>
          <w:u w:val="none"/>
          <w:vertAlign w:val="baseline"/>
        </w:rPr>
        <w:t xml:space="preserve"> (quoting former </w:t>
      </w:r>
      <w:hyperlink r:id="rId20"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Moreover, the nonmovant "must rely on more than conclusory allegations, mere speculation, the building of one inference upon another, or the mere existence of a scintilla of evidence." </w:t>
      </w:r>
      <w:bookmarkStart w:id="138" w:name="Bookmark_I67JTJVB2SF7SY0030000400"/>
      <w:bookmarkEnd w:id="138"/>
      <w:hyperlink r:id="rId58" w:history="1">
        <w:r>
          <w:rPr>
            <w:rFonts w:ascii="arial" w:eastAsia="arial" w:hAnsi="arial" w:cs="arial"/>
            <w:b w:val="0"/>
            <w:i/>
            <w:strike w:val="0"/>
            <w:noProof w:val="0"/>
            <w:color w:val="0077CC"/>
            <w:position w:val="0"/>
            <w:sz w:val="20"/>
            <w:u w:val="single"/>
            <w:vertAlign w:val="baseline"/>
          </w:rPr>
          <w:t>Humphreys &amp; Partners Architects, L.P. v. Lessard Design, Inc.</w:t>
        </w:r>
      </w:hyperlink>
      <w:hyperlink r:id="rId58" w:history="1">
        <w:r>
          <w:rPr>
            <w:rFonts w:ascii="arial" w:eastAsia="arial" w:hAnsi="arial" w:cs="arial"/>
            <w:b w:val="0"/>
            <w:i/>
            <w:strike w:val="0"/>
            <w:noProof w:val="0"/>
            <w:color w:val="0077CC"/>
            <w:position w:val="0"/>
            <w:sz w:val="20"/>
            <w:u w:val="single"/>
            <w:vertAlign w:val="baseline"/>
          </w:rPr>
          <w:t>, 790 F.3d 532, 540 (4th Cir. 2015)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39" w:name="Bookmark_para_31"/>
      <w:bookmarkEnd w:id="139"/>
      <w:bookmarkStart w:id="140" w:name="Bookmark_I67JTJVB2N1R2P0010000400"/>
      <w:bookmarkEnd w:id="140"/>
      <w:bookmarkStart w:id="141" w:name="Bookmark_I67JTJVC2HM6W40010000400"/>
      <w:bookmarkEnd w:id="141"/>
      <w:r>
        <w:rPr>
          <w:rFonts w:ascii="arial" w:eastAsia="arial" w:hAnsi="arial" w:cs="arial"/>
          <w:b w:val="0"/>
          <w:i w:val="0"/>
          <w:strike w:val="0"/>
          <w:noProof w:val="0"/>
          <w:color w:val="000000"/>
          <w:position w:val="0"/>
          <w:sz w:val="20"/>
          <w:u w:val="none"/>
          <w:vertAlign w:val="baseline"/>
        </w:rPr>
        <w:t>The court must "view the evidence in the light most favorable to . . . the nonmovant, and draw all inferences in 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favor without weighing the evidence or assessing the witnesses' credibility." </w:t>
      </w:r>
      <w:bookmarkStart w:id="142" w:name="Bookmark_I67JTJVB2SF7SY0050000400"/>
      <w:bookmarkEnd w:id="142"/>
      <w:hyperlink r:id="rId59" w:history="1">
        <w:r>
          <w:rPr>
            <w:rFonts w:ascii="arial" w:eastAsia="arial" w:hAnsi="arial" w:cs="arial"/>
            <w:b w:val="0"/>
            <w:i/>
            <w:strike w:val="0"/>
            <w:noProof w:val="0"/>
            <w:color w:val="0077CC"/>
            <w:position w:val="0"/>
            <w:sz w:val="20"/>
            <w:u w:val="single"/>
            <w:vertAlign w:val="baseline"/>
          </w:rPr>
          <w:t>Dennis v. Columbia Colleton Med. Ctr., Inc.</w:t>
        </w:r>
      </w:hyperlink>
      <w:hyperlink r:id="rId59" w:history="1">
        <w:r>
          <w:rPr>
            <w:rFonts w:ascii="arial" w:eastAsia="arial" w:hAnsi="arial" w:cs="arial"/>
            <w:b w:val="0"/>
            <w:i/>
            <w:strike w:val="0"/>
            <w:noProof w:val="0"/>
            <w:color w:val="0077CC"/>
            <w:position w:val="0"/>
            <w:sz w:val="20"/>
            <w:u w:val="single"/>
            <w:vertAlign w:val="baseline"/>
          </w:rPr>
          <w:t>, 290 F.3d 639, 644-45 (4th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3" w:name="Bookmark_I67JTJVB2N1R2P0020000400"/>
      <w:bookmarkEnd w:id="143"/>
      <w:hyperlink r:id="rId60" w:history="1">
        <w:r>
          <w:rPr>
            <w:rFonts w:ascii="arial" w:eastAsia="arial" w:hAnsi="arial" w:cs="arial"/>
            <w:b w:val="0"/>
            <w:i/>
            <w:strike w:val="0"/>
            <w:noProof w:val="0"/>
            <w:color w:val="0077CC"/>
            <w:position w:val="0"/>
            <w:sz w:val="20"/>
            <w:u w:val="single"/>
            <w:vertAlign w:val="baseline"/>
          </w:rPr>
          <w:t>Hannah P. v. Coats</w:t>
        </w:r>
      </w:hyperlink>
      <w:hyperlink r:id="rId60" w:history="1">
        <w:r>
          <w:rPr>
            <w:rFonts w:ascii="arial" w:eastAsia="arial" w:hAnsi="arial" w:cs="arial"/>
            <w:b w:val="0"/>
            <w:i/>
            <w:strike w:val="0"/>
            <w:noProof w:val="0"/>
            <w:color w:val="0077CC"/>
            <w:position w:val="0"/>
            <w:sz w:val="20"/>
            <w:u w:val="single"/>
            <w:vertAlign w:val="baseline"/>
          </w:rPr>
          <w:t>, 916 F.3d 327, 336 (4th Cir. 2019)</w:t>
        </w:r>
      </w:hyperlink>
      <w:r>
        <w:rPr>
          <w:rFonts w:ascii="arial" w:eastAsia="arial" w:hAnsi="arial" w:cs="arial"/>
          <w:b w:val="0"/>
          <w:i w:val="0"/>
          <w:strike w:val="0"/>
          <w:noProof w:val="0"/>
          <w:color w:val="000000"/>
          <w:position w:val="0"/>
          <w:sz w:val="20"/>
          <w:u w:val="none"/>
          <w:vertAlign w:val="baseline"/>
        </w:rPr>
        <w:t xml:space="preserve">; </w:t>
      </w:r>
      <w:bookmarkStart w:id="144" w:name="Bookmark_I67JTJVB2N1R2P0040000400"/>
      <w:bookmarkEnd w:id="144"/>
      <w:hyperlink r:id="rId61" w:history="1">
        <w:r>
          <w:rPr>
            <w:rFonts w:ascii="arial" w:eastAsia="arial" w:hAnsi="arial" w:cs="arial"/>
            <w:b w:val="0"/>
            <w:i/>
            <w:strike w:val="0"/>
            <w:noProof w:val="0"/>
            <w:color w:val="0077CC"/>
            <w:position w:val="0"/>
            <w:sz w:val="20"/>
            <w:u w:val="single"/>
            <w:vertAlign w:val="baseline"/>
          </w:rPr>
          <w:t>Roland v. United States Citizenship &amp; Immigration Servs.</w:t>
        </w:r>
      </w:hyperlink>
      <w:hyperlink r:id="rId61" w:history="1">
        <w:r>
          <w:rPr>
            <w:rFonts w:ascii="arial" w:eastAsia="arial" w:hAnsi="arial" w:cs="arial"/>
            <w:b w:val="0"/>
            <w:i/>
            <w:strike w:val="0"/>
            <w:noProof w:val="0"/>
            <w:color w:val="0077CC"/>
            <w:position w:val="0"/>
            <w:sz w:val="20"/>
            <w:u w:val="single"/>
            <w:vertAlign w:val="baseline"/>
          </w:rPr>
          <w:t>, 850 F.3d 625, 628 (4th Cir. 2017)</w:t>
        </w:r>
      </w:hyperlink>
      <w:r>
        <w:rPr>
          <w:rFonts w:ascii="arial" w:eastAsia="arial" w:hAnsi="arial" w:cs="arial"/>
          <w:b w:val="0"/>
          <w:i w:val="0"/>
          <w:strike w:val="0"/>
          <w:noProof w:val="0"/>
          <w:color w:val="000000"/>
          <w:position w:val="0"/>
          <w:sz w:val="20"/>
          <w:u w:val="none"/>
          <w:vertAlign w:val="baseline"/>
        </w:rPr>
        <w:t xml:space="preserve">; </w:t>
      </w:r>
      <w:bookmarkStart w:id="145" w:name="Bookmark_I67JTJVC2D6NWC0010000400"/>
      <w:bookmarkEnd w:id="145"/>
      <w:hyperlink r:id="rId62" w:history="1">
        <w:r>
          <w:rPr>
            <w:rFonts w:ascii="arial" w:eastAsia="arial" w:hAnsi="arial" w:cs="arial"/>
            <w:b w:val="0"/>
            <w:i/>
            <w:strike w:val="0"/>
            <w:noProof w:val="0"/>
            <w:color w:val="0077CC"/>
            <w:position w:val="0"/>
            <w:sz w:val="20"/>
            <w:u w:val="single"/>
            <w:vertAlign w:val="baseline"/>
          </w:rPr>
          <w:t>Lee v. Town of Seaboard</w:t>
        </w:r>
      </w:hyperlink>
      <w:hyperlink r:id="rId62" w:history="1">
        <w:r>
          <w:rPr>
            <w:rFonts w:ascii="arial" w:eastAsia="arial" w:hAnsi="arial" w:cs="arial"/>
            <w:b w:val="0"/>
            <w:i/>
            <w:strike w:val="0"/>
            <w:noProof w:val="0"/>
            <w:color w:val="0077CC"/>
            <w:position w:val="0"/>
            <w:sz w:val="20"/>
            <w:u w:val="single"/>
            <w:vertAlign w:val="baseline"/>
          </w:rPr>
          <w:t>, 863 F.3d 323, 327 (4th Cir. 2017)</w:t>
        </w:r>
      </w:hyperlink>
      <w:r>
        <w:rPr>
          <w:rFonts w:ascii="arial" w:eastAsia="arial" w:hAnsi="arial" w:cs="arial"/>
          <w:b w:val="0"/>
          <w:i w:val="0"/>
          <w:strike w:val="0"/>
          <w:noProof w:val="0"/>
          <w:color w:val="000000"/>
          <w:position w:val="0"/>
          <w:sz w:val="20"/>
          <w:u w:val="none"/>
          <w:vertAlign w:val="baseline"/>
        </w:rPr>
        <w:t xml:space="preserve">; </w:t>
      </w:r>
      <w:bookmarkStart w:id="146" w:name="Bookmark_I67JTJVC2D6NWC0030000400"/>
      <w:bookmarkEnd w:id="146"/>
      <w:hyperlink r:id="rId63" w:history="1">
        <w:r>
          <w:rPr>
            <w:rFonts w:ascii="arial" w:eastAsia="arial" w:hAnsi="arial" w:cs="arial"/>
            <w:b w:val="0"/>
            <w:i/>
            <w:strike w:val="0"/>
            <w:noProof w:val="0"/>
            <w:color w:val="0077CC"/>
            <w:position w:val="0"/>
            <w:sz w:val="20"/>
            <w:u w:val="single"/>
            <w:vertAlign w:val="baseline"/>
          </w:rPr>
          <w:t>FDIC v. Cashion</w:t>
        </w:r>
      </w:hyperlink>
      <w:hyperlink r:id="rId63" w:history="1">
        <w:r>
          <w:rPr>
            <w:rFonts w:ascii="arial" w:eastAsia="arial" w:hAnsi="arial" w:cs="arial"/>
            <w:b w:val="0"/>
            <w:i/>
            <w:strike w:val="0"/>
            <w:noProof w:val="0"/>
            <w:color w:val="0077CC"/>
            <w:position w:val="0"/>
            <w:sz w:val="20"/>
            <w:u w:val="single"/>
            <w:vertAlign w:val="baseline"/>
          </w:rPr>
          <w:t>, 720 F.3d 169, 173 (4th Cir. 2013)</w:t>
        </w:r>
      </w:hyperlink>
      <w:r>
        <w:rPr>
          <w:rFonts w:ascii="arial" w:eastAsia="arial" w:hAnsi="arial" w:cs="arial"/>
          <w:b w:val="0"/>
          <w:i w:val="0"/>
          <w:strike w:val="0"/>
          <w:noProof w:val="0"/>
          <w:color w:val="000000"/>
          <w:position w:val="0"/>
          <w:sz w:val="20"/>
          <w:u w:val="none"/>
          <w:vertAlign w:val="baseline"/>
        </w:rPr>
        <w:t xml:space="preserve">. Notably, the district court's "function" is not "to weigh the evidence and determine the truth of the matter but to determine whether there is a genuine issue for trial." </w:t>
      </w:r>
      <w:bookmarkStart w:id="147" w:name="Bookmark_I67JTJVC2D6NWC0050000400"/>
      <w:bookmarkEnd w:id="147"/>
      <w:hyperlink r:id="rId52" w:history="1">
        <w:r>
          <w:rPr>
            <w:rFonts w:ascii="arial" w:eastAsia="arial" w:hAnsi="arial" w:cs="arial"/>
            <w:b w:val="0"/>
            <w:i/>
            <w:strike w:val="0"/>
            <w:noProof w:val="0"/>
            <w:color w:val="0077CC"/>
            <w:position w:val="0"/>
            <w:sz w:val="20"/>
            <w:u w:val="single"/>
            <w:vertAlign w:val="baseline"/>
          </w:rPr>
          <w:t>Anderson</w:t>
        </w:r>
      </w:hyperlink>
      <w:hyperlink r:id="rId52"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48" w:name="Bookmark_I67JTJVC2HM6W40020000400"/>
      <w:bookmarkEnd w:id="148"/>
      <w:hyperlink r:id="rId64" w:history="1">
        <w:r>
          <w:rPr>
            <w:rFonts w:ascii="arial" w:eastAsia="arial" w:hAnsi="arial" w:cs="arial"/>
            <w:b w:val="0"/>
            <w:i/>
            <w:strike w:val="0"/>
            <w:noProof w:val="0"/>
            <w:color w:val="0077CC"/>
            <w:position w:val="0"/>
            <w:sz w:val="20"/>
            <w:u w:val="single"/>
            <w:vertAlign w:val="baseline"/>
          </w:rPr>
          <w:t>Guessous v. Fairview Prop. Invs., LLC</w:t>
        </w:r>
      </w:hyperlink>
      <w:hyperlink r:id="rId64" w:history="1">
        <w:r>
          <w:rPr>
            <w:rFonts w:ascii="arial" w:eastAsia="arial" w:hAnsi="arial" w:cs="arial"/>
            <w:b w:val="0"/>
            <w:i/>
            <w:strike w:val="0"/>
            <w:noProof w:val="0"/>
            <w:color w:val="0077CC"/>
            <w:position w:val="0"/>
            <w:sz w:val="20"/>
            <w:u w:val="single"/>
            <w:vertAlign w:val="baseline"/>
          </w:rPr>
          <w:t>, 828 F.3d 208, 216 (4th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2"/>
      <w:bookmarkEnd w:id="149"/>
      <w:bookmarkStart w:id="150" w:name="Bookmark_I67JTJVC2HM6W40050000400"/>
      <w:bookmarkEnd w:id="150"/>
      <w:r>
        <w:rPr>
          <w:rFonts w:ascii="arial" w:eastAsia="arial" w:hAnsi="arial" w:cs="arial"/>
          <w:b w:val="0"/>
          <w:i w:val="0"/>
          <w:strike w:val="0"/>
          <w:noProof w:val="0"/>
          <w:color w:val="000000"/>
          <w:position w:val="0"/>
          <w:sz w:val="20"/>
          <w:u w:val="none"/>
          <w:vertAlign w:val="baseline"/>
        </w:rPr>
        <w:t xml:space="preserve">Thus, the trial court may not make credibility determinations on summary judgment. </w:t>
      </w:r>
      <w:bookmarkStart w:id="151" w:name="Bookmark_I67JTJVC2HM6W40040000400"/>
      <w:bookmarkEnd w:id="151"/>
      <w:hyperlink r:id="rId65" w:history="1">
        <w:r>
          <w:rPr>
            <w:rFonts w:ascii="arial" w:eastAsia="arial" w:hAnsi="arial" w:cs="arial"/>
            <w:b w:val="0"/>
            <w:i/>
            <w:strike w:val="0"/>
            <w:noProof w:val="0"/>
            <w:color w:val="0077CC"/>
            <w:position w:val="0"/>
            <w:sz w:val="20"/>
            <w:u w:val="single"/>
            <w:vertAlign w:val="baseline"/>
          </w:rPr>
          <w:t>Kellen v. Lott</w:t>
        </w:r>
      </w:hyperlink>
      <w:hyperlink r:id="rId65" w:history="1">
        <w:r>
          <w:rPr>
            <w:rFonts w:ascii="arial" w:eastAsia="arial" w:hAnsi="arial" w:cs="arial"/>
            <w:b w:val="0"/>
            <w:i/>
            <w:strike w:val="0"/>
            <w:noProof w:val="0"/>
            <w:color w:val="0077CC"/>
            <w:position w:val="0"/>
            <w:sz w:val="20"/>
            <w:u w:val="single"/>
            <w:vertAlign w:val="baseline"/>
          </w:rPr>
          <w:t>, No. 21-6928, 2022 U.S. App. LEXIS 16022, 2022 WL 2093849, at *1 (4th Cir. June 10, 2022)</w:t>
        </w:r>
      </w:hyperlink>
      <w:r>
        <w:rPr>
          <w:rFonts w:ascii="arial" w:eastAsia="arial" w:hAnsi="arial" w:cs="arial"/>
          <w:b w:val="0"/>
          <w:i w:val="0"/>
          <w:strike w:val="0"/>
          <w:noProof w:val="0"/>
          <w:color w:val="000000"/>
          <w:position w:val="0"/>
          <w:sz w:val="20"/>
          <w:u w:val="none"/>
          <w:vertAlign w:val="baseline"/>
        </w:rPr>
        <w:t xml:space="preserve"> (per curiam); </w:t>
      </w:r>
      <w:bookmarkStart w:id="152" w:name="Bookmark_I67JTJVD2D6NWD0010000400"/>
      <w:bookmarkEnd w:id="152"/>
      <w:hyperlink r:id="rId66" w:history="1">
        <w:r>
          <w:rPr>
            <w:rFonts w:ascii="arial" w:eastAsia="arial" w:hAnsi="arial" w:cs="arial"/>
            <w:b w:val="0"/>
            <w:i/>
            <w:strike w:val="0"/>
            <w:noProof w:val="0"/>
            <w:color w:val="0077CC"/>
            <w:position w:val="0"/>
            <w:sz w:val="20"/>
            <w:u w:val="single"/>
            <w:vertAlign w:val="baseline"/>
          </w:rPr>
          <w:t>Betton v. Belue</w:t>
        </w:r>
      </w:hyperlink>
      <w:hyperlink r:id="rId66" w:history="1">
        <w:r>
          <w:rPr>
            <w:rFonts w:ascii="arial" w:eastAsia="arial" w:hAnsi="arial" w:cs="arial"/>
            <w:b w:val="0"/>
            <w:i/>
            <w:strike w:val="0"/>
            <w:noProof w:val="0"/>
            <w:color w:val="0077CC"/>
            <w:position w:val="0"/>
            <w:sz w:val="20"/>
            <w:u w:val="single"/>
            <w:vertAlign w:val="baseline"/>
          </w:rPr>
          <w:t>, 942 F.3d 184, 190 (4th Cir. 2019)</w:t>
        </w:r>
      </w:hyperlink>
      <w:r>
        <w:rPr>
          <w:rFonts w:ascii="arial" w:eastAsia="arial" w:hAnsi="arial" w:cs="arial"/>
          <w:b w:val="0"/>
          <w:i w:val="0"/>
          <w:strike w:val="0"/>
          <w:noProof w:val="0"/>
          <w:color w:val="000000"/>
          <w:position w:val="0"/>
          <w:sz w:val="20"/>
          <w:u w:val="none"/>
          <w:vertAlign w:val="baseline"/>
        </w:rPr>
        <w:t xml:space="preserve">; </w:t>
      </w:r>
      <w:bookmarkStart w:id="153" w:name="Bookmark_I67JTJVD2D6NWD0030000400"/>
      <w:bookmarkEnd w:id="153"/>
      <w:hyperlink r:id="rId67" w:history="1">
        <w:r>
          <w:rPr>
            <w:rFonts w:ascii="arial" w:eastAsia="arial" w:hAnsi="arial" w:cs="arial"/>
            <w:b w:val="0"/>
            <w:i/>
            <w:strike w:val="0"/>
            <w:noProof w:val="0"/>
            <w:color w:val="0077CC"/>
            <w:position w:val="0"/>
            <w:sz w:val="20"/>
            <w:u w:val="single"/>
            <w:vertAlign w:val="baseline"/>
          </w:rPr>
          <w:t>Wilson v. Prince George's County</w:t>
        </w:r>
      </w:hyperlink>
      <w:hyperlink r:id="rId67" w:history="1">
        <w:r>
          <w:rPr>
            <w:rFonts w:ascii="arial" w:eastAsia="arial" w:hAnsi="arial" w:cs="arial"/>
            <w:b w:val="0"/>
            <w:i/>
            <w:strike w:val="0"/>
            <w:noProof w:val="0"/>
            <w:color w:val="0077CC"/>
            <w:position w:val="0"/>
            <w:sz w:val="20"/>
            <w:u w:val="single"/>
            <w:vertAlign w:val="baseline"/>
          </w:rPr>
          <w:t>, 893 F.3d 213, 218-19 (4th Cir. 2018)</w:t>
        </w:r>
      </w:hyperlink>
      <w:r>
        <w:rPr>
          <w:rFonts w:ascii="arial" w:eastAsia="arial" w:hAnsi="arial" w:cs="arial"/>
          <w:b w:val="0"/>
          <w:i w:val="0"/>
          <w:strike w:val="0"/>
          <w:noProof w:val="0"/>
          <w:color w:val="000000"/>
          <w:position w:val="0"/>
          <w:sz w:val="20"/>
          <w:u w:val="none"/>
          <w:vertAlign w:val="baseline"/>
        </w:rPr>
        <w:t xml:space="preserve">; </w:t>
      </w:r>
      <w:bookmarkStart w:id="154" w:name="Bookmark_I67JTJVD2D6NWD0050000400"/>
      <w:bookmarkEnd w:id="154"/>
      <w:hyperlink r:id="rId68" w:history="1">
        <w:r>
          <w:rPr>
            <w:rFonts w:ascii="arial" w:eastAsia="arial" w:hAnsi="arial" w:cs="arial"/>
            <w:b w:val="0"/>
            <w:i/>
            <w:strike w:val="0"/>
            <w:noProof w:val="0"/>
            <w:color w:val="0077CC"/>
            <w:position w:val="0"/>
            <w:sz w:val="20"/>
            <w:u w:val="single"/>
            <w:vertAlign w:val="baseline"/>
          </w:rPr>
          <w:t>Jacobs v. N.C. Administrative Office of the Courts</w:t>
        </w:r>
      </w:hyperlink>
      <w:hyperlink r:id="rId68" w:history="1">
        <w:r>
          <w:rPr>
            <w:rFonts w:ascii="arial" w:eastAsia="arial" w:hAnsi="arial" w:cs="arial"/>
            <w:b w:val="0"/>
            <w:i/>
            <w:strike w:val="0"/>
            <w:noProof w:val="0"/>
            <w:color w:val="0077CC"/>
            <w:position w:val="0"/>
            <w:sz w:val="20"/>
            <w:u w:val="single"/>
            <w:vertAlign w:val="baseline"/>
          </w:rPr>
          <w:t>, 780 F.3d 562, 569 (4th Cir. 2015)</w:t>
        </w:r>
      </w:hyperlink>
      <w:r>
        <w:rPr>
          <w:rFonts w:ascii="arial" w:eastAsia="arial" w:hAnsi="arial" w:cs="arial"/>
          <w:b w:val="0"/>
          <w:i w:val="0"/>
          <w:strike w:val="0"/>
          <w:noProof w:val="0"/>
          <w:color w:val="000000"/>
          <w:position w:val="0"/>
          <w:sz w:val="20"/>
          <w:u w:val="none"/>
          <w:vertAlign w:val="baseline"/>
        </w:rPr>
        <w:t xml:space="preserve">; </w:t>
      </w:r>
      <w:bookmarkStart w:id="155" w:name="Bookmark_I67JTJVD28T4R20020000400"/>
      <w:bookmarkEnd w:id="155"/>
      <w:hyperlink r:id="rId69" w:history="1">
        <w:r>
          <w:rPr>
            <w:rFonts w:ascii="arial" w:eastAsia="arial" w:hAnsi="arial" w:cs="arial"/>
            <w:b w:val="0"/>
            <w:i/>
            <w:strike w:val="0"/>
            <w:noProof w:val="0"/>
            <w:color w:val="0077CC"/>
            <w:position w:val="0"/>
            <w:sz w:val="20"/>
            <w:u w:val="single"/>
            <w:vertAlign w:val="baseline"/>
          </w:rPr>
          <w:t>Mercantile Peninsula Bank v. French</w:t>
        </w:r>
      </w:hyperlink>
      <w:hyperlink r:id="rId69" w:history="1">
        <w:r>
          <w:rPr>
            <w:rFonts w:ascii="arial" w:eastAsia="arial" w:hAnsi="arial" w:cs="arial"/>
            <w:b w:val="0"/>
            <w:i/>
            <w:strike w:val="0"/>
            <w:noProof w:val="0"/>
            <w:color w:val="0077CC"/>
            <w:position w:val="0"/>
            <w:sz w:val="20"/>
            <w:u w:val="single"/>
            <w:vertAlign w:val="baseline"/>
          </w:rPr>
          <w:t>, 499 F.3d 345, 352 (4th Cir. 2007)</w:t>
        </w:r>
      </w:hyperlink>
      <w:r>
        <w:rPr>
          <w:rFonts w:ascii="arial" w:eastAsia="arial" w:hAnsi="arial" w:cs="arial"/>
          <w:b w:val="0"/>
          <w:i w:val="0"/>
          <w:strike w:val="0"/>
          <w:noProof w:val="0"/>
          <w:color w:val="000000"/>
          <w:position w:val="0"/>
          <w:sz w:val="20"/>
          <w:u w:val="none"/>
          <w:vertAlign w:val="baseline"/>
        </w:rPr>
        <w:t xml:space="preserve">; </w:t>
      </w:r>
      <w:bookmarkStart w:id="156" w:name="Bookmark_I67JTJVD28T4R20040000400"/>
      <w:bookmarkEnd w:id="156"/>
      <w:hyperlink r:id="rId70" w:history="1">
        <w:r>
          <w:rPr>
            <w:rFonts w:ascii="arial" w:eastAsia="arial" w:hAnsi="arial" w:cs="arial"/>
            <w:b w:val="0"/>
            <w:i/>
            <w:strike w:val="0"/>
            <w:noProof w:val="0"/>
            <w:color w:val="0077CC"/>
            <w:position w:val="0"/>
            <w:sz w:val="20"/>
            <w:u w:val="single"/>
            <w:vertAlign w:val="baseline"/>
          </w:rPr>
          <w:t>Black &amp; Decker Corp. v. United States</w:t>
        </w:r>
      </w:hyperlink>
      <w:hyperlink r:id="rId70" w:history="1">
        <w:r>
          <w:rPr>
            <w:rFonts w:ascii="arial" w:eastAsia="arial" w:hAnsi="arial" w:cs="arial"/>
            <w:b w:val="0"/>
            <w:i/>
            <w:strike w:val="0"/>
            <w:noProof w:val="0"/>
            <w:color w:val="0077CC"/>
            <w:position w:val="0"/>
            <w:sz w:val="20"/>
            <w:u w:val="single"/>
            <w:vertAlign w:val="baseline"/>
          </w:rPr>
          <w:t>, 436 F.3d 431, 442 (4th Cir. 2006)</w:t>
        </w:r>
      </w:hyperlink>
      <w:r>
        <w:rPr>
          <w:rFonts w:ascii="arial" w:eastAsia="arial" w:hAnsi="arial" w:cs="arial"/>
          <w:b w:val="0"/>
          <w:i w:val="0"/>
          <w:strike w:val="0"/>
          <w:noProof w:val="0"/>
          <w:color w:val="000000"/>
          <w:position w:val="0"/>
          <w:sz w:val="20"/>
          <w:u w:val="none"/>
          <w:vertAlign w:val="baseline"/>
        </w:rPr>
        <w:t xml:space="preserve">; </w:t>
      </w:r>
      <w:bookmarkStart w:id="157" w:name="Bookmark_I67JTJVD28T4R30010000400"/>
      <w:bookmarkEnd w:id="157"/>
      <w:hyperlink r:id="rId59" w:history="1">
        <w:r>
          <w:rPr>
            <w:rFonts w:ascii="arial" w:eastAsia="arial" w:hAnsi="arial" w:cs="arial"/>
            <w:b w:val="0"/>
            <w:i/>
            <w:strike w:val="0"/>
            <w:noProof w:val="0"/>
            <w:color w:val="0077CC"/>
            <w:position w:val="0"/>
            <w:sz w:val="20"/>
            <w:u w:val="single"/>
            <w:vertAlign w:val="baseline"/>
          </w:rPr>
          <w:t>Dennis</w:t>
        </w:r>
      </w:hyperlink>
      <w:hyperlink r:id="rId59" w:history="1">
        <w:r>
          <w:rPr>
            <w:rFonts w:ascii="arial" w:eastAsia="arial" w:hAnsi="arial" w:cs="arial"/>
            <w:b w:val="0"/>
            <w:i/>
            <w:strike w:val="0"/>
            <w:noProof w:val="0"/>
            <w:color w:val="0077CC"/>
            <w:position w:val="0"/>
            <w:sz w:val="20"/>
            <w:u w:val="single"/>
            <w:vertAlign w:val="baseline"/>
          </w:rPr>
          <w:t>, 290 F.3d at 644-45</w:t>
        </w:r>
      </w:hyperlink>
      <w:r>
        <w:rPr>
          <w:rFonts w:ascii="arial" w:eastAsia="arial" w:hAnsi="arial" w:cs="arial"/>
          <w:b w:val="0"/>
          <w:i w:val="0"/>
          <w:strike w:val="0"/>
          <w:noProof w:val="0"/>
          <w:color w:val="000000"/>
          <w:position w:val="0"/>
          <w:sz w:val="20"/>
          <w:u w:val="none"/>
          <w:vertAlign w:val="baseline"/>
        </w:rPr>
        <w:t>. Therefore, in the face of conflicting evidence, such as competing affidavits, summary judgment is generally not appropriate, because it is the function of the factfinder to resolve factual disputes, including matters of witness credibility.</w:t>
      </w:r>
    </w:p>
    <w:p>
      <w:pPr>
        <w:keepNext w:val="0"/>
        <w:spacing w:before="240" w:after="0" w:line="260" w:lineRule="atLeast"/>
        <w:ind w:left="0" w:right="0" w:firstLine="0"/>
        <w:jc w:val="both"/>
      </w:pPr>
      <w:bookmarkStart w:id="158" w:name="Bookmark_para_33"/>
      <w:bookmarkEnd w:id="158"/>
      <w:bookmarkStart w:id="159" w:name="Bookmark_I67JTJVD28T4R30040000400"/>
      <w:bookmarkEnd w:id="159"/>
      <w:bookmarkStart w:id="160" w:name="Bookmark_I67JTJVD2SF7T00030000400"/>
      <w:bookmarkEnd w:id="160"/>
      <w:bookmarkStart w:id="161" w:name="Bookmark_I67JTJVF2D6NWF0010000400"/>
      <w:bookmarkEnd w:id="161"/>
      <w:r>
        <w:rPr>
          <w:rFonts w:ascii="arial" w:eastAsia="arial" w:hAnsi="arial" w:cs="arial"/>
          <w:b w:val="0"/>
          <w:i w:val="0"/>
          <w:strike w:val="0"/>
          <w:noProof w:val="0"/>
          <w:color w:val="000000"/>
          <w:position w:val="0"/>
          <w:sz w:val="20"/>
          <w:u w:val="none"/>
          <w:vertAlign w:val="baseline"/>
        </w:rPr>
        <w:t xml:space="preserve">That said, "a party's 'self-serving opinion . . . cannot, absent objective corroboration, defeat summary judgment.'" </w:t>
      </w:r>
      <w:bookmarkStart w:id="162" w:name="Bookmark_I67JTJVD28T4R30030000400"/>
      <w:bookmarkEnd w:id="162"/>
      <w:hyperlink r:id="rId54" w:history="1">
        <w:r>
          <w:rPr>
            <w:rFonts w:ascii="arial" w:eastAsia="arial" w:hAnsi="arial" w:cs="arial"/>
            <w:b w:val="0"/>
            <w:i/>
            <w:strike w:val="0"/>
            <w:noProof w:val="0"/>
            <w:color w:val="0077CC"/>
            <w:position w:val="0"/>
            <w:sz w:val="20"/>
            <w:u w:val="single"/>
            <w:vertAlign w:val="baseline"/>
          </w:rPr>
          <w:t>CTB, Inc.</w:t>
        </w:r>
      </w:hyperlink>
      <w:hyperlink r:id="rId54" w:history="1">
        <w:r>
          <w:rPr>
            <w:rFonts w:ascii="arial" w:eastAsia="arial" w:hAnsi="arial" w:cs="arial"/>
            <w:b w:val="0"/>
            <w:i/>
            <w:strike w:val="0"/>
            <w:noProof w:val="0"/>
            <w:color w:val="0077CC"/>
            <w:position w:val="0"/>
            <w:sz w:val="20"/>
            <w:u w:val="single"/>
            <w:vertAlign w:val="baseline"/>
          </w:rPr>
          <w:t>, 954 F.3d at 658-59</w:t>
        </w:r>
      </w:hyperlink>
      <w:r>
        <w:rPr>
          <w:rFonts w:ascii="arial" w:eastAsia="arial" w:hAnsi="arial" w:cs="arial"/>
          <w:b w:val="0"/>
          <w:i w:val="0"/>
          <w:strike w:val="0"/>
          <w:noProof w:val="0"/>
          <w:color w:val="000000"/>
          <w:position w:val="0"/>
          <w:sz w:val="20"/>
          <w:u w:val="none"/>
          <w:vertAlign w:val="baseline"/>
        </w:rPr>
        <w:t xml:space="preserve"> (quoting </w:t>
      </w:r>
      <w:bookmarkStart w:id="163" w:name="Bookmark_I67JTJVD28T4R30050000400"/>
      <w:bookmarkEnd w:id="163"/>
      <w:hyperlink r:id="rId71" w:history="1">
        <w:r>
          <w:rPr>
            <w:rFonts w:ascii="arial" w:eastAsia="arial" w:hAnsi="arial" w:cs="arial"/>
            <w:b w:val="0"/>
            <w:i/>
            <w:strike w:val="0"/>
            <w:noProof w:val="0"/>
            <w:color w:val="0077CC"/>
            <w:position w:val="0"/>
            <w:sz w:val="20"/>
            <w:u w:val="single"/>
            <w:vertAlign w:val="baseline"/>
          </w:rPr>
          <w:t>Williams v. Giant Food Inc.</w:t>
        </w:r>
      </w:hyperlink>
      <w:hyperlink r:id="rId71" w:history="1">
        <w:r>
          <w:rPr>
            <w:rFonts w:ascii="arial" w:eastAsia="arial" w:hAnsi="arial" w:cs="arial"/>
            <w:b w:val="0"/>
            <w:i/>
            <w:strike w:val="0"/>
            <w:noProof w:val="0"/>
            <w:color w:val="0077CC"/>
            <w:position w:val="0"/>
            <w:sz w:val="20"/>
            <w:u w:val="single"/>
            <w:vertAlign w:val="baseline"/>
          </w:rPr>
          <w:t>, 370 F.3d 423, 433 (4th Cir. 2004)</w:t>
        </w:r>
      </w:hyperlink>
      <w:r>
        <w:rPr>
          <w:rFonts w:ascii="arial" w:eastAsia="arial" w:hAnsi="arial" w:cs="arial"/>
          <w:b w:val="0"/>
          <w:i w:val="0"/>
          <w:strike w:val="0"/>
          <w:noProof w:val="0"/>
          <w:color w:val="000000"/>
          <w:position w:val="0"/>
          <w:sz w:val="20"/>
          <w:u w:val="none"/>
          <w:vertAlign w:val="baseline"/>
        </w:rPr>
        <w:t xml:space="preserve">). Moreover, "[u]nsupported speculation is not sufficient to defeat a summary judgment motion." </w:t>
      </w:r>
      <w:bookmarkStart w:id="164" w:name="Bookmark_I67JTJVD2SF7T00020000400"/>
      <w:bookmarkEnd w:id="164"/>
      <w:hyperlink r:id="rId72" w:history="1">
        <w:r>
          <w:rPr>
            <w:rFonts w:ascii="arial" w:eastAsia="arial" w:hAnsi="arial" w:cs="arial"/>
            <w:b w:val="0"/>
            <w:i/>
            <w:strike w:val="0"/>
            <w:noProof w:val="0"/>
            <w:color w:val="0077CC"/>
            <w:position w:val="0"/>
            <w:sz w:val="20"/>
            <w:u w:val="single"/>
            <w:vertAlign w:val="baseline"/>
          </w:rPr>
          <w:t>Felty v. Graves-Humphreys Co.</w:t>
        </w:r>
      </w:hyperlink>
      <w:hyperlink r:id="rId72" w:history="1">
        <w:r>
          <w:rPr>
            <w:rFonts w:ascii="arial" w:eastAsia="arial" w:hAnsi="arial" w:cs="arial"/>
            <w:b w:val="0"/>
            <w:i/>
            <w:strike w:val="0"/>
            <w:noProof w:val="0"/>
            <w:color w:val="0077CC"/>
            <w:position w:val="0"/>
            <w:sz w:val="20"/>
            <w:u w:val="single"/>
            <w:vertAlign w:val="baseline"/>
          </w:rPr>
          <w:t>, 818 F.2d 1126, 1128 (4th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165" w:name="Bookmark_I67JTJVD2SF7T00040000400"/>
      <w:bookmarkEnd w:id="165"/>
      <w:hyperlink r:id="rId73" w:history="1">
        <w:r>
          <w:rPr>
            <w:rFonts w:ascii="arial" w:eastAsia="arial" w:hAnsi="arial" w:cs="arial"/>
            <w:b w:val="0"/>
            <w:i/>
            <w:strike w:val="0"/>
            <w:noProof w:val="0"/>
            <w:color w:val="0077CC"/>
            <w:position w:val="0"/>
            <w:sz w:val="20"/>
            <w:u w:val="single"/>
            <w:vertAlign w:val="baseline"/>
          </w:rPr>
          <w:t>Reddy v. Buttar</w:t>
        </w:r>
      </w:hyperlink>
      <w:hyperlink r:id="rId73" w:history="1">
        <w:r>
          <w:rPr>
            <w:rFonts w:ascii="arial" w:eastAsia="arial" w:hAnsi="arial" w:cs="arial"/>
            <w:b w:val="0"/>
            <w:i/>
            <w:strike w:val="0"/>
            <w:noProof w:val="0"/>
            <w:color w:val="0077CC"/>
            <w:position w:val="0"/>
            <w:sz w:val="20"/>
            <w:u w:val="single"/>
            <w:vertAlign w:val="baseline"/>
          </w:rPr>
          <w:t>, 38 F.4th 393, 403-04 (4th Cir. 2022)</w:t>
        </w:r>
      </w:hyperlink>
      <w:r>
        <w:rPr>
          <w:rFonts w:ascii="arial" w:eastAsia="arial" w:hAnsi="arial" w:cs="arial"/>
          <w:b w:val="0"/>
          <w:i w:val="0"/>
          <w:strike w:val="0"/>
          <w:noProof w:val="0"/>
          <w:color w:val="000000"/>
          <w:position w:val="0"/>
          <w:sz w:val="20"/>
          <w:u w:val="none"/>
          <w:vertAlign w:val="baseline"/>
        </w:rPr>
        <w:t xml:space="preserve">; </w:t>
      </w:r>
      <w:bookmarkStart w:id="166" w:name="Bookmark_I67JTJVF2N1R2R0010000400"/>
      <w:bookmarkEnd w:id="166"/>
      <w:hyperlink r:id="rId54" w:history="1">
        <w:r>
          <w:rPr>
            <w:rFonts w:ascii="arial" w:eastAsia="arial" w:hAnsi="arial" w:cs="arial"/>
            <w:b w:val="0"/>
            <w:i/>
            <w:strike w:val="0"/>
            <w:noProof w:val="0"/>
            <w:color w:val="0077CC"/>
            <w:position w:val="0"/>
            <w:sz w:val="20"/>
            <w:u w:val="single"/>
            <w:vertAlign w:val="baseline"/>
          </w:rPr>
          <w:t>CTB, Inc.</w:t>
        </w:r>
      </w:hyperlink>
      <w:hyperlink r:id="rId54" w:history="1">
        <w:r>
          <w:rPr>
            <w:rFonts w:ascii="arial" w:eastAsia="arial" w:hAnsi="arial" w:cs="arial"/>
            <w:b w:val="0"/>
            <w:i/>
            <w:strike w:val="0"/>
            <w:noProof w:val="0"/>
            <w:color w:val="0077CC"/>
            <w:position w:val="0"/>
            <w:sz w:val="20"/>
            <w:u w:val="single"/>
            <w:vertAlign w:val="baseline"/>
          </w:rPr>
          <w:t>, 954 F.3d at 659</w:t>
        </w:r>
      </w:hyperlink>
      <w:r>
        <w:rPr>
          <w:rFonts w:ascii="arial" w:eastAsia="arial" w:hAnsi="arial" w:cs="arial"/>
          <w:b w:val="0"/>
          <w:i w:val="0"/>
          <w:strike w:val="0"/>
          <w:noProof w:val="0"/>
          <w:color w:val="000000"/>
          <w:position w:val="0"/>
          <w:sz w:val="20"/>
          <w:u w:val="none"/>
          <w:vertAlign w:val="baseline"/>
        </w:rPr>
        <w:t xml:space="preserve">; </w:t>
      </w:r>
      <w:bookmarkStart w:id="167" w:name="Bookmark_I67JTJVF2N1R2R0030000400"/>
      <w:bookmarkEnd w:id="167"/>
      <w:hyperlink r:id="rId74" w:history="1">
        <w:r>
          <w:rPr>
            <w:rFonts w:ascii="arial" w:eastAsia="arial" w:hAnsi="arial" w:cs="arial"/>
            <w:b w:val="0"/>
            <w:i/>
            <w:strike w:val="0"/>
            <w:noProof w:val="0"/>
            <w:color w:val="0077CC"/>
            <w:position w:val="0"/>
            <w:sz w:val="20"/>
            <w:u w:val="single"/>
            <w:vertAlign w:val="baseline"/>
          </w:rPr>
          <w:t>Harris v. Home Sales Co.</w:t>
        </w:r>
      </w:hyperlink>
      <w:hyperlink r:id="rId74" w:history="1">
        <w:r>
          <w:rPr>
            <w:rFonts w:ascii="arial" w:eastAsia="arial" w:hAnsi="arial" w:cs="arial"/>
            <w:b w:val="0"/>
            <w:i/>
            <w:strike w:val="0"/>
            <w:noProof w:val="0"/>
            <w:color w:val="0077CC"/>
            <w:position w:val="0"/>
            <w:sz w:val="20"/>
            <w:u w:val="single"/>
            <w:vertAlign w:val="baseline"/>
          </w:rPr>
          <w:t>, 499 Fed. App'x 285, 294 (4th Cir. 2012)</w:t>
        </w:r>
      </w:hyperlink>
      <w:r>
        <w:rPr>
          <w:rFonts w:ascii="arial" w:eastAsia="arial" w:hAnsi="arial" w:cs="arial"/>
          <w:b w:val="0"/>
          <w:i w:val="0"/>
          <w:strike w:val="0"/>
          <w:noProof w:val="0"/>
          <w:color w:val="000000"/>
          <w:position w:val="0"/>
          <w:sz w:val="20"/>
          <w:u w:val="none"/>
          <w:vertAlign w:val="baseline"/>
        </w:rPr>
        <w:t xml:space="preserve">. And, "[w]hen opposing parties tell two different stories, one of which is blatantly contradicted by the record, so that no reasonable jury could believe it, a court should not adopt that version of the facts for purposes of ruling on a motion for summary judgment." </w:t>
      </w:r>
      <w:bookmarkStart w:id="168" w:name="Bookmark_I67JTJVF2N1R2R0050000400"/>
      <w:bookmarkEnd w:id="168"/>
      <w:hyperlink r:id="rId75" w:history="1">
        <w:r>
          <w:rPr>
            <w:rFonts w:ascii="arial" w:eastAsia="arial" w:hAnsi="arial" w:cs="arial"/>
            <w:b w:val="0"/>
            <w:i/>
            <w:strike w:val="0"/>
            <w:noProof w:val="0"/>
            <w:color w:val="0077CC"/>
            <w:position w:val="0"/>
            <w:sz w:val="20"/>
            <w:u w:val="single"/>
            <w:vertAlign w:val="baseline"/>
          </w:rPr>
          <w:t>Scott v. Harris</w:t>
        </w:r>
      </w:hyperlink>
      <w:hyperlink r:id="rId75"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34"/>
      <w:bookmarkEnd w:id="169"/>
      <w:bookmarkStart w:id="170" w:name="Bookmark_I67JTJVF2D6NWF0030000400"/>
      <w:bookmarkEnd w:id="170"/>
      <w:bookmarkStart w:id="171" w:name="Bookmark_I67JTJVF2D6NWF0050000400"/>
      <w:bookmarkEnd w:id="171"/>
      <w:r>
        <w:rPr>
          <w:rFonts w:ascii="arial" w:eastAsia="arial" w:hAnsi="arial" w:cs="arial"/>
          <w:b w:val="0"/>
          <w:i w:val="0"/>
          <w:strike w:val="0"/>
          <w:noProof w:val="0"/>
          <w:color w:val="000000"/>
          <w:position w:val="0"/>
          <w:sz w:val="20"/>
          <w:u w:val="none"/>
          <w:vertAlign w:val="baseline"/>
        </w:rPr>
        <w:t>Moreover, testimony based on personal knowledge can give rise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dispute of material facts. </w:t>
      </w:r>
      <w:bookmarkStart w:id="172" w:name="Bookmark_I67JTJVF2D6NWF0020000400"/>
      <w:bookmarkEnd w:id="172"/>
      <w:hyperlink r:id="rId46" w:history="1">
        <w:r>
          <w:rPr>
            <w:rFonts w:ascii="arial" w:eastAsia="arial" w:hAnsi="arial" w:cs="arial"/>
            <w:b w:val="0"/>
            <w:i/>
            <w:strike w:val="0"/>
            <w:noProof w:val="0"/>
            <w:color w:val="0077CC"/>
            <w:position w:val="0"/>
            <w:sz w:val="20"/>
            <w:u w:val="single"/>
            <w:vertAlign w:val="baseline"/>
          </w:rPr>
          <w:t>Lovett</w:t>
        </w:r>
      </w:hyperlink>
      <w:hyperlink r:id="rId46" w:history="1">
        <w:r>
          <w:rPr>
            <w:rFonts w:ascii="arial" w:eastAsia="arial" w:hAnsi="arial" w:cs="arial"/>
            <w:b w:val="0"/>
            <w:i/>
            <w:strike w:val="0"/>
            <w:noProof w:val="0"/>
            <w:color w:val="0077CC"/>
            <w:position w:val="0"/>
            <w:sz w:val="20"/>
            <w:u w:val="single"/>
            <w:vertAlign w:val="baseline"/>
          </w:rPr>
          <w:t>, 700 Fed. App'x at 212</w:t>
        </w:r>
      </w:hyperlink>
      <w:r>
        <w:rPr>
          <w:rFonts w:ascii="arial" w:eastAsia="arial" w:hAnsi="arial" w:cs="arial"/>
          <w:b w:val="0"/>
          <w:i w:val="0"/>
          <w:strike w:val="0"/>
          <w:noProof w:val="0"/>
          <w:color w:val="000000"/>
          <w:position w:val="0"/>
          <w:sz w:val="20"/>
          <w:u w:val="none"/>
          <w:vertAlign w:val="baseline"/>
        </w:rPr>
        <w:t xml:space="preserve">. Indeed, "'a great deal of perfectly admissible testimony fits'" the "'description'" of "'self-serving.'" </w:t>
      </w:r>
      <w:bookmarkStart w:id="173" w:name="Bookmark_I67JTJVF2D6NWF0040000400"/>
      <w:bookmarkEnd w:id="173"/>
      <w:hyperlink r:id="rId76" w:history="1">
        <w:r>
          <w:rPr>
            <w:rFonts w:ascii="arial" w:eastAsia="arial" w:hAnsi="arial" w:cs="arial"/>
            <w:b w:val="0"/>
            <w:i/>
            <w:strike w:val="0"/>
            <w:noProof w:val="0"/>
            <w:color w:val="0077CC"/>
            <w:position w:val="0"/>
            <w:sz w:val="20"/>
            <w:u w:val="single"/>
            <w:vertAlign w:val="baseline"/>
          </w:rPr>
          <w:t>Cowgill v. First Data Technologies, Inc.</w:t>
        </w:r>
      </w:hyperlink>
      <w:hyperlink r:id="rId76" w:history="1">
        <w:r>
          <w:rPr>
            <w:rFonts w:ascii="arial" w:eastAsia="arial" w:hAnsi="arial" w:cs="arial"/>
            <w:b w:val="0"/>
            <w:i/>
            <w:strike w:val="0"/>
            <w:noProof w:val="0"/>
            <w:color w:val="0077CC"/>
            <w:position w:val="0"/>
            <w:sz w:val="20"/>
            <w:u w:val="single"/>
            <w:vertAlign w:val="baseline"/>
          </w:rPr>
          <w:t>, 41 F. 4th 370, 383 n.8 (4th Cir. 2022)</w:t>
        </w:r>
      </w:hyperlink>
      <w:r>
        <w:rPr>
          <w:rFonts w:ascii="arial" w:eastAsia="arial" w:hAnsi="arial" w:cs="arial"/>
          <w:b w:val="0"/>
          <w:i w:val="0"/>
          <w:strike w:val="0"/>
          <w:noProof w:val="0"/>
          <w:color w:val="000000"/>
          <w:position w:val="0"/>
          <w:sz w:val="20"/>
          <w:u w:val="none"/>
          <w:vertAlign w:val="baseline"/>
        </w:rPr>
        <w:t xml:space="preserve"> (citing </w:t>
      </w:r>
      <w:bookmarkStart w:id="174" w:name="Bookmark_I67JTJVF28T4R40010000400"/>
      <w:bookmarkEnd w:id="174"/>
      <w:hyperlink r:id="rId77" w:history="1">
        <w:r>
          <w:rPr>
            <w:rFonts w:ascii="arial" w:eastAsia="arial" w:hAnsi="arial" w:cs="arial"/>
            <w:b w:val="0"/>
            <w:i/>
            <w:strike w:val="0"/>
            <w:noProof w:val="0"/>
            <w:color w:val="0077CC"/>
            <w:position w:val="0"/>
            <w:sz w:val="20"/>
            <w:u w:val="single"/>
            <w:vertAlign w:val="baseline"/>
          </w:rPr>
          <w:t>United States v. Sklena</w:t>
        </w:r>
      </w:hyperlink>
      <w:hyperlink r:id="rId77" w:history="1">
        <w:r>
          <w:rPr>
            <w:rFonts w:ascii="arial" w:eastAsia="arial" w:hAnsi="arial" w:cs="arial"/>
            <w:b w:val="0"/>
            <w:i/>
            <w:strike w:val="0"/>
            <w:noProof w:val="0"/>
            <w:color w:val="0077CC"/>
            <w:position w:val="0"/>
            <w:sz w:val="20"/>
            <w:u w:val="single"/>
            <w:vertAlign w:val="baseline"/>
          </w:rPr>
          <w:t>, 692 F.3d 725, 733 (7th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35"/>
      <w:bookmarkEnd w:id="175"/>
      <w:bookmarkStart w:id="176" w:name="Bookmark_I67JTJVF28T4R40040000400"/>
      <w:bookmarkEnd w:id="176"/>
      <w:bookmarkStart w:id="177" w:name="Bookmark_I67JTJVG2SF7T10010000400"/>
      <w:bookmarkEnd w:id="177"/>
      <w:r>
        <w:rPr>
          <w:rFonts w:ascii="arial" w:eastAsia="arial" w:hAnsi="arial" w:cs="arial"/>
          <w:b w:val="0"/>
          <w:i w:val="0"/>
          <w:strike w:val="0"/>
          <w:noProof w:val="0"/>
          <w:color w:val="000000"/>
          <w:position w:val="0"/>
          <w:sz w:val="20"/>
          <w:u w:val="none"/>
          <w:vertAlign w:val="baseline"/>
        </w:rPr>
        <w:t xml:space="preserve">In sum, to defeat summary judgment, conflicting evidence, if any, must give rise to a genuine dispute of material fact. </w:t>
      </w:r>
      <w:r>
        <w:rPr>
          <w:rFonts w:ascii="arial" w:eastAsia="arial" w:hAnsi="arial" w:cs="arial"/>
          <w:b w:val="0"/>
          <w:i/>
          <w:strike w:val="0"/>
          <w:noProof w:val="0"/>
          <w:color w:val="000000"/>
          <w:position w:val="0"/>
          <w:sz w:val="20"/>
          <w:u w:val="none"/>
          <w:vertAlign w:val="baseline"/>
        </w:rPr>
        <w:t xml:space="preserve">See </w:t>
      </w:r>
      <w:bookmarkStart w:id="178" w:name="Bookmark_I67JTJVF28T4R40030000400"/>
      <w:bookmarkEnd w:id="178"/>
      <w:hyperlink r:id="rId52" w:history="1">
        <w:r>
          <w:rPr>
            <w:rFonts w:ascii="arial" w:eastAsia="arial" w:hAnsi="arial" w:cs="arial"/>
            <w:b w:val="0"/>
            <w:i/>
            <w:strike w:val="0"/>
            <w:noProof w:val="0"/>
            <w:color w:val="0077CC"/>
            <w:position w:val="0"/>
            <w:sz w:val="20"/>
            <w:u w:val="single"/>
            <w:vertAlign w:val="baseline"/>
          </w:rPr>
          <w:t>Anderson</w:t>
        </w:r>
      </w:hyperlink>
      <w:hyperlink r:id="rId52" w:history="1">
        <w:r>
          <w:rPr>
            <w:rFonts w:ascii="arial" w:eastAsia="arial" w:hAnsi="arial" w:cs="arial"/>
            <w:b w:val="0"/>
            <w:i/>
            <w:strike w:val="0"/>
            <w:noProof w:val="0"/>
            <w:color w:val="0077CC"/>
            <w:position w:val="0"/>
            <w:sz w:val="20"/>
            <w:u w:val="single"/>
            <w:vertAlign w:val="baseline"/>
          </w:rPr>
          <w:t>, 477 U.S. at 247-48</w:t>
        </w:r>
      </w:hyperlink>
      <w:r>
        <w:rPr>
          <w:rFonts w:ascii="arial" w:eastAsia="arial" w:hAnsi="arial" w:cs="arial"/>
          <w:b w:val="0"/>
          <w:i w:val="0"/>
          <w:strike w:val="0"/>
          <w:noProof w:val="0"/>
          <w:color w:val="000000"/>
          <w:position w:val="0"/>
          <w:sz w:val="20"/>
          <w:u w:val="none"/>
          <w:vertAlign w:val="baseline"/>
        </w:rPr>
        <w:t xml:space="preserve">. </w:t>
      </w:r>
      <w:bookmarkStart w:id="179" w:name="Bookmark_I67JTJVG2SF7T10050000400"/>
      <w:bookmarkEnd w:id="179"/>
      <w:r>
        <w:rPr>
          <w:rFonts w:ascii="arial" w:eastAsia="arial" w:hAnsi="arial" w:cs="arial"/>
          <w:b w:val="0"/>
          <w:i w:val="0"/>
          <w:strike w:val="0"/>
          <w:noProof w:val="0"/>
          <w:color w:val="000000"/>
          <w:position w:val="0"/>
          <w:sz w:val="20"/>
          <w:u w:val="none"/>
          <w:vertAlign w:val="baseline"/>
        </w:rPr>
        <w:t xml:space="preserve">If "the evidence is such that a reasonable jury could return a verdict for the nonmoving party," then a dispute of material fact precludes summary judgment. </w:t>
      </w:r>
      <w:bookmarkStart w:id="180" w:name="Bookmark_I67JTJVF28T4R40050000400"/>
      <w:bookmarkEnd w:id="180"/>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81" w:name="Bookmark_I67JTJVG2SF7T10020000400"/>
      <w:bookmarkEnd w:id="181"/>
      <w:hyperlink r:id="rId57" w:history="1">
        <w:r>
          <w:rPr>
            <w:rFonts w:ascii="arial" w:eastAsia="arial" w:hAnsi="arial" w:cs="arial"/>
            <w:b w:val="0"/>
            <w:i/>
            <w:strike w:val="0"/>
            <w:noProof w:val="0"/>
            <w:color w:val="0077CC"/>
            <w:position w:val="0"/>
            <w:sz w:val="20"/>
            <w:u w:val="single"/>
            <w:vertAlign w:val="baseline"/>
          </w:rPr>
          <w:t>Judd</w:t>
        </w:r>
      </w:hyperlink>
      <w:hyperlink r:id="rId57" w:history="1">
        <w:r>
          <w:rPr>
            <w:rFonts w:ascii="arial" w:eastAsia="arial" w:hAnsi="arial" w:cs="arial"/>
            <w:b w:val="0"/>
            <w:i/>
            <w:strike w:val="0"/>
            <w:noProof w:val="0"/>
            <w:color w:val="0077CC"/>
            <w:position w:val="0"/>
            <w:sz w:val="20"/>
            <w:u w:val="single"/>
            <w:vertAlign w:val="baseline"/>
          </w:rPr>
          <w:t>, 718 F.3d at 313</w:t>
        </w:r>
      </w:hyperlink>
      <w:r>
        <w:rPr>
          <w:rFonts w:ascii="arial" w:eastAsia="arial" w:hAnsi="arial" w:cs="arial"/>
          <w:b w:val="0"/>
          <w:i w:val="0"/>
          <w:strike w:val="0"/>
          <w:noProof w:val="0"/>
          <w:color w:val="000000"/>
          <w:position w:val="0"/>
          <w:sz w:val="20"/>
          <w:u w:val="none"/>
          <w:vertAlign w:val="baseline"/>
        </w:rPr>
        <w:t xml:space="preserve">. </w:t>
      </w:r>
      <w:bookmarkStart w:id="182" w:name="Bookmark_I67JTJVG2SF7T10050000400_2"/>
      <w:bookmarkEnd w:id="182"/>
      <w:r>
        <w:rPr>
          <w:rFonts w:ascii="arial" w:eastAsia="arial" w:hAnsi="arial" w:cs="arial"/>
          <w:b w:val="0"/>
          <w:i w:val="0"/>
          <w:strike w:val="0"/>
          <w:noProof w:val="0"/>
          <w:color w:val="000000"/>
          <w:position w:val="0"/>
          <w:sz w:val="20"/>
          <w:u w:val="none"/>
          <w:vertAlign w:val="baseline"/>
        </w:rPr>
        <w:t xml:space="preserve">On the other hand, "the mere existence of a scintilla of evidence in support of the plaintiff's position will be insufficient; there must be evidence on which the jury could reasonably find for the plaintiff." </w:t>
      </w:r>
      <w:bookmarkStart w:id="183" w:name="Bookmark_I67JTJVG2SF7T10040000400"/>
      <w:bookmarkEnd w:id="183"/>
      <w:hyperlink r:id="rId52" w:history="1">
        <w:r>
          <w:rPr>
            <w:rFonts w:ascii="arial" w:eastAsia="arial" w:hAnsi="arial" w:cs="arial"/>
            <w:b w:val="0"/>
            <w:i/>
            <w:strike w:val="0"/>
            <w:noProof w:val="0"/>
            <w:color w:val="0077CC"/>
            <w:position w:val="0"/>
            <w:sz w:val="20"/>
            <w:u w:val="single"/>
            <w:vertAlign w:val="baseline"/>
          </w:rPr>
          <w:t>Anderson</w:t>
        </w:r>
      </w:hyperlink>
      <w:hyperlink r:id="rId52"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184" w:name="Bookmark_para_36"/>
      <w:bookmarkEnd w:id="184"/>
      <w:r>
        <w:rPr>
          <w:rFonts w:ascii="arial" w:eastAsia="arial" w:hAnsi="arial" w:cs="arial"/>
          <w:b w:val="0"/>
          <w:i w:val="0"/>
          <w:strike w:val="0"/>
          <w:noProof w:val="0"/>
          <w:color w:val="000000"/>
          <w:position w:val="0"/>
          <w:sz w:val="20"/>
          <w:u w:val="none"/>
          <w:vertAlign w:val="baseline"/>
        </w:rPr>
        <w:t xml:space="preserve">Roberts alleges that his </w:t>
      </w:r>
      <w:hyperlink r:id="rId7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when he was subjected to repeated strip searches during his transport from his medical appointment back to NBCI. Defendants assert that Roberts has not asserted a constitutional violation.</w:t>
      </w:r>
    </w:p>
    <w:p>
      <w:pPr>
        <w:keepNext w:val="0"/>
        <w:spacing w:before="240" w:after="0" w:line="260" w:lineRule="atLeast"/>
        <w:ind w:left="0" w:right="0" w:firstLine="0"/>
        <w:jc w:val="both"/>
      </w:pPr>
      <w:bookmarkStart w:id="185" w:name="Bookmark_para_37"/>
      <w:bookmarkEnd w:id="185"/>
      <w:bookmarkStart w:id="186" w:name="Bookmark_I67JTJVG2N1R2S0020000400"/>
      <w:bookmarkEnd w:id="186"/>
      <w:r>
        <w:rPr>
          <w:rFonts w:ascii="arial" w:eastAsia="arial" w:hAnsi="arial" w:cs="arial"/>
          <w:b w:val="0"/>
          <w:i w:val="0"/>
          <w:strike w:val="0"/>
          <w:noProof w:val="0"/>
          <w:color w:val="000000"/>
          <w:position w:val="0"/>
          <w:sz w:val="20"/>
          <w:u w:val="none"/>
          <w:vertAlign w:val="baseline"/>
        </w:rPr>
        <w:t xml:space="preserve">The </w:t>
      </w:r>
      <w:hyperlink r:id="rId7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guards against unreasonable searches and seizures. </w:t>
      </w:r>
      <w:hyperlink r:id="rId78"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Although the </w:t>
      </w:r>
      <w:hyperlink r:id="rId7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lawfully confined prisoners, inmates have much more limited privacy interests than those who are not incarcerated. </w:t>
      </w:r>
      <w:bookmarkStart w:id="187" w:name="Bookmark_I67JTJVG2N1R2S0010000400"/>
      <w:bookmarkEnd w:id="187"/>
      <w:hyperlink r:id="rId79" w:history="1">
        <w:r>
          <w:rPr>
            <w:rFonts w:ascii="arial" w:eastAsia="arial" w:hAnsi="arial" w:cs="arial"/>
            <w:b w:val="0"/>
            <w:i/>
            <w:strike w:val="0"/>
            <w:noProof w:val="0"/>
            <w:color w:val="0077CC"/>
            <w:position w:val="0"/>
            <w:sz w:val="20"/>
            <w:u w:val="single"/>
            <w:vertAlign w:val="baseline"/>
          </w:rPr>
          <w:t>Bell v. Wolfish</w:t>
        </w:r>
      </w:hyperlink>
      <w:hyperlink r:id="rId79" w:history="1">
        <w:r>
          <w:rPr>
            <w:rFonts w:ascii="arial" w:eastAsia="arial" w:hAnsi="arial" w:cs="arial"/>
            <w:b w:val="0"/>
            <w:i/>
            <w:strike w:val="0"/>
            <w:noProof w:val="0"/>
            <w:color w:val="0077CC"/>
            <w:position w:val="0"/>
            <w:sz w:val="20"/>
            <w:u w:val="single"/>
            <w:vertAlign w:val="baseline"/>
          </w:rPr>
          <w:t>, 441 U.S. 520, 545-46,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188" w:name="Bookmark_I67JTJVG2N1R2S0030000400"/>
      <w:bookmarkEnd w:id="188"/>
      <w:hyperlink r:id="rId80" w:history="1">
        <w:r>
          <w:rPr>
            <w:rFonts w:ascii="arial" w:eastAsia="arial" w:hAnsi="arial" w:cs="arial"/>
            <w:b w:val="0"/>
            <w:i/>
            <w:strike w:val="0"/>
            <w:noProof w:val="0"/>
            <w:color w:val="0077CC"/>
            <w:position w:val="0"/>
            <w:sz w:val="20"/>
            <w:u w:val="single"/>
            <w:vertAlign w:val="baseline"/>
          </w:rPr>
          <w:t>Lee v. Downs</w:t>
        </w:r>
      </w:hyperlink>
      <w:hyperlink r:id="rId80" w:history="1">
        <w:r>
          <w:rPr>
            <w:rFonts w:ascii="arial" w:eastAsia="arial" w:hAnsi="arial" w:cs="arial"/>
            <w:b w:val="0"/>
            <w:i/>
            <w:strike w:val="0"/>
            <w:noProof w:val="0"/>
            <w:color w:val="0077CC"/>
            <w:position w:val="0"/>
            <w:sz w:val="20"/>
            <w:u w:val="single"/>
            <w:vertAlign w:val="baseline"/>
          </w:rPr>
          <w:t>, 641 F.2d 1117, 1119 (4th Cir. 1981)</w:t>
        </w:r>
      </w:hyperlink>
      <w:r>
        <w:rPr>
          <w:rFonts w:ascii="arial" w:eastAsia="arial" w:hAnsi="arial" w:cs="arial"/>
          <w:b w:val="0"/>
          <w:i w:val="0"/>
          <w:strike w:val="0"/>
          <w:noProof w:val="0"/>
          <w:color w:val="000000"/>
          <w:position w:val="0"/>
          <w:sz w:val="20"/>
          <w:u w:val="none"/>
          <w:vertAlign w:val="baseline"/>
        </w:rPr>
        <w:t xml:space="preserve">; </w:t>
      </w:r>
      <w:bookmarkStart w:id="189" w:name="Bookmark_I67JTJVG2N1R2S0050000400"/>
      <w:bookmarkEnd w:id="189"/>
      <w:hyperlink r:id="rId81" w:history="1">
        <w:r>
          <w:rPr>
            <w:rFonts w:ascii="arial" w:eastAsia="arial" w:hAnsi="arial" w:cs="arial"/>
            <w:b w:val="0"/>
            <w:i/>
            <w:strike w:val="0"/>
            <w:noProof w:val="0"/>
            <w:color w:val="0077CC"/>
            <w:position w:val="0"/>
            <w:sz w:val="20"/>
            <w:u w:val="single"/>
            <w:vertAlign w:val="baseline"/>
          </w:rPr>
          <w:t>Harper v. Campbell</w:t>
        </w:r>
      </w:hyperlink>
      <w:hyperlink r:id="rId81" w:history="1">
        <w:r>
          <w:rPr>
            <w:rFonts w:ascii="arial" w:eastAsia="arial" w:hAnsi="arial" w:cs="arial"/>
            <w:b w:val="0"/>
            <w:i/>
            <w:strike w:val="0"/>
            <w:noProof w:val="0"/>
            <w:color w:val="0077CC"/>
            <w:position w:val="0"/>
            <w:sz w:val="20"/>
            <w:u w:val="single"/>
            <w:vertAlign w:val="baseline"/>
          </w:rPr>
          <w:t>, SAG-20-170, 2021 U.S. Dist. LEXIS 27373, 2021 WL 533729, at *8 (D. Md. Feb. 12, 2021)</w:t>
        </w:r>
      </w:hyperlink>
      <w:r>
        <w:rPr>
          <w:rFonts w:ascii="arial" w:eastAsia="arial" w:hAnsi="arial" w:cs="arial"/>
          <w:b w:val="0"/>
          <w:i w:val="0"/>
          <w:strike w:val="0"/>
          <w:noProof w:val="0"/>
          <w:color w:val="000000"/>
          <w:position w:val="0"/>
          <w:sz w:val="20"/>
          <w:u w:val="none"/>
          <w:vertAlign w:val="baseline"/>
        </w:rPr>
        <w:t xml:space="preserve">; </w:t>
      </w:r>
      <w:bookmarkStart w:id="190" w:name="Bookmark_I67JTJVG2HM6W80020000400"/>
      <w:bookmarkEnd w:id="190"/>
      <w:hyperlink r:id="rId82" w:history="1">
        <w:r>
          <w:rPr>
            <w:rFonts w:ascii="arial" w:eastAsia="arial" w:hAnsi="arial" w:cs="arial"/>
            <w:b w:val="0"/>
            <w:i/>
            <w:strike w:val="0"/>
            <w:noProof w:val="0"/>
            <w:color w:val="0077CC"/>
            <w:position w:val="0"/>
            <w:sz w:val="20"/>
            <w:u w:val="single"/>
            <w:vertAlign w:val="baseline"/>
          </w:rPr>
          <w:t>Hudson v. Goodlander</w:t>
        </w:r>
      </w:hyperlink>
      <w:hyperlink r:id="rId82" w:history="1">
        <w:r>
          <w:rPr>
            <w:rFonts w:ascii="arial" w:eastAsia="arial" w:hAnsi="arial" w:cs="arial"/>
            <w:b w:val="0"/>
            <w:i/>
            <w:strike w:val="0"/>
            <w:noProof w:val="0"/>
            <w:color w:val="0077CC"/>
            <w:position w:val="0"/>
            <w:sz w:val="20"/>
            <w:u w:val="single"/>
            <w:vertAlign w:val="baseline"/>
          </w:rPr>
          <w:t>, 494 F. Supp. 890, 891 (D. Md.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1" w:name="Bookmark_para_38"/>
      <w:bookmarkEnd w:id="191"/>
      <w:bookmarkStart w:id="192" w:name="Bookmark_I67JTJVG2HM6W80050000400"/>
      <w:bookmarkEnd w:id="192"/>
      <w:r>
        <w:rPr>
          <w:rFonts w:ascii="arial" w:eastAsia="arial" w:hAnsi="arial" w:cs="arial"/>
          <w:b w:val="0"/>
          <w:i w:val="0"/>
          <w:strike w:val="0"/>
          <w:noProof w:val="0"/>
          <w:color w:val="000000"/>
          <w:position w:val="0"/>
          <w:sz w:val="20"/>
          <w:u w:val="none"/>
          <w:vertAlign w:val="baseline"/>
        </w:rPr>
        <w:t>The exposure of a body cavity, conducted as part of a strip search at a penal institution after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contact visitation, does not violate an inmate's </w:t>
      </w:r>
      <w:hyperlink r:id="rId7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if the search is reasonable and not motivated by punitive intent. </w:t>
      </w:r>
      <w:bookmarkStart w:id="193" w:name="Bookmark_I4SJRYW39290000932P00009"/>
      <w:bookmarkEnd w:id="193"/>
      <w:bookmarkStart w:id="194" w:name="Bookmark_I67JTJVG2D6NWH0020000400"/>
      <w:bookmarkEnd w:id="194"/>
      <w:bookmarkStart w:id="195" w:name="Bookmark_I67JTJVG2HM6W80040000400"/>
      <w:bookmarkEnd w:id="195"/>
      <w:hyperlink r:id="rId79" w:history="1">
        <w:r>
          <w:rPr>
            <w:rFonts w:ascii="arial" w:eastAsia="arial" w:hAnsi="arial" w:cs="arial"/>
            <w:b w:val="0"/>
            <w:i/>
            <w:strike w:val="0"/>
            <w:noProof w:val="0"/>
            <w:color w:val="0077CC"/>
            <w:position w:val="0"/>
            <w:sz w:val="20"/>
            <w:u w:val="single"/>
            <w:vertAlign w:val="baseline"/>
          </w:rPr>
          <w:t>Bell</w:t>
        </w:r>
      </w:hyperlink>
      <w:hyperlink r:id="rId79" w:history="1">
        <w:r>
          <w:rPr>
            <w:rFonts w:ascii="arial" w:eastAsia="arial" w:hAnsi="arial" w:cs="arial"/>
            <w:b w:val="0"/>
            <w:i/>
            <w:strike w:val="0"/>
            <w:noProof w:val="0"/>
            <w:color w:val="0077CC"/>
            <w:position w:val="0"/>
            <w:sz w:val="20"/>
            <w:u w:val="single"/>
            <w:vertAlign w:val="baseline"/>
          </w:rPr>
          <w:t>, 441 U.S. at 558-61</w:t>
        </w:r>
      </w:hyperlink>
      <w:r>
        <w:rPr>
          <w:rFonts w:ascii="arial" w:eastAsia="arial" w:hAnsi="arial" w:cs="arial"/>
          <w:b w:val="0"/>
          <w:i w:val="0"/>
          <w:strike w:val="0"/>
          <w:noProof w:val="0"/>
          <w:color w:val="000000"/>
          <w:position w:val="0"/>
          <w:sz w:val="20"/>
          <w:u w:val="none"/>
          <w:vertAlign w:val="baseline"/>
        </w:rPr>
        <w:t xml:space="preserve">. To determine if such a search is reasonable, courts consider: 1) the scope of the intrusion; 2) the manner in which it was conducted; 3) the justification for the search; and 4) the place in which it was conducted. </w:t>
      </w:r>
      <w:bookmarkStart w:id="196" w:name="Bookmark_I67JTJVG2D6NWH0020000400_2"/>
      <w:bookmarkEnd w:id="196"/>
      <w:bookmarkStart w:id="197" w:name="Bookmark_I67JTJVG2D6NWH0010000400"/>
      <w:bookmarkEnd w:id="197"/>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559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99" w:name="Bookmark_para_39"/>
      <w:bookmarkEnd w:id="199"/>
      <w:bookmarkStart w:id="200" w:name="Bookmark_I67JTJVG2D6NWH0040000400"/>
      <w:bookmarkEnd w:id="200"/>
      <w:r>
        <w:rPr>
          <w:rFonts w:ascii="arial" w:eastAsia="arial" w:hAnsi="arial" w:cs="arial"/>
          <w:b w:val="0"/>
          <w:i w:val="0"/>
          <w:strike w:val="0"/>
          <w:noProof w:val="0"/>
          <w:color w:val="000000"/>
          <w:position w:val="0"/>
          <w:sz w:val="20"/>
          <w:u w:val="none"/>
          <w:vertAlign w:val="baseline"/>
        </w:rPr>
        <w:t xml:space="preserve">"'In </w:t>
      </w:r>
      <w:bookmarkStart w:id="201" w:name="Bookmark_I67JTJVG2D6NWH0030000400"/>
      <w:bookmarkEnd w:id="201"/>
      <w:hyperlink r:id="rId79" w:history="1">
        <w:r>
          <w:rPr>
            <w:rFonts w:ascii="arial" w:eastAsia="arial" w:hAnsi="arial" w:cs="arial"/>
            <w:b w:val="0"/>
            <w:i/>
            <w:strike w:val="0"/>
            <w:noProof w:val="0"/>
            <w:color w:val="0077CC"/>
            <w:position w:val="0"/>
            <w:sz w:val="20"/>
            <w:u w:val="single"/>
            <w:vertAlign w:val="baseline"/>
          </w:rPr>
          <w:t>Bell</w:t>
        </w:r>
      </w:hyperlink>
      <w:bookmarkStart w:id="202" w:name="Bookmark_I67JTJVG28T4R60050000400"/>
      <w:bookmarkEnd w:id="202"/>
      <w:r>
        <w:rPr>
          <w:rFonts w:ascii="arial" w:eastAsia="arial" w:hAnsi="arial" w:cs="arial"/>
          <w:b w:val="0"/>
          <w:i w:val="0"/>
          <w:strike w:val="0"/>
          <w:noProof w:val="0"/>
          <w:color w:val="000000"/>
          <w:position w:val="0"/>
          <w:sz w:val="20"/>
          <w:u w:val="none"/>
          <w:vertAlign w:val="baseline"/>
        </w:rPr>
        <w:t xml:space="preserve">, the Supreme Court held that a reasonableness inquiry requires a court to balance the need for the particular search against the invasion of the personal rights that the search entailed.'" </w:t>
      </w:r>
      <w:bookmarkStart w:id="203" w:name="Bookmark_I67JTJVG2D6NWH0050000400"/>
      <w:bookmarkEnd w:id="203"/>
      <w:hyperlink r:id="rId83" w:history="1">
        <w:r>
          <w:rPr>
            <w:rFonts w:ascii="arial" w:eastAsia="arial" w:hAnsi="arial" w:cs="arial"/>
            <w:b w:val="0"/>
            <w:i/>
            <w:strike w:val="0"/>
            <w:noProof w:val="0"/>
            <w:color w:val="0077CC"/>
            <w:position w:val="0"/>
            <w:sz w:val="20"/>
            <w:u w:val="single"/>
            <w:vertAlign w:val="baseline"/>
          </w:rPr>
          <w:t>Coley v. Harris</w:t>
        </w:r>
      </w:hyperlink>
      <w:hyperlink r:id="rId83" w:history="1">
        <w:r>
          <w:rPr>
            <w:rFonts w:ascii="arial" w:eastAsia="arial" w:hAnsi="arial" w:cs="arial"/>
            <w:b w:val="0"/>
            <w:i/>
            <w:strike w:val="0"/>
            <w:noProof w:val="0"/>
            <w:color w:val="0077CC"/>
            <w:position w:val="0"/>
            <w:sz w:val="20"/>
            <w:u w:val="single"/>
            <w:vertAlign w:val="baseline"/>
          </w:rPr>
          <w:t>, 30 F. Supp. 3d 428, 434 (D. Md. July 7, 2014)</w:t>
        </w:r>
      </w:hyperlink>
      <w:r>
        <w:rPr>
          <w:rFonts w:ascii="arial" w:eastAsia="arial" w:hAnsi="arial" w:cs="arial"/>
          <w:b w:val="0"/>
          <w:i w:val="0"/>
          <w:strike w:val="0"/>
          <w:noProof w:val="0"/>
          <w:color w:val="000000"/>
          <w:position w:val="0"/>
          <w:sz w:val="20"/>
          <w:u w:val="none"/>
          <w:vertAlign w:val="baseline"/>
        </w:rPr>
        <w:t xml:space="preserve"> (quoting </w:t>
      </w:r>
      <w:bookmarkStart w:id="204" w:name="Bookmark_I67JTJVG28T4R60020000400"/>
      <w:bookmarkEnd w:id="204"/>
      <w:hyperlink r:id="rId84" w:history="1">
        <w:r>
          <w:rPr>
            <w:rFonts w:ascii="arial" w:eastAsia="arial" w:hAnsi="arial" w:cs="arial"/>
            <w:b w:val="0"/>
            <w:i/>
            <w:strike w:val="0"/>
            <w:noProof w:val="0"/>
            <w:color w:val="0077CC"/>
            <w:position w:val="0"/>
            <w:sz w:val="20"/>
            <w:u w:val="single"/>
            <w:vertAlign w:val="baseline"/>
          </w:rPr>
          <w:t>Amaechi v. West</w:t>
        </w:r>
      </w:hyperlink>
      <w:hyperlink r:id="rId84" w:history="1">
        <w:r>
          <w:rPr>
            <w:rFonts w:ascii="arial" w:eastAsia="arial" w:hAnsi="arial" w:cs="arial"/>
            <w:b w:val="0"/>
            <w:i/>
            <w:strike w:val="0"/>
            <w:noProof w:val="0"/>
            <w:color w:val="0077CC"/>
            <w:position w:val="0"/>
            <w:sz w:val="20"/>
            <w:u w:val="single"/>
            <w:vertAlign w:val="baseline"/>
          </w:rPr>
          <w:t>, 237 F.3d 356, 361 (4th Cir. 2001)</w:t>
        </w:r>
      </w:hyperlink>
      <w:r>
        <w:rPr>
          <w:rFonts w:ascii="arial" w:eastAsia="arial" w:hAnsi="arial" w:cs="arial"/>
          <w:b w:val="0"/>
          <w:i w:val="0"/>
          <w:strike w:val="0"/>
          <w:noProof w:val="0"/>
          <w:color w:val="000000"/>
          <w:position w:val="0"/>
          <w:sz w:val="20"/>
          <w:u w:val="none"/>
          <w:vertAlign w:val="baseline"/>
        </w:rPr>
        <w:t xml:space="preserve">). This requires "a contextual analysis, looking at the scope of the intrusion, the manner in which it was conducted, its justification," and the location. </w:t>
      </w:r>
      <w:bookmarkStart w:id="205" w:name="Bookmark_I67JTJVG28T4R60050000400_2"/>
      <w:bookmarkEnd w:id="205"/>
      <w:bookmarkStart w:id="206" w:name="Bookmark_I67JTJVH2SF7T30020000400"/>
      <w:bookmarkEnd w:id="206"/>
      <w:bookmarkStart w:id="207" w:name="Bookmark_I67JTJVG28T4R60040000400"/>
      <w:bookmarkEnd w:id="207"/>
      <w:hyperlink r:id="rId83" w:history="1">
        <w:r>
          <w:rPr>
            <w:rFonts w:ascii="arial" w:eastAsia="arial" w:hAnsi="arial" w:cs="arial"/>
            <w:b w:val="0"/>
            <w:i/>
            <w:strike w:val="0"/>
            <w:noProof w:val="0"/>
            <w:color w:val="0077CC"/>
            <w:position w:val="0"/>
            <w:sz w:val="20"/>
            <w:u w:val="single"/>
            <w:vertAlign w:val="baseline"/>
          </w:rPr>
          <w:t>Coley</w:t>
        </w:r>
      </w:hyperlink>
      <w:hyperlink r:id="rId83" w:history="1">
        <w:r>
          <w:rPr>
            <w:rFonts w:ascii="arial" w:eastAsia="arial" w:hAnsi="arial" w:cs="arial"/>
            <w:b w:val="0"/>
            <w:i/>
            <w:strike w:val="0"/>
            <w:noProof w:val="0"/>
            <w:color w:val="0077CC"/>
            <w:position w:val="0"/>
            <w:sz w:val="20"/>
            <w:u w:val="single"/>
            <w:vertAlign w:val="baseline"/>
          </w:rPr>
          <w:t>, 30 F. Supp. 2d at 434</w:t>
        </w:r>
      </w:hyperlink>
      <w:r>
        <w:rPr>
          <w:rFonts w:ascii="arial" w:eastAsia="arial" w:hAnsi="arial" w:cs="arial"/>
          <w:b w:val="0"/>
          <w:i w:val="0"/>
          <w:strike w:val="0"/>
          <w:noProof w:val="0"/>
          <w:color w:val="000000"/>
          <w:position w:val="0"/>
          <w:sz w:val="20"/>
          <w:u w:val="none"/>
          <w:vertAlign w:val="baseline"/>
        </w:rPr>
        <w:t xml:space="preserve">. </w:t>
      </w:r>
      <w:bookmarkStart w:id="208" w:name="Bookmark_I67JTJVH2SF7T30020000400_2"/>
      <w:bookmarkEnd w:id="208"/>
      <w:bookmarkStart w:id="209" w:name="Bookmark_I67JTJVH2SF7T30040000400"/>
      <w:bookmarkEnd w:id="209"/>
      <w:r>
        <w:rPr>
          <w:rFonts w:ascii="arial" w:eastAsia="arial" w:hAnsi="arial" w:cs="arial"/>
          <w:b w:val="0"/>
          <w:i w:val="0"/>
          <w:strike w:val="0"/>
          <w:noProof w:val="0"/>
          <w:color w:val="000000"/>
          <w:position w:val="0"/>
          <w:sz w:val="20"/>
          <w:u w:val="none"/>
          <w:vertAlign w:val="baseline"/>
        </w:rPr>
        <w:t xml:space="preserve">Further, courts should also give deference to decisions made by officials relating to their administration of a prison facility. </w:t>
      </w:r>
      <w:bookmarkStart w:id="210" w:name="Bookmark_I67JTJVH2SF7T30010000400"/>
      <w:bookmarkEnd w:id="210"/>
      <w:hyperlink r:id="rId79" w:history="1">
        <w:r>
          <w:rPr>
            <w:rFonts w:ascii="arial" w:eastAsia="arial" w:hAnsi="arial" w:cs="arial"/>
            <w:b w:val="0"/>
            <w:i/>
            <w:strike w:val="0"/>
            <w:noProof w:val="0"/>
            <w:color w:val="0077CC"/>
            <w:position w:val="0"/>
            <w:sz w:val="20"/>
            <w:u w:val="single"/>
            <w:vertAlign w:val="baseline"/>
          </w:rPr>
          <w:t>Bell</w:t>
        </w:r>
      </w:hyperlink>
      <w:hyperlink r:id="rId79" w:history="1">
        <w:r>
          <w:rPr>
            <w:rFonts w:ascii="arial" w:eastAsia="arial" w:hAnsi="arial" w:cs="arial"/>
            <w:b w:val="0"/>
            <w:i/>
            <w:strike w:val="0"/>
            <w:noProof w:val="0"/>
            <w:color w:val="0077CC"/>
            <w:position w:val="0"/>
            <w:sz w:val="20"/>
            <w:u w:val="single"/>
            <w:vertAlign w:val="baseline"/>
          </w:rPr>
          <w:t>, 441 U.S. at 547</w:t>
        </w:r>
      </w:hyperlink>
      <w:r>
        <w:rPr>
          <w:rFonts w:ascii="arial" w:eastAsia="arial" w:hAnsi="arial" w:cs="arial"/>
          <w:b w:val="0"/>
          <w:i w:val="0"/>
          <w:strike w:val="0"/>
          <w:noProof w:val="0"/>
          <w:color w:val="000000"/>
          <w:position w:val="0"/>
          <w:sz w:val="20"/>
          <w:u w:val="none"/>
          <w:vertAlign w:val="baseline"/>
        </w:rPr>
        <w:t xml:space="preserve">. </w:t>
      </w:r>
      <w:bookmarkStart w:id="211" w:name="Bookmark_I67JTJVH2SF7T30040000400_2"/>
      <w:bookmarkEnd w:id="211"/>
      <w:r>
        <w:rPr>
          <w:rFonts w:ascii="arial" w:eastAsia="arial" w:hAnsi="arial" w:cs="arial"/>
          <w:b w:val="0"/>
          <w:i w:val="0"/>
          <w:strike w:val="0"/>
          <w:noProof w:val="0"/>
          <w:color w:val="000000"/>
          <w:position w:val="0"/>
          <w:sz w:val="20"/>
          <w:u w:val="none"/>
          <w:vertAlign w:val="baseline"/>
        </w:rPr>
        <w:t xml:space="preserve">As the Supreme Court has cautioned, "[t]he difficulties of operating a detention center must not be underestimated by the courts." </w:t>
      </w:r>
      <w:bookmarkStart w:id="212" w:name="Bookmark_I67JTJVH2SF7T30030000400"/>
      <w:bookmarkEnd w:id="212"/>
      <w:hyperlink r:id="rId85" w:history="1">
        <w:r>
          <w:rPr>
            <w:rFonts w:ascii="arial" w:eastAsia="arial" w:hAnsi="arial" w:cs="arial"/>
            <w:b w:val="0"/>
            <w:i/>
            <w:strike w:val="0"/>
            <w:noProof w:val="0"/>
            <w:color w:val="0077CC"/>
            <w:position w:val="0"/>
            <w:sz w:val="20"/>
            <w:u w:val="single"/>
            <w:vertAlign w:val="baseline"/>
          </w:rPr>
          <w:t>Florence v. Bd. of Chosen Freeholders of Cty. of Burlington</w:t>
        </w:r>
      </w:hyperlink>
      <w:hyperlink r:id="rId85" w:history="1">
        <w:r>
          <w:rPr>
            <w:rFonts w:ascii="arial" w:eastAsia="arial" w:hAnsi="arial" w:cs="arial"/>
            <w:b w:val="0"/>
            <w:i/>
            <w:strike w:val="0"/>
            <w:noProof w:val="0"/>
            <w:color w:val="0077CC"/>
            <w:position w:val="0"/>
            <w:sz w:val="20"/>
            <w:u w:val="single"/>
            <w:vertAlign w:val="baseline"/>
          </w:rPr>
          <w:t>, 566 U.S. 318, 326, 132 S. Ct. 1510, 182 L. Ed. 2d 566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3" w:name="Bookmark_para_40"/>
      <w:bookmarkEnd w:id="213"/>
      <w:r>
        <w:rPr>
          <w:rFonts w:ascii="arial" w:eastAsia="arial" w:hAnsi="arial" w:cs="arial"/>
          <w:b w:val="0"/>
          <w:i w:val="0"/>
          <w:strike w:val="0"/>
          <w:noProof w:val="0"/>
          <w:color w:val="000000"/>
          <w:position w:val="0"/>
          <w:sz w:val="20"/>
          <w:u w:val="none"/>
          <w:vertAlign w:val="baseline"/>
        </w:rPr>
        <w:t xml:space="preserve">According to Roberts, on December 18, 2015, he was returned to JCI after his medical appointment. ECF 8 at 3. On December 21, 2015, he left JCI and a stop was made at MCTC, where he claims that a second strip search was conducted.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4. Roberts was then transported to NBCI, where a third strip search was conducted on arrival. </w:t>
      </w:r>
      <w:r>
        <w:rPr>
          <w:rFonts w:ascii="arial" w:eastAsia="arial" w:hAnsi="arial" w:cs="arial"/>
          <w:b w:val="0"/>
          <w:i/>
          <w:strike w:val="0"/>
          <w:noProof w:val="0"/>
          <w:color w:val="000000"/>
          <w:position w:val="0"/>
          <w:sz w:val="20"/>
          <w:u w:val="none"/>
          <w:vertAlign w:val="baseline"/>
        </w:rPr>
        <w:t>Id.; see also id.</w:t>
      </w:r>
      <w:r>
        <w:rPr>
          <w:rFonts w:ascii="arial" w:eastAsia="arial" w:hAnsi="arial" w:cs="arial"/>
          <w:b w:val="0"/>
          <w:i w:val="0"/>
          <w:strike w:val="0"/>
          <w:noProof w:val="0"/>
          <w:color w:val="000000"/>
          <w:position w:val="0"/>
          <w:sz w:val="20"/>
          <w:u w:val="none"/>
          <w:vertAlign w:val="baseline"/>
        </w:rPr>
        <w:t xml:space="preserve"> at 5. He states that at the NBCI strip search, there was video surveillance, where staff and other employees, both male and female, "can view or glance" at the surveillance.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Notably, Roberts does not allege that staff or other employees actually saw the strip search.</w:t>
      </w:r>
    </w:p>
    <w:p>
      <w:pPr>
        <w:keepNext w:val="0"/>
        <w:spacing w:before="200" w:after="0" w:line="260" w:lineRule="atLeast"/>
        <w:ind w:left="0" w:right="0" w:firstLine="0"/>
        <w:jc w:val="both"/>
      </w:pPr>
      <w:bookmarkStart w:id="214" w:name="Bookmark_para_41"/>
      <w:bookmarkEnd w:id="214"/>
      <w:r>
        <w:rPr>
          <w:rFonts w:ascii="arial" w:eastAsia="arial" w:hAnsi="arial" w:cs="arial"/>
          <w:b w:val="0"/>
          <w:i w:val="0"/>
          <w:strike w:val="0"/>
          <w:noProof w:val="0"/>
          <w:color w:val="000000"/>
          <w:position w:val="0"/>
          <w:sz w:val="20"/>
          <w:u w:val="none"/>
          <w:vertAlign w:val="baseline"/>
        </w:rPr>
        <w:t xml:space="preserve">Roberts maintains that he should have been strip searched once, not three times, during his trip from JCI to NBCI.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He does not allege that any of the searches were conducted by force, improperly performed, or done with the intent to punish. His claim is narrow and pertains to the numerosity of strip searches.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5" w:name="Bookmark_para_42"/>
      <w:bookmarkEnd w:id="215"/>
      <w:r>
        <w:rPr>
          <w:rFonts w:ascii="arial" w:eastAsia="arial" w:hAnsi="arial" w:cs="arial"/>
          <w:b w:val="0"/>
          <w:i w:val="0"/>
          <w:strike w:val="0"/>
          <w:noProof w:val="0"/>
          <w:color w:val="000000"/>
          <w:position w:val="0"/>
          <w:sz w:val="20"/>
          <w:u w:val="none"/>
          <w:vertAlign w:val="baseline"/>
        </w:rPr>
        <w:t>Defendants do not dispute that Roberts was strip searched on three occasions, although they note, as has the court, that Roberts provided information only as to two of these alleged searches. ECF 44 at 5 n.4, ECF 55-1 at 4. Rather, they assert that the policy in effect at the relevant time necessitated the strip searches for security reasons. According to the policy, when inmates are admitted to a facility from another correctional facility or detention setting, they must be strip</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searched to determine if the inmate is in possession of contraband. ECF 25-4, ECF 57.</w:t>
      </w:r>
    </w:p>
    <w:p>
      <w:pPr>
        <w:keepNext w:val="0"/>
        <w:spacing w:before="200" w:after="0" w:line="260" w:lineRule="atLeast"/>
        <w:ind w:left="0" w:right="0" w:firstLine="0"/>
        <w:jc w:val="both"/>
      </w:pPr>
      <w:bookmarkStart w:id="216" w:name="Bookmark_para_43"/>
      <w:bookmarkEnd w:id="216"/>
      <w:bookmarkStart w:id="217" w:name="Bookmark_I67JTJVH2N1R2W0010000400"/>
      <w:bookmarkEnd w:id="217"/>
      <w:r>
        <w:rPr>
          <w:rFonts w:ascii="arial" w:eastAsia="arial" w:hAnsi="arial" w:cs="arial"/>
          <w:b w:val="0"/>
          <w:i w:val="0"/>
          <w:strike w:val="0"/>
          <w:noProof w:val="0"/>
          <w:color w:val="000000"/>
          <w:position w:val="0"/>
          <w:sz w:val="20"/>
          <w:u w:val="none"/>
          <w:vertAlign w:val="baseline"/>
        </w:rPr>
        <w:t xml:space="preserve">The </w:t>
      </w:r>
      <w:bookmarkStart w:id="218" w:name="Bookmark_I67JTJVH2SF7T30050000400"/>
      <w:bookmarkEnd w:id="218"/>
      <w:hyperlink r:id="rId79"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 xml:space="preserve"> factors support the reasonableness of defendants' need to perform the strip searches at issue in this case. Defendants have provided security justification for each search, supported by the policy in effect at that time. The mere fact that Roberts was in continuous custody did not obviate the need for correctional officers to perform a strip search before each transfer to another facility, to protect against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Contraband could include drugs, which are easily hidden, and weapons. The searches, as described by plaintiff, were limited in scope and duration. Moreover, the transport route taken by defendants was the normal procedure in effect at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40" w:after="0" w:line="260" w:lineRule="atLeast"/>
        <w:ind w:left="0" w:right="0" w:firstLine="0"/>
        <w:jc w:val="both"/>
      </w:pPr>
      <w:bookmarkStart w:id="219" w:name="Bookmark_para_44"/>
      <w:bookmarkEnd w:id="219"/>
      <w:r>
        <w:rPr>
          <w:rFonts w:ascii="arial" w:eastAsia="arial" w:hAnsi="arial" w:cs="arial"/>
          <w:b w:val="0"/>
          <w:i w:val="0"/>
          <w:strike w:val="0"/>
          <w:noProof w:val="0"/>
          <w:color w:val="000000"/>
          <w:position w:val="0"/>
          <w:sz w:val="20"/>
          <w:u w:val="none"/>
          <w:vertAlign w:val="baseline"/>
        </w:rPr>
        <w:t xml:space="preserve">The searches were not unreasonable under the </w:t>
      </w:r>
      <w:hyperlink r:id="rId7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For the foregoing reasons, I shall construe the Motion as a motion for summary judgment and grant it.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21" w:name="Bookmark_para_45"/>
      <w:bookmarkEnd w:id="221"/>
      <w:r>
        <w:rPr>
          <w:rFonts w:ascii="arial" w:eastAsia="arial" w:hAnsi="arial" w:cs="arial"/>
          <w:b w:val="0"/>
          <w:i w:val="0"/>
          <w:strike w:val="0"/>
          <w:noProof w:val="0"/>
          <w:color w:val="000000"/>
          <w:position w:val="0"/>
          <w:sz w:val="20"/>
          <w:u w:val="none"/>
          <w:vertAlign w:val="baseline"/>
        </w:rPr>
        <w:t>A separate Order follows.</w:t>
      </w:r>
    </w:p>
    <w:p>
      <w:pPr>
        <w:keepNext w:val="0"/>
        <w:spacing w:before="200" w:after="0" w:line="260" w:lineRule="atLeast"/>
        <w:ind w:left="0" w:right="0" w:firstLine="0"/>
        <w:jc w:val="both"/>
      </w:pPr>
      <w:bookmarkStart w:id="222" w:name="Bookmark_para_46"/>
      <w:bookmarkEnd w:id="222"/>
      <w:r>
        <w:rPr>
          <w:rFonts w:ascii="arial" w:eastAsia="arial" w:hAnsi="arial" w:cs="arial"/>
          <w:b w:val="0"/>
          <w:i w:val="0"/>
          <w:strike w:val="0"/>
          <w:noProof w:val="0"/>
          <w:color w:val="000000"/>
          <w:position w:val="0"/>
          <w:sz w:val="20"/>
          <w:u w:val="none"/>
          <w:vertAlign w:val="baseline"/>
        </w:rPr>
        <w:t>Date: February 10, 2023</w:t>
      </w:r>
    </w:p>
    <w:p>
      <w:pPr>
        <w:keepNext w:val="0"/>
        <w:spacing w:before="200" w:after="0" w:line="260" w:lineRule="atLeast"/>
        <w:ind w:left="0" w:right="0" w:firstLine="0"/>
        <w:jc w:val="both"/>
      </w:pPr>
      <w:bookmarkStart w:id="223" w:name="Bookmark_para_47"/>
      <w:bookmarkEnd w:id="223"/>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224" w:name="Bookmark_para_48"/>
      <w:bookmarkEnd w:id="224"/>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25" w:name="Bookmark_para_49"/>
      <w:bookmarkEnd w:id="225"/>
      <w:r>
        <w:rPr>
          <w:rFonts w:ascii="arial" w:eastAsia="arial" w:hAnsi="arial" w:cs="arial"/>
          <w:b w:val="0"/>
          <w:i w:val="0"/>
          <w:strike w:val="0"/>
          <w:noProof w:val="0"/>
          <w:color w:val="000000"/>
          <w:position w:val="0"/>
          <w:sz w:val="20"/>
          <w:u w:val="none"/>
          <w:vertAlign w:val="baseline"/>
        </w:rPr>
        <w:t>For reasons articulated in the forgoing Memorandum, it is this 10th day of February, 2023, by the United States District Court for the District of Maryland, hereby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ORDERED that:</w:t>
      </w:r>
    </w:p>
    <w:p>
      <w:pPr>
        <w:keepNext w:val="0"/>
        <w:spacing w:after="0" w:line="260" w:lineRule="atLeast"/>
        <w:ind w:left="400" w:right="0" w:firstLine="0"/>
        <w:jc w:val="both"/>
      </w:pPr>
      <w:bookmarkStart w:id="226" w:name="Bookmark_para_50"/>
      <w:bookmarkEnd w:id="226"/>
      <w:r>
        <w:rPr>
          <w:rFonts w:ascii="arial" w:eastAsia="arial" w:hAnsi="arial" w:cs="arial"/>
          <w:b w:val="0"/>
          <w:i w:val="0"/>
          <w:strike w:val="0"/>
          <w:noProof w:val="0"/>
          <w:color w:val="000000"/>
          <w:position w:val="0"/>
          <w:sz w:val="20"/>
          <w:u w:val="none"/>
          <w:vertAlign w:val="baseline"/>
        </w:rPr>
        <w:t>1. Defendants' motion to dismiss or in the alternative, for summary judgment (ECF 55), construed as a motion for summary judgement, IS GRANTED. Summary judgment is awarded in favor of defendants Nines, Morgan, Webb, and Lyons;</w:t>
      </w:r>
    </w:p>
    <w:p>
      <w:pPr>
        <w:keepNext w:val="0"/>
        <w:spacing w:after="0" w:line="260" w:lineRule="atLeast"/>
        <w:ind w:left="400" w:right="0" w:firstLine="0"/>
        <w:jc w:val="both"/>
      </w:pPr>
      <w:bookmarkStart w:id="227" w:name="Bookmark_para_51"/>
      <w:bookmarkEnd w:id="227"/>
      <w:r>
        <w:rPr>
          <w:rFonts w:ascii="arial" w:eastAsia="arial" w:hAnsi="arial" w:cs="arial"/>
          <w:b w:val="0"/>
          <w:i w:val="0"/>
          <w:strike w:val="0"/>
          <w:noProof w:val="0"/>
          <w:color w:val="000000"/>
          <w:position w:val="0"/>
          <w:sz w:val="20"/>
          <w:u w:val="none"/>
          <w:vertAlign w:val="baseline"/>
        </w:rPr>
        <w:t>2. The Clerk SHALL CLOSE the case; and</w:t>
      </w:r>
    </w:p>
    <w:p>
      <w:pPr>
        <w:keepNext w:val="0"/>
        <w:spacing w:after="0" w:line="260" w:lineRule="atLeast"/>
        <w:ind w:left="400" w:right="0" w:firstLine="0"/>
        <w:jc w:val="both"/>
      </w:pPr>
      <w:bookmarkStart w:id="228" w:name="Bookmark_para_52"/>
      <w:bookmarkEnd w:id="228"/>
      <w:r>
        <w:rPr>
          <w:rFonts w:ascii="arial" w:eastAsia="arial" w:hAnsi="arial" w:cs="arial"/>
          <w:b w:val="0"/>
          <w:i w:val="0"/>
          <w:strike w:val="0"/>
          <w:noProof w:val="0"/>
          <w:color w:val="000000"/>
          <w:position w:val="0"/>
          <w:sz w:val="20"/>
          <w:u w:val="none"/>
          <w:vertAlign w:val="baseline"/>
        </w:rPr>
        <w:t>3. The Clerk SHALL SEND a copy of this Order and the foregoing Memorandum to Roberts.</w:t>
      </w:r>
    </w:p>
    <w:p>
      <w:pPr>
        <w:keepNext w:val="0"/>
        <w:spacing w:before="200" w:after="0" w:line="260" w:lineRule="atLeast"/>
        <w:ind w:left="0" w:right="0" w:firstLine="0"/>
        <w:jc w:val="both"/>
      </w:pPr>
      <w:bookmarkStart w:id="229" w:name="Bookmark_para_53"/>
      <w:bookmarkEnd w:id="229"/>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230" w:name="Bookmark_para_54"/>
      <w:bookmarkEnd w:id="23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Court notes that Roberts filed an interlocutory appeal from this court's decision, which remains pending before the United States Court of Appeals for the Fourth Circuit. ECF 47, ECF 67. In the decision from which Roberts appealed, I granted Wexford's motion pertaining to all claims brought against it, and granted the motion of the DPCS defendants as to plaintiff's claim that he was denied access to the courts. </w:t>
      </w:r>
      <w:bookmarkStart w:id="12" w:name="Bookmark_I67JTJTN2SF7S60020000400"/>
      <w:bookmarkEnd w:id="12"/>
      <w:r>
        <w:rPr>
          <w:rFonts w:ascii="arial" w:eastAsia="arial" w:hAnsi="arial" w:cs="arial"/>
          <w:b w:val="0"/>
          <w:i w:val="0"/>
          <w:strike w:val="0"/>
          <w:noProof w:val="0"/>
          <w:color w:val="000000"/>
          <w:position w:val="0"/>
          <w:sz w:val="18"/>
          <w:u w:val="none"/>
          <w:vertAlign w:val="baseline"/>
        </w:rPr>
        <w:t xml:space="preserve">However, I denied the motion by the DPSCS defendants as to the strip search claim, without prejudice to the right to refile. This court retains jurisdiction because the decision on appeal does not constitute a "final" judgment resolving all claims against all parties.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 xml:space="preserve">; </w:t>
      </w:r>
      <w:bookmarkStart w:id="13" w:name="Bookmark_I67JTJTN2SF7S60010000400"/>
      <w:bookmarkEnd w:id="13"/>
      <w:hyperlink r:id="rId2" w:history="1">
        <w:r>
          <w:rPr>
            <w:rFonts w:ascii="arial" w:eastAsia="arial" w:hAnsi="arial" w:cs="arial"/>
            <w:b w:val="0"/>
            <w:i/>
            <w:strike w:val="0"/>
            <w:noProof w:val="0"/>
            <w:color w:val="0077CC"/>
            <w:position w:val="0"/>
            <w:sz w:val="18"/>
            <w:u w:val="single"/>
            <w:vertAlign w:val="baseline"/>
          </w:rPr>
          <w:t>Fox v. Baltimore City Police Dep't</w:t>
        </w:r>
      </w:hyperlink>
      <w:hyperlink r:id="rId2" w:history="1">
        <w:r>
          <w:rPr>
            <w:rFonts w:ascii="arial" w:eastAsia="arial" w:hAnsi="arial" w:cs="arial"/>
            <w:b w:val="0"/>
            <w:i/>
            <w:strike w:val="0"/>
            <w:noProof w:val="0"/>
            <w:color w:val="0077CC"/>
            <w:position w:val="0"/>
            <w:sz w:val="18"/>
            <w:u w:val="single"/>
            <w:vertAlign w:val="baseline"/>
          </w:rPr>
          <w:t>, 201 F.3d 526, 530 (4th Cir. 2000)</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 xml:space="preserve">I incorporate the factual background set forth in my Memorandum Opinion of July 26,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44 at 4-9. The facts relevant to the pending Motion are set forth in this Memorandum.</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As noted in my prior Memorandum Opinion, as best I can determine, Roberts does not specify when or where the first strip search occurred. ECF 44 at 5 n.4.</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8" w:name="Bookmark_fnpara_4"/>
      <w:bookmarkEnd w:id="198"/>
      <w:r>
        <w:rPr>
          <w:rFonts w:ascii="arial" w:eastAsia="arial" w:hAnsi="arial" w:cs="arial"/>
          <w:b w:val="0"/>
          <w:i w:val="0"/>
          <w:strike w:val="0"/>
          <w:noProof w:val="0"/>
          <w:color w:val="000000"/>
          <w:position w:val="0"/>
          <w:sz w:val="18"/>
          <w:u w:val="none"/>
          <w:vertAlign w:val="baseline"/>
        </w:rPr>
        <w:t>Plaintiff does not allege the exposure of a body cavity as part of the strip search.</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0" w:name="Bookmark_fnpara_5"/>
      <w:bookmarkEnd w:id="220"/>
      <w:r>
        <w:rPr>
          <w:rFonts w:ascii="arial" w:eastAsia="arial" w:hAnsi="arial" w:cs="arial"/>
          <w:b w:val="0"/>
          <w:i w:val="0"/>
          <w:strike w:val="0"/>
          <w:noProof w:val="0"/>
          <w:color w:val="000000"/>
          <w:position w:val="0"/>
          <w:sz w:val="18"/>
          <w:u w:val="none"/>
          <w:vertAlign w:val="baseline"/>
        </w:rPr>
        <w:t>In light of my ruling, I need not consider defendants' additional defenses of failure to allege personal involvement and supervisory liability.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 v. Wexford Health Sources, Inc., 2023 U.S. Dist. LEXIS 23850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8-C9M1-FC1F-M560-00000-00&amp;context=1519360" TargetMode="External" /><Relationship Id="rId11" Type="http://schemas.openxmlformats.org/officeDocument/2006/relationships/hyperlink" Target="https://advance.lexis.com/api/document?collection=cases&amp;id=urn:contentItem:661G-76S1-F1P7-B183-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cases&amp;id=urn:contentItem:4NWM-S330-004B-Y00V-00000-00&amp;context=1519360" TargetMode="External" /><Relationship Id="rId14" Type="http://schemas.openxmlformats.org/officeDocument/2006/relationships/hyperlink" Target="https://advance.lexis.com/api/document?collection=statutes-legislation&amp;id=urn:contentItem:5GYC-1WP1-6N19-F0YK-00000-00&amp;context=1519360" TargetMode="External" /><Relationship Id="rId15" Type="http://schemas.openxmlformats.org/officeDocument/2006/relationships/hyperlink" Target="https://advance.lexis.com/api/document?collection=cases&amp;id=urn:contentItem:3S4X-DB70-003B-S53V-00000-00&amp;context=1519360" TargetMode="External" /><Relationship Id="rId16" Type="http://schemas.openxmlformats.org/officeDocument/2006/relationships/hyperlink" Target="https://advance.lexis.com/api/document?collection=cases&amp;id=urn:contentItem:58TR-72Y1-F04K-M1MM-00000-00&amp;context=1519360" TargetMode="External" /><Relationship Id="rId17" Type="http://schemas.openxmlformats.org/officeDocument/2006/relationships/hyperlink" Target="https://advance.lexis.com/api/document?collection=cases&amp;id=urn:contentItem:49R1-MC60-0038-X3RY-00000-00&amp;context=1519360" TargetMode="External" /><Relationship Id="rId18" Type="http://schemas.openxmlformats.org/officeDocument/2006/relationships/hyperlink" Target="https://advance.lexis.com/api/document?collection=cases&amp;id=urn:contentItem:3S4X-F4Y0-003B-P4D7-00000-00&amp;context=1519360" TargetMode="External" /><Relationship Id="rId19" Type="http://schemas.openxmlformats.org/officeDocument/2006/relationships/hyperlink" Target="https://advance.lexis.com/api/document?collection=cases&amp;id=urn:contentItem:3S4X-6HC0-0039-N37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421-6N19-F165-00000-00&amp;context=1519360" TargetMode="External" /><Relationship Id="rId21" Type="http://schemas.openxmlformats.org/officeDocument/2006/relationships/hyperlink" Target="https://advance.lexis.com/api/document?collection=cases&amp;id=urn:contentItem:530H-P8V1-F04D-F097-00000-00&amp;context=1519360" TargetMode="External" /><Relationship Id="rId22" Type="http://schemas.openxmlformats.org/officeDocument/2006/relationships/hyperlink" Target="https://advance.lexis.com/api/document?collection=cases&amp;id=urn:contentItem:4RC0-2300-TXFX-62FC-00000-00&amp;context=1519360" TargetMode="External" /><Relationship Id="rId23" Type="http://schemas.openxmlformats.org/officeDocument/2006/relationships/hyperlink" Target="https://advance.lexis.com/api/document?collection=cases&amp;id=urn:contentItem:5M8T-6331-F04K-M05W-00000-00&amp;context=1519360" TargetMode="External" /><Relationship Id="rId24" Type="http://schemas.openxmlformats.org/officeDocument/2006/relationships/hyperlink" Target="https://advance.lexis.com/api/document?collection=cases&amp;id=urn:contentItem:3T2X-2RD0-0038-X1FV-00000-00&amp;context=1519360" TargetMode="External" /><Relationship Id="rId25" Type="http://schemas.openxmlformats.org/officeDocument/2006/relationships/hyperlink" Target="https://advance.lexis.com/api/document?collection=cases&amp;id=urn:contentItem:3S4X-HJS0-00B1-D271-00000-00&amp;context=1519360" TargetMode="External" /><Relationship Id="rId26" Type="http://schemas.openxmlformats.org/officeDocument/2006/relationships/hyperlink" Target="https://advance.lexis.com/api/document?collection=cases&amp;id=urn:contentItem:52C4-7DJ1-JCNH-X08V-00000-00&amp;context=1519360" TargetMode="External" /><Relationship Id="rId27" Type="http://schemas.openxmlformats.org/officeDocument/2006/relationships/hyperlink" Target="https://advance.lexis.com/api/document?collection=cases&amp;id=urn:contentItem:67G3-KGC1-FBV7-B00R-00000-00&amp;context=1519360" TargetMode="External" /><Relationship Id="rId28" Type="http://schemas.openxmlformats.org/officeDocument/2006/relationships/hyperlink" Target="https://advance.lexis.com/api/document?collection=cases&amp;id=urn:contentItem:5K7C-10Y1-F04K-M0NY-00000-00&amp;context=1519360" TargetMode="External" /><Relationship Id="rId29" Type="http://schemas.openxmlformats.org/officeDocument/2006/relationships/hyperlink" Target="https://advance.lexis.com/api/document?collection=cases&amp;id=urn:contentItem:5BD9-93X1-F04K-M1N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6KC-KVY0-0038-X2FD-00000-00&amp;context=1519360" TargetMode="External" /><Relationship Id="rId31" Type="http://schemas.openxmlformats.org/officeDocument/2006/relationships/hyperlink" Target="https://advance.lexis.com/api/document?collection=cases&amp;id=urn:contentItem:3S4X-2P30-006F-M16C-00000-00&amp;context=1519360" TargetMode="External" /><Relationship Id="rId32" Type="http://schemas.openxmlformats.org/officeDocument/2006/relationships/hyperlink" Target="https://advance.lexis.com/api/document?collection=cases&amp;id=urn:contentItem:5321-GJ61-F04D-F0DH-00000-00&amp;context=1519360" TargetMode="External" /><Relationship Id="rId33" Type="http://schemas.openxmlformats.org/officeDocument/2006/relationships/hyperlink" Target="https://advance.lexis.com/api/document?collection=cases&amp;id=urn:contentItem:5820-7FR1-F04K-M315-00000-00&amp;context=1519360" TargetMode="External" /><Relationship Id="rId34" Type="http://schemas.openxmlformats.org/officeDocument/2006/relationships/hyperlink" Target="https://advance.lexis.com/api/document?collection=cases&amp;id=urn:contentItem:3S4X-DXK0-001T-D1RV-00000-00&amp;context=1519360" TargetMode="External" /><Relationship Id="rId35" Type="http://schemas.openxmlformats.org/officeDocument/2006/relationships/hyperlink" Target="https://advance.lexis.com/api/document?collection=cases&amp;id=urn:contentItem:5V9G-4CH1-F5T5-M2K5-00000-00&amp;context=1519360" TargetMode="External" /><Relationship Id="rId36" Type="http://schemas.openxmlformats.org/officeDocument/2006/relationships/hyperlink" Target="https://advance.lexis.com/api/document?collection=cases&amp;id=urn:contentItem:5SB7-H791-FG12-62NB-00000-00&amp;context=1519360" TargetMode="External" /><Relationship Id="rId37" Type="http://schemas.openxmlformats.org/officeDocument/2006/relationships/hyperlink" Target="https://advance.lexis.com/api/document?collection=cases&amp;id=urn:contentItem:4KFF-GD60-TVVH-B2P1-00000-00&amp;context=1519360" TargetMode="External" /><Relationship Id="rId38" Type="http://schemas.openxmlformats.org/officeDocument/2006/relationships/hyperlink" Target="https://advance.lexis.com/api/document?collection=cases&amp;id=urn:contentItem:4RWY-PPN0-TXFX-62SB-00000-00&amp;context=1519360" TargetMode="External" /><Relationship Id="rId39" Type="http://schemas.openxmlformats.org/officeDocument/2006/relationships/hyperlink" Target="https://advance.lexis.com/api/document?collection=cases&amp;id=urn:contentItem:5BM8-H9K1-F04K-M21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V54-C510-TXFX-62WP-00000-00&amp;context=1519360" TargetMode="External" /><Relationship Id="rId41" Type="http://schemas.openxmlformats.org/officeDocument/2006/relationships/hyperlink" Target="https://advance.lexis.com/api/document?collection=cases&amp;id=urn:contentItem:3S4X-H5R0-001T-D3MC-00000-00&amp;context=1519360" TargetMode="External" /><Relationship Id="rId42" Type="http://schemas.openxmlformats.org/officeDocument/2006/relationships/hyperlink" Target="https://advance.lexis.com/api/document?collection=cases&amp;id=urn:contentItem:3S4X-BTB0-003B-P37Y-00000-00&amp;context=1519360" TargetMode="External" /><Relationship Id="rId43" Type="http://schemas.openxmlformats.org/officeDocument/2006/relationships/hyperlink" Target="https://advance.lexis.com/api/document?collection=cases&amp;id=urn:contentItem:3S4X-1SR0-003B-529V-00000-00&amp;context=1519360" TargetMode="External" /><Relationship Id="rId44" Type="http://schemas.openxmlformats.org/officeDocument/2006/relationships/hyperlink" Target="https://advance.lexis.com/api/document?collection=cases&amp;id=urn:contentItem:6368-5601-JPGX-S2D5-00000-00&amp;context=1519360" TargetMode="External" /><Relationship Id="rId45" Type="http://schemas.openxmlformats.org/officeDocument/2006/relationships/hyperlink" Target="https://advance.lexis.com/api/document?collection=cases&amp;id=urn:contentItem:5W31-06M1-F361-M278-00000-00&amp;context=1519360" TargetMode="External" /><Relationship Id="rId46" Type="http://schemas.openxmlformats.org/officeDocument/2006/relationships/hyperlink" Target="https://advance.lexis.com/api/document?collection=cases&amp;id=urn:contentItem:5NYP-N201-F04K-M20K-00000-00&amp;context=1519360" TargetMode="External" /><Relationship Id="rId47" Type="http://schemas.openxmlformats.org/officeDocument/2006/relationships/hyperlink" Target="https://advance.lexis.com/api/document?collection=cases&amp;id=urn:contentItem:5YH2-DG81-JB7K-20V5-00000-00&amp;context=1519360" TargetMode="External" /><Relationship Id="rId48" Type="http://schemas.openxmlformats.org/officeDocument/2006/relationships/hyperlink" Target="https://advance.lexis.com/api/document?collection=cases&amp;id=urn:contentItem:5S5S-36X1-JX8W-M4V6-00000-00&amp;context=1519360" TargetMode="External" /><Relationship Id="rId49" Type="http://schemas.openxmlformats.org/officeDocument/2006/relationships/hyperlink" Target="https://advance.lexis.com/api/document?collection=cases&amp;id=urn:contentItem:5MSN-90T1-F04K-M0V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WMW-WG80-TXFX-11XY-00000-00&amp;context=1519360" TargetMode="External" /><Relationship Id="rId51" Type="http://schemas.openxmlformats.org/officeDocument/2006/relationships/hyperlink" Target="https://advance.lexis.com/api/document?collection=cases&amp;id=urn:contentItem:3S4X-7P90-0039-N51W-00000-00&amp;context=1519360" TargetMode="External" /><Relationship Id="rId52" Type="http://schemas.openxmlformats.org/officeDocument/2006/relationships/hyperlink" Target="https://advance.lexis.com/api/document?collection=cases&amp;id=urn:contentItem:3S4X-6H80-0039-N37M-00000-00&amp;context=1519360" TargetMode="External" /><Relationship Id="rId53" Type="http://schemas.openxmlformats.org/officeDocument/2006/relationships/hyperlink" Target="https://advance.lexis.com/api/document?collection=cases&amp;id=urn:contentItem:61CC-H7J1-JSRM-63CT-00000-00&amp;context=1519360" TargetMode="External" /><Relationship Id="rId54" Type="http://schemas.openxmlformats.org/officeDocument/2006/relationships/hyperlink" Target="https://advance.lexis.com/api/document?collection=cases&amp;id=urn:contentItem:5YHP-C6S1-FH4C-X44C-00000-00&amp;context=1519360" TargetMode="External" /><Relationship Id="rId55" Type="http://schemas.openxmlformats.org/officeDocument/2006/relationships/hyperlink" Target="https://advance.lexis.com/api/document?collection=cases&amp;id=urn:contentItem:5M2K-W4R1-F04K-M03P-00000-00&amp;context=1519360" TargetMode="External" /><Relationship Id="rId56" Type="http://schemas.openxmlformats.org/officeDocument/2006/relationships/hyperlink" Target="https://advance.lexis.com/api/document?collection=cases&amp;id=urn:contentItem:5JB0-G4M1-F04K-M183-00000-00&amp;context=1519360" TargetMode="External" /><Relationship Id="rId57" Type="http://schemas.openxmlformats.org/officeDocument/2006/relationships/hyperlink" Target="https://advance.lexis.com/api/document?collection=cases&amp;id=urn:contentItem:58HV-CKD1-F04K-M349-00000-00&amp;context=1519360" TargetMode="External" /><Relationship Id="rId58" Type="http://schemas.openxmlformats.org/officeDocument/2006/relationships/hyperlink" Target="https://advance.lexis.com/api/document?collection=cases&amp;id=urn:contentItem:5G8V-B561-F04K-M018-00000-00&amp;context=1519360" TargetMode="External" /><Relationship Id="rId59" Type="http://schemas.openxmlformats.org/officeDocument/2006/relationships/hyperlink" Target="https://advance.lexis.com/api/document?collection=cases&amp;id=urn:contentItem:45VD-W3P0-0038-X2V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VFY-G3H1-FH4C-X4F7-00000-00&amp;context=1519360" TargetMode="External" /><Relationship Id="rId61" Type="http://schemas.openxmlformats.org/officeDocument/2006/relationships/hyperlink" Target="https://advance.lexis.com/api/document?collection=cases&amp;id=urn:contentItem:5N1X-97Y1-F04K-M040-00000-00&amp;context=1519360" TargetMode="External" /><Relationship Id="rId62" Type="http://schemas.openxmlformats.org/officeDocument/2006/relationships/hyperlink" Target="https://advance.lexis.com/api/document?collection=cases&amp;id=urn:contentItem:5P16-C1F1-F04K-M23P-00000-00&amp;context=1519360" TargetMode="External" /><Relationship Id="rId63" Type="http://schemas.openxmlformats.org/officeDocument/2006/relationships/hyperlink" Target="https://advance.lexis.com/api/document?collection=cases&amp;id=urn:contentItem:58P9-P3X1-F04K-M000-00000-00&amp;context=1519360" TargetMode="External" /><Relationship Id="rId64" Type="http://schemas.openxmlformats.org/officeDocument/2006/relationships/hyperlink" Target="https://advance.lexis.com/api/document?collection=cases&amp;id=urn:contentItem:5K5N-8NX1-F04K-M0MJ-00000-00&amp;context=1519360" TargetMode="External" /><Relationship Id="rId65" Type="http://schemas.openxmlformats.org/officeDocument/2006/relationships/hyperlink" Target="https://advance.lexis.com/api/document?collection=cases&amp;id=urn:contentItem:65NB-9YX1-FBV7-B38W-00000-00&amp;context=1519360" TargetMode="External" /><Relationship Id="rId66" Type="http://schemas.openxmlformats.org/officeDocument/2006/relationships/hyperlink" Target="https://advance.lexis.com/api/document?collection=cases&amp;id=urn:contentItem:5XF5-XX51-JXNB-633W-00000-00&amp;context=1519360" TargetMode="External" /><Relationship Id="rId67" Type="http://schemas.openxmlformats.org/officeDocument/2006/relationships/hyperlink" Target="https://advance.lexis.com/api/document?collection=cases&amp;id=urn:contentItem:5SKG-HHG1-JT42-S0NB-00000-00&amp;context=1519360" TargetMode="External" /><Relationship Id="rId68" Type="http://schemas.openxmlformats.org/officeDocument/2006/relationships/hyperlink" Target="https://advance.lexis.com/api/document?collection=cases&amp;id=urn:contentItem:5FGW-9211-F04K-M0G0-00000-00&amp;context=1519360" TargetMode="External" /><Relationship Id="rId69" Type="http://schemas.openxmlformats.org/officeDocument/2006/relationships/hyperlink" Target="https://advance.lexis.com/api/document?collection=cases&amp;id=urn:contentItem:4PHP-P820-TXFX-61XP-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J5V-YR70-0038-X38D-00000-00&amp;context=1519360" TargetMode="External" /><Relationship Id="rId71" Type="http://schemas.openxmlformats.org/officeDocument/2006/relationships/hyperlink" Target="https://advance.lexis.com/api/document?collection=cases&amp;id=urn:contentItem:4CJ6-P500-0038-X23V-00000-00&amp;context=1519360" TargetMode="External" /><Relationship Id="rId72" Type="http://schemas.openxmlformats.org/officeDocument/2006/relationships/hyperlink" Target="https://advance.lexis.com/api/document?collection=cases&amp;id=urn:contentItem:3S4X-9VW0-001B-K4W7-00000-00&amp;context=1519360" TargetMode="External" /><Relationship Id="rId73" Type="http://schemas.openxmlformats.org/officeDocument/2006/relationships/hyperlink" Target="https://advance.lexis.com/api/document?collection=cases&amp;id=urn:contentItem:65SB-4BR1-F1WF-M03T-00000-00&amp;context=1519360" TargetMode="External" /><Relationship Id="rId74" Type="http://schemas.openxmlformats.org/officeDocument/2006/relationships/hyperlink" Target="https://advance.lexis.com/api/document?collection=cases&amp;id=urn:contentItem:578F-DWC1-F04K-M2M3-00000-00&amp;context=1519360" TargetMode="External" /><Relationship Id="rId75" Type="http://schemas.openxmlformats.org/officeDocument/2006/relationships/hyperlink" Target="https://advance.lexis.com/api/document?collection=cases&amp;id=urn:contentItem:4NM5-XWV0-004C-002K-00000-00&amp;context=1519360" TargetMode="External" /><Relationship Id="rId76" Type="http://schemas.openxmlformats.org/officeDocument/2006/relationships/hyperlink" Target="https://advance.lexis.com/api/document?collection=cases&amp;id=urn:contentItem:6609-9H11-JWR6-S05D-00000-00&amp;context=1519360" TargetMode="External" /><Relationship Id="rId77" Type="http://schemas.openxmlformats.org/officeDocument/2006/relationships/hyperlink" Target="https://advance.lexis.com/api/document?collection=cases&amp;id=urn:contentItem:56D9-P121-F04K-R15B-00000-00&amp;context=1519360" TargetMode="External" /><Relationship Id="rId78" Type="http://schemas.openxmlformats.org/officeDocument/2006/relationships/hyperlink" Target="https://advance.lexis.com/api/document?collection=statutes-legislation&amp;id=urn:contentItem:8T9R-T3H2-D6RV-H37G-00000-00&amp;context=1519360" TargetMode="External" /><Relationship Id="rId79" Type="http://schemas.openxmlformats.org/officeDocument/2006/relationships/hyperlink" Target="https://advance.lexis.com/api/document?collection=cases&amp;id=urn:contentItem:3S4X-87Y0-003B-S1R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4KT0-0039-W0RT-00000-00&amp;context=1519360" TargetMode="External" /><Relationship Id="rId81" Type="http://schemas.openxmlformats.org/officeDocument/2006/relationships/hyperlink" Target="https://advance.lexis.com/api/document?collection=cases&amp;id=urn:contentItem:620F-W201-JGPY-X2XN-00000-00&amp;context=1519360" TargetMode="External" /><Relationship Id="rId82" Type="http://schemas.openxmlformats.org/officeDocument/2006/relationships/hyperlink" Target="https://advance.lexis.com/api/document?collection=cases&amp;id=urn:contentItem:3S4P-0780-0039-S27F-00000-00&amp;context=1519360" TargetMode="External" /><Relationship Id="rId83" Type="http://schemas.openxmlformats.org/officeDocument/2006/relationships/hyperlink" Target="https://advance.lexis.com/api/document?collection=cases&amp;id=urn:contentItem:5CM0-P2W1-F04D-F0N9-00000-00&amp;context=1519360" TargetMode="External" /><Relationship Id="rId84" Type="http://schemas.openxmlformats.org/officeDocument/2006/relationships/hyperlink" Target="https://advance.lexis.com/api/document?collection=cases&amp;id=urn:contentItem:423J-0V80-0038-X3YX-00000-00&amp;context=1519360" TargetMode="External" /><Relationship Id="rId85" Type="http://schemas.openxmlformats.org/officeDocument/2006/relationships/hyperlink" Target="https://advance.lexis.com/api/document?collection=cases&amp;id=urn:contentItem:559V-47R1-F04K-F2T9-00000-00&amp;context=1519360"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hyperlink" Target="https://advance.lexis.com/api/document?collection=cases&amp;id=urn:contentItem:67JB-C2J1-JFDC-X2K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FT-00000-00&amp;context=1519360" TargetMode="External" /><Relationship Id="rId2" Type="http://schemas.openxmlformats.org/officeDocument/2006/relationships/hyperlink" Target="https://advance.lexis.com/api/document?collection=cases&amp;id=urn:contentItem:3YB9-P0J0-0038-X2M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Roberts v. Wexford Health Sources, Inc., 2023 U.S. Dist. LEXIS 23850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urn:user:PA186186283</vt:lpwstr>
  </property>
</Properties>
</file>