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Barrido v. Wawanesa Gen. Ins. Co.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Superior Court of California, County of Riverside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CVSW2107334</w:t>
      </w:r>
    </w:p>
    <w:p>
      <w:pPr>
        <w:keepNext w:val="0"/>
        <w:spacing w:after="0" w:line="240" w:lineRule="atLeast"/>
        <w:ind w:right="0"/>
        <w:jc w:val="both"/>
      </w:pPr>
      <w:bookmarkStart w:id="0" w:name="Bookmark_6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Cal. Super. LEXIS 69209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BARRIDO v. WAWANESA GENERAL INSURANCE COMPANY</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driver, endorsement, cause of action, coverage, argues, renewal policy, admits, insurance bad faith, terms of the policy, breach of contract, punitive damages, persuasive, purported, excludes, insured, Unfair, verbal, renew, terms</w:t>
      </w:r>
    </w:p>
    <w:p>
      <w:pPr>
        <w:keepNext w:val="0"/>
        <w:spacing w:before="240" w:after="0" w:line="260" w:lineRule="atLeast"/>
        <w:ind w:left="0" w:right="0" w:firstLine="0"/>
        <w:jc w:val="left"/>
      </w:pPr>
      <w:bookmarkStart w:id="3" w:name="Judges"/>
      <w:bookmarkEnd w:id="3"/>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Honorable Raquel A. Marquez, Judge.</w:t>
      </w:r>
    </w:p>
    <w:p>
      <w:pPr>
        <w:keepNext w:val="0"/>
        <w:spacing w:before="240" w:after="0" w:line="260" w:lineRule="atLeast"/>
        <w:ind w:left="0" w:right="0" w:firstLine="0"/>
        <w:jc w:val="left"/>
      </w:pPr>
      <w:bookmarkStart w:id="4" w:name="Opinion by"/>
      <w:bookmarkEnd w:id="4"/>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Raquel A. Marquez</w:t>
      </w:r>
    </w:p>
    <w:p>
      <w:pPr>
        <w:keepNext/>
        <w:spacing w:before="240" w:after="0" w:line="340" w:lineRule="atLeast"/>
        <w:ind w:left="0" w:right="0" w:firstLine="0"/>
        <w:jc w:val="left"/>
      </w:pPr>
      <w:bookmarkStart w:id="5" w:name="Opinion"/>
      <w:bookmarkEnd w:id="5"/>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6" w:name="Bookmark_para_1"/>
      <w:bookmarkEnd w:id="6"/>
      <w:r>
        <w:rPr>
          <w:rFonts w:ascii="arial" w:eastAsia="arial" w:hAnsi="arial" w:cs="arial"/>
          <w:b w:val="0"/>
          <w:i w:val="0"/>
          <w:strike w:val="0"/>
          <w:noProof w:val="0"/>
          <w:color w:val="000000"/>
          <w:position w:val="0"/>
          <w:sz w:val="20"/>
          <w:u w:val="none"/>
          <w:vertAlign w:val="baseline"/>
        </w:rPr>
        <w:t>A. Alvarado, Courtroom Assistant</w:t>
      </w:r>
    </w:p>
    <w:p>
      <w:pPr>
        <w:keepNext w:val="0"/>
        <w:spacing w:before="200" w:after="0" w:line="260" w:lineRule="atLeast"/>
        <w:ind w:left="0" w:right="0" w:firstLine="0"/>
        <w:jc w:val="both"/>
      </w:pPr>
      <w:bookmarkStart w:id="7" w:name="Bookmark_para_2"/>
      <w:bookmarkEnd w:id="7"/>
      <w:r>
        <w:rPr>
          <w:rFonts w:ascii="arial" w:eastAsia="arial" w:hAnsi="arial" w:cs="arial"/>
          <w:b/>
          <w:i w:val="0"/>
          <w:strike w:val="0"/>
          <w:noProof w:val="0"/>
          <w:color w:val="000000"/>
          <w:position w:val="0"/>
          <w:sz w:val="20"/>
          <w:u w:val="none"/>
          <w:vertAlign w:val="baseline"/>
        </w:rPr>
        <w:t>APPEARANCES:</w:t>
      </w:r>
    </w:p>
    <w:p>
      <w:pPr>
        <w:keepNext w:val="0"/>
        <w:spacing w:before="200" w:after="0" w:line="260" w:lineRule="atLeast"/>
        <w:ind w:left="0" w:right="0" w:firstLine="0"/>
        <w:jc w:val="both"/>
      </w:pPr>
      <w:bookmarkStart w:id="8" w:name="Bookmark_para_3"/>
      <w:bookmarkEnd w:id="8"/>
      <w:r>
        <w:rPr>
          <w:rFonts w:ascii="arial" w:eastAsia="arial" w:hAnsi="arial" w:cs="arial"/>
          <w:b w:val="0"/>
          <w:i w:val="0"/>
          <w:strike w:val="0"/>
          <w:noProof w:val="0"/>
          <w:color w:val="000000"/>
          <w:position w:val="0"/>
          <w:sz w:val="20"/>
          <w:u w:val="none"/>
          <w:vertAlign w:val="baseline"/>
        </w:rPr>
        <w:t>BARRIDO, EDITHA [PLA] represented by Elvin Tabah via Zoom.</w:t>
      </w:r>
    </w:p>
    <w:p>
      <w:pPr>
        <w:keepNext w:val="0"/>
        <w:spacing w:before="200" w:after="0" w:line="260" w:lineRule="atLeast"/>
        <w:ind w:left="0" w:right="0" w:firstLine="0"/>
        <w:jc w:val="both"/>
      </w:pPr>
      <w:bookmarkStart w:id="9" w:name="Bookmark_para_4"/>
      <w:bookmarkEnd w:id="9"/>
      <w:r>
        <w:rPr>
          <w:rFonts w:ascii="arial" w:eastAsia="arial" w:hAnsi="arial" w:cs="arial"/>
          <w:b w:val="0"/>
          <w:i w:val="0"/>
          <w:strike w:val="0"/>
          <w:noProof w:val="0"/>
          <w:color w:val="000000"/>
          <w:position w:val="0"/>
          <w:sz w:val="20"/>
          <w:u w:val="none"/>
          <w:vertAlign w:val="baseline"/>
        </w:rPr>
        <w:t>WAWANESA GENERAL INSURANCE COMPANY [DEF] represented by Andrea Warren via Zoom.</w:t>
      </w:r>
    </w:p>
    <w:p>
      <w:pPr>
        <w:keepNext w:val="0"/>
        <w:spacing w:before="200" w:after="0" w:line="260" w:lineRule="atLeast"/>
        <w:ind w:left="0" w:right="0" w:firstLine="0"/>
        <w:jc w:val="both"/>
      </w:pPr>
      <w:bookmarkStart w:id="10" w:name="Bookmark_para_5"/>
      <w:bookmarkEnd w:id="10"/>
      <w:r>
        <w:rPr>
          <w:rFonts w:ascii="arial" w:eastAsia="arial" w:hAnsi="arial" w:cs="arial"/>
          <w:b w:val="0"/>
          <w:i w:val="0"/>
          <w:strike w:val="0"/>
          <w:noProof w:val="0"/>
          <w:color w:val="000000"/>
          <w:position w:val="0"/>
          <w:sz w:val="20"/>
          <w:u w:val="none"/>
          <w:vertAlign w:val="baseline"/>
        </w:rPr>
        <w:t>At 09:07 AM, the following proceedings were held:</w:t>
      </w:r>
    </w:p>
    <w:p>
      <w:pPr>
        <w:keepNext w:val="0"/>
        <w:spacing w:before="200" w:after="0" w:line="260" w:lineRule="atLeast"/>
        <w:ind w:left="0" w:right="0" w:firstLine="0"/>
        <w:jc w:val="both"/>
      </w:pPr>
      <w:bookmarkStart w:id="11" w:name="Bookmark_para_6"/>
      <w:bookmarkEnd w:id="11"/>
      <w:r>
        <w:rPr>
          <w:rFonts w:ascii="arial" w:eastAsia="arial" w:hAnsi="arial" w:cs="arial"/>
          <w:b w:val="0"/>
          <w:i w:val="0"/>
          <w:strike w:val="0"/>
          <w:noProof w:val="0"/>
          <w:color w:val="000000"/>
          <w:position w:val="0"/>
          <w:sz w:val="20"/>
          <w:u w:val="none"/>
          <w:vertAlign w:val="baseline"/>
        </w:rPr>
        <w:t>Court has read and considered documents relating to this matter.</w:t>
      </w:r>
    </w:p>
    <w:p>
      <w:pPr>
        <w:keepNext w:val="0"/>
        <w:spacing w:before="200" w:after="0" w:line="260" w:lineRule="atLeast"/>
        <w:ind w:left="0" w:right="0" w:firstLine="0"/>
        <w:jc w:val="both"/>
      </w:pPr>
      <w:bookmarkStart w:id="12" w:name="Bookmark_para_7"/>
      <w:bookmarkEnd w:id="12"/>
      <w:r>
        <w:rPr>
          <w:rFonts w:ascii="arial" w:eastAsia="arial" w:hAnsi="arial" w:cs="arial"/>
          <w:b w:val="0"/>
          <w:i w:val="0"/>
          <w:strike w:val="0"/>
          <w:noProof w:val="0"/>
          <w:color w:val="000000"/>
          <w:position w:val="0"/>
          <w:sz w:val="20"/>
          <w:u w:val="none"/>
          <w:vertAlign w:val="baseline"/>
        </w:rPr>
        <w:t>Court's tentative ruling is indicated/posted:</w:t>
      </w:r>
    </w:p>
    <w:p>
      <w:pPr>
        <w:keepNext w:val="0"/>
        <w:spacing w:before="200" w:after="0" w:line="260" w:lineRule="atLeast"/>
        <w:ind w:left="0" w:right="0" w:firstLine="0"/>
        <w:jc w:val="both"/>
      </w:pPr>
      <w:bookmarkStart w:id="13" w:name="Bookmark_para_8"/>
      <w:bookmarkEnd w:id="13"/>
      <w:r>
        <w:rPr>
          <w:rFonts w:ascii="arial" w:eastAsia="arial" w:hAnsi="arial" w:cs="arial"/>
          <w:b w:val="0"/>
          <w:i w:val="0"/>
          <w:strike w:val="0"/>
          <w:noProof w:val="0"/>
          <w:color w:val="000000"/>
          <w:position w:val="0"/>
          <w:sz w:val="20"/>
          <w:u w:val="none"/>
          <w:vertAlign w:val="baseline"/>
        </w:rPr>
        <w:t>OVERRULE Plaintiff’s Evidentiary Objection Nos. 5-10. DECLINE to rule on the remaining objections (Nos. 1-4, 11-13, 16-20) – they are not material to the motion. (</w:t>
      </w:r>
      <w:r>
        <w:rPr>
          <w:rFonts w:ascii="arial" w:eastAsia="arial" w:hAnsi="arial" w:cs="arial"/>
          <w:b w:val="0"/>
          <w:i/>
          <w:strike w:val="0"/>
          <w:noProof w:val="0"/>
          <w:color w:val="000000"/>
          <w:position w:val="0"/>
          <w:sz w:val="20"/>
          <w:u w:val="none"/>
          <w:vertAlign w:val="baseline"/>
        </w:rPr>
        <w:t>CCP § 437c(q)</w:t>
      </w:r>
      <w:r>
        <w:rPr>
          <w:rFonts w:ascii="arial" w:eastAsia="arial" w:hAnsi="arial" w:cs="arial"/>
          <w:b w:val="0"/>
          <w:i w:val="0"/>
          <w:strike w:val="0"/>
          <w:noProof w:val="0"/>
          <w:color w:val="000000"/>
          <w:position w:val="0"/>
          <w:sz w:val="20"/>
          <w:u w:val="none"/>
          <w:vertAlign w:val="baseline"/>
        </w:rPr>
        <w:t>.) DECLINE to rule on Wawanesa’s Evidentiary Objections – they, also, are not material to this motion. (</w:t>
      </w:r>
      <w:r>
        <w:rPr>
          <w:rFonts w:ascii="arial" w:eastAsia="arial" w:hAnsi="arial" w:cs="arial"/>
          <w:b w:val="0"/>
          <w:i/>
          <w:strike w:val="0"/>
          <w:noProof w:val="0"/>
          <w:color w:val="000000"/>
          <w:position w:val="0"/>
          <w:sz w:val="20"/>
          <w:u w:val="none"/>
          <w:vertAlign w:val="baseline"/>
        </w:rPr>
        <w:t>CCP § 437c(q)</w:t>
      </w:r>
      <w:r>
        <w:rPr>
          <w:rFonts w:ascii="arial" w:eastAsia="arial" w:hAnsi="arial" w:cs="arial"/>
          <w:b w:val="0"/>
          <w:i w:val="0"/>
          <w:strike w:val="0"/>
          <w:noProof w:val="0"/>
          <w:color w:val="000000"/>
          <w:position w:val="0"/>
          <w:sz w:val="20"/>
          <w:u w:val="none"/>
          <w:vertAlign w:val="baseline"/>
        </w:rPr>
        <w:t>.) GRANT the motion for summary judgment in favor of Wawanesa and against Plaintiff. Defendant to submit a Proposed Judgment Order within 10 Days.</w:t>
      </w:r>
    </w:p>
    <w:p>
      <w:pPr>
        <w:keepNext w:val="0"/>
        <w:spacing w:before="240" w:after="0" w:line="260" w:lineRule="atLeast"/>
        <w:ind w:left="0" w:right="0" w:firstLine="0"/>
        <w:jc w:val="both"/>
      </w:pPr>
      <w:bookmarkStart w:id="14" w:name="Bookmark_para_9"/>
      <w:bookmarkEnd w:id="14"/>
      <w:r>
        <w:rPr>
          <w:rFonts w:ascii="arial" w:eastAsia="arial" w:hAnsi="arial" w:cs="arial"/>
          <w:b w:val="0"/>
          <w:i w:val="0"/>
          <w:strike w:val="0"/>
          <w:noProof w:val="0"/>
          <w:color w:val="000000"/>
          <w:position w:val="0"/>
          <w:sz w:val="20"/>
          <w:u w:val="none"/>
          <w:vertAlign w:val="baseline"/>
        </w:rPr>
        <w:t>The named driver exclusion in the 2021 endorsement was conspicuously presented on an entire page, titled in all capital font, in bold, and advised the insured to read it carefully. (UMF No. 10.) There is also no dispute that Arnelle was an excluded driver in the 2021 policy from its inception. (Id.) Plaintiff admits that she did not read the 2021 policy. (UMF No. 7.) But, having paid the premium,</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Wawanesa persuasively argues that Plaintiff accepted the terms and conditions of the 2021 policy. (UMF No. 8.) Wawanesa argues that the named driver exclusion complies with </w:t>
      </w:r>
      <w:hyperlink r:id="rId9" w:history="1">
        <w:r>
          <w:rPr>
            <w:rFonts w:ascii="arial" w:eastAsia="arial" w:hAnsi="arial" w:cs="arial"/>
            <w:b w:val="0"/>
            <w:i/>
            <w:strike w:val="0"/>
            <w:noProof w:val="0"/>
            <w:color w:val="0077CC"/>
            <w:position w:val="0"/>
            <w:sz w:val="20"/>
            <w:u w:val="single"/>
            <w:vertAlign w:val="baseline"/>
          </w:rPr>
          <w:t>Insurance Code § 11580.1</w:t>
        </w:r>
      </w:hyperlink>
      <w:r>
        <w:rPr>
          <w:rFonts w:ascii="arial" w:eastAsia="arial" w:hAnsi="arial" w:cs="arial"/>
          <w:b w:val="0"/>
          <w:i w:val="0"/>
          <w:strike w:val="0"/>
          <w:noProof w:val="0"/>
          <w:color w:val="000000"/>
          <w:position w:val="0"/>
          <w:sz w:val="20"/>
          <w:u w:val="none"/>
          <w:vertAlign w:val="baseline"/>
        </w:rPr>
        <w:t>, which allows an insurer to exclude coverage for a vehicle being operated by a designated driver either “by the terms of any policy of automobile liability insurance” or “by a separate writing relating thereto.” (</w:t>
      </w:r>
      <w:hyperlink r:id="rId9" w:history="1">
        <w:r>
          <w:rPr>
            <w:rFonts w:ascii="arial" w:eastAsia="arial" w:hAnsi="arial" w:cs="arial"/>
            <w:b w:val="0"/>
            <w:i/>
            <w:strike w:val="0"/>
            <w:noProof w:val="0"/>
            <w:color w:val="0077CC"/>
            <w:position w:val="0"/>
            <w:sz w:val="20"/>
            <w:u w:val="single"/>
            <w:vertAlign w:val="baseline"/>
          </w:rPr>
          <w:t>Ins. Code § 11580.1(d)</w:t>
        </w:r>
      </w:hyperlink>
      <w:r>
        <w:rPr>
          <w:rFonts w:ascii="arial" w:eastAsia="arial" w:hAnsi="arial" w:cs="arial"/>
          <w:b w:val="0"/>
          <w:i w:val="0"/>
          <w:strike w:val="0"/>
          <w:noProof w:val="0"/>
          <w:color w:val="000000"/>
          <w:position w:val="0"/>
          <w:sz w:val="20"/>
          <w:u w:val="none"/>
          <w:vertAlign w:val="baseline"/>
        </w:rPr>
        <w:t>.) Here, the terms of the 2021 policy excluded coverage on Arnelle Barrido, and when the accident occurred during the policy period, Arnelle was not covered.</w:t>
      </w:r>
    </w:p>
    <w:p>
      <w:pPr>
        <w:keepNext w:val="0"/>
        <w:spacing w:before="240" w:after="0" w:line="260" w:lineRule="atLeast"/>
        <w:ind w:left="0" w:right="0" w:firstLine="0"/>
        <w:jc w:val="both"/>
      </w:pPr>
      <w:bookmarkStart w:id="15" w:name="Bookmark_para_10"/>
      <w:bookmarkEnd w:id="15"/>
      <w:r>
        <w:rPr>
          <w:rFonts w:ascii="arial" w:eastAsia="arial" w:hAnsi="arial" w:cs="arial"/>
          <w:b w:val="0"/>
          <w:i w:val="0"/>
          <w:strike w:val="0"/>
          <w:noProof w:val="0"/>
          <w:color w:val="000000"/>
          <w:position w:val="0"/>
          <w:sz w:val="20"/>
          <w:u w:val="none"/>
          <w:vertAlign w:val="baseline"/>
        </w:rPr>
        <w:t xml:space="preserve">2019 Renewal Policy: Plaintiff acknowledges </w:t>
      </w:r>
      <w:hyperlink r:id="rId9" w:history="1">
        <w:r>
          <w:rPr>
            <w:rFonts w:ascii="arial" w:eastAsia="arial" w:hAnsi="arial" w:cs="arial"/>
            <w:b w:val="0"/>
            <w:i/>
            <w:strike w:val="0"/>
            <w:noProof w:val="0"/>
            <w:color w:val="0077CC"/>
            <w:position w:val="0"/>
            <w:sz w:val="20"/>
            <w:u w:val="single"/>
            <w:vertAlign w:val="baseline"/>
          </w:rPr>
          <w:t>Ins. Code § 11580.1</w:t>
        </w:r>
      </w:hyperlink>
      <w:r>
        <w:rPr>
          <w:rFonts w:ascii="arial" w:eastAsia="arial" w:hAnsi="arial" w:cs="arial"/>
          <w:b w:val="0"/>
          <w:i w:val="0"/>
          <w:strike w:val="0"/>
          <w:noProof w:val="0"/>
          <w:color w:val="000000"/>
          <w:position w:val="0"/>
          <w:sz w:val="20"/>
          <w:u w:val="none"/>
          <w:vertAlign w:val="baseline"/>
        </w:rPr>
        <w:t>, but claims that Wawanesa did not comply with it because it obtained Plaintiff’s agreement to the named driver exclusion endorsement verbally. Plaintiff asserts that Wawanesa’s denial letter stated that coverage was denied pursuant to Plaintiff’s verbal exclusion. But, Plaintiff also acknowledges that for purposes of this motion, Wawanesa’s position is that the named driver exclusion endorsement was obtained through issuance of the 2021 renewal policy. Plaintiff argues that since the 2021 policy offered to renew based on “new and different terms” (by excluding Arnelle), it was not a proper renewal policy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under </w:t>
      </w:r>
      <w:hyperlink r:id="rId10" w:history="1">
        <w:r>
          <w:rPr>
            <w:rFonts w:ascii="arial" w:eastAsia="arial" w:hAnsi="arial" w:cs="arial"/>
            <w:b w:val="0"/>
            <w:i/>
            <w:strike w:val="0"/>
            <w:noProof w:val="0"/>
            <w:color w:val="0077CC"/>
            <w:position w:val="0"/>
            <w:sz w:val="20"/>
            <w:u w:val="single"/>
            <w:vertAlign w:val="baseline"/>
          </w:rPr>
          <w:t>Ins. Code § 660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 w:name="Bookmark_para_11"/>
      <w:bookmarkEnd w:id="16"/>
      <w:r>
        <w:rPr>
          <w:rFonts w:ascii="arial" w:eastAsia="arial" w:hAnsi="arial" w:cs="arial"/>
          <w:b w:val="0"/>
          <w:i w:val="0"/>
          <w:strike w:val="0"/>
          <w:noProof w:val="0"/>
          <w:color w:val="000000"/>
          <w:position w:val="0"/>
          <w:sz w:val="20"/>
          <w:u w:val="none"/>
          <w:vertAlign w:val="baseline"/>
        </w:rPr>
        <w:t xml:space="preserve">Wawanesa’s arguments to the contrary are persuasive. First, Wawanesa points out that Plaintiff admits that the plain language in the 2021 policy excludes Arnelle, but then claims the exclusion is not effective because she did not read the policy. However, Plaintiff had a duty to read the policy. Second, Plaintiff claims that the 2021 policy did not comply with </w:t>
      </w:r>
      <w:hyperlink r:id="rId9" w:history="1">
        <w:r>
          <w:rPr>
            <w:rFonts w:ascii="arial" w:eastAsia="arial" w:hAnsi="arial" w:cs="arial"/>
            <w:b w:val="0"/>
            <w:i/>
            <w:strike w:val="0"/>
            <w:noProof w:val="0"/>
            <w:color w:val="0077CC"/>
            <w:position w:val="0"/>
            <w:sz w:val="20"/>
            <w:u w:val="single"/>
            <w:vertAlign w:val="baseline"/>
          </w:rPr>
          <w:t>Ins. Code § 11580.1</w:t>
        </w:r>
      </w:hyperlink>
      <w:r>
        <w:rPr>
          <w:rFonts w:ascii="arial" w:eastAsia="arial" w:hAnsi="arial" w:cs="arial"/>
          <w:b w:val="0"/>
          <w:i w:val="0"/>
          <w:strike w:val="0"/>
          <w:noProof w:val="0"/>
          <w:color w:val="000000"/>
          <w:position w:val="0"/>
          <w:sz w:val="20"/>
          <w:u w:val="none"/>
          <w:vertAlign w:val="baseline"/>
        </w:rPr>
        <w:t xml:space="preserve">, but then acknowledges that Arnelle was excluded by the policy terms, which is permitted under the statute. Wawanesa then points out that Plaintiff relies on a purported violation of </w:t>
      </w:r>
      <w:hyperlink r:id="rId9" w:history="1">
        <w:r>
          <w:rPr>
            <w:rFonts w:ascii="arial" w:eastAsia="arial" w:hAnsi="arial" w:cs="arial"/>
            <w:b w:val="0"/>
            <w:i/>
            <w:strike w:val="0"/>
            <w:noProof w:val="0"/>
            <w:color w:val="0077CC"/>
            <w:position w:val="0"/>
            <w:sz w:val="20"/>
            <w:u w:val="single"/>
            <w:vertAlign w:val="baseline"/>
          </w:rPr>
          <w:t>Ins. Code § 11580.1</w:t>
        </w:r>
      </w:hyperlink>
      <w:r>
        <w:rPr>
          <w:rFonts w:ascii="arial" w:eastAsia="arial" w:hAnsi="arial" w:cs="arial"/>
          <w:b w:val="0"/>
          <w:i w:val="0"/>
          <w:strike w:val="0"/>
          <w:noProof w:val="0"/>
          <w:color w:val="000000"/>
          <w:position w:val="0"/>
          <w:sz w:val="20"/>
          <w:u w:val="none"/>
          <w:vertAlign w:val="baseline"/>
        </w:rPr>
        <w:t xml:space="preserve"> in the 2019 policy that in some way continued to the 2021 policy, but the 2019 policy is not at issue here. Third, Plaintiff admits to receiving the 2021 policy renewal packet that excluded Arnelle as a covered driver, which was not new (it was in the 2020 and 2019 policies), but argues Wawanesa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in a new exclusion. As such, these arguments fail.</w:t>
      </w:r>
    </w:p>
    <w:p>
      <w:pPr>
        <w:keepNext w:val="0"/>
        <w:spacing w:before="200" w:after="0" w:line="260" w:lineRule="atLeast"/>
        <w:ind w:left="0" w:right="0" w:firstLine="0"/>
        <w:jc w:val="both"/>
      </w:pPr>
      <w:bookmarkStart w:id="17" w:name="Bookmark_para_12"/>
      <w:bookmarkEnd w:id="17"/>
      <w:r>
        <w:rPr>
          <w:rFonts w:ascii="arial" w:eastAsia="arial" w:hAnsi="arial" w:cs="arial"/>
          <w:b w:val="0"/>
          <w:i w:val="0"/>
          <w:strike w:val="0"/>
          <w:noProof w:val="0"/>
          <w:color w:val="000000"/>
          <w:position w:val="0"/>
          <w:sz w:val="20"/>
          <w:u w:val="none"/>
          <w:vertAlign w:val="baseline"/>
        </w:rPr>
        <w:t>Declaratory Relief: Based on the evidence discussed above, there is no actual controversy. The accident was not covered since the driver was excluded under the applicable policy. Moreover, there is no ongoing conduct concerning Plaintiff’s claim, which alleges past wrongs – the purported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failure to provide coverage.</w:t>
      </w:r>
    </w:p>
    <w:p>
      <w:pPr>
        <w:keepNext w:val="0"/>
        <w:spacing w:before="200" w:after="0" w:line="260" w:lineRule="atLeast"/>
        <w:ind w:left="0" w:right="0" w:firstLine="0"/>
        <w:jc w:val="both"/>
      </w:pPr>
      <w:bookmarkStart w:id="18" w:name="Bookmark_para_13"/>
      <w:bookmarkEnd w:id="18"/>
      <w:r>
        <w:rPr>
          <w:rFonts w:ascii="arial" w:eastAsia="arial" w:hAnsi="arial" w:cs="arial"/>
          <w:b w:val="0"/>
          <w:i w:val="0"/>
          <w:strike w:val="0"/>
          <w:noProof w:val="0"/>
          <w:color w:val="000000"/>
          <w:position w:val="0"/>
          <w:sz w:val="20"/>
          <w:u w:val="none"/>
          <w:vertAlign w:val="baseline"/>
        </w:rPr>
        <w:t>Breach of Contract: Based on the named driver exclusion endorsement in the 2021 policy, the contract does not cover the accident that occurred on 4/15/21.</w:t>
      </w:r>
    </w:p>
    <w:p>
      <w:pPr>
        <w:keepNext w:val="0"/>
        <w:spacing w:before="200" w:after="0" w:line="260" w:lineRule="atLeast"/>
        <w:ind w:left="0" w:right="0" w:firstLine="0"/>
        <w:jc w:val="both"/>
      </w:pPr>
      <w:bookmarkStart w:id="19" w:name="Bookmark_para_14"/>
      <w:bookmarkEnd w:id="19"/>
      <w:r>
        <w:rPr>
          <w:rFonts w:ascii="arial" w:eastAsia="arial" w:hAnsi="arial" w:cs="arial"/>
          <w:b w:val="0"/>
          <w:i w:val="0"/>
          <w:strike w:val="0"/>
          <w:noProof w:val="0"/>
          <w:color w:val="000000"/>
          <w:position w:val="0"/>
          <w:sz w:val="20"/>
          <w:u w:val="none"/>
          <w:vertAlign w:val="baseline"/>
        </w:rPr>
        <w:t>Insurance Bad Faith: Since the breach of contract cause of action fails, so does the insurance bad faith claim. Plaintiff has not established that she was wrongfully denied any of the policy benefits provided under the 2021 policy, which includes the named driver exclusion endorsement.</w:t>
      </w:r>
    </w:p>
    <w:p>
      <w:pPr>
        <w:keepNext w:val="0"/>
        <w:spacing w:before="200" w:after="0" w:line="260" w:lineRule="atLeast"/>
        <w:ind w:left="0" w:right="0" w:firstLine="0"/>
        <w:jc w:val="both"/>
      </w:pPr>
      <w:bookmarkStart w:id="20" w:name="Bookmark_para_15"/>
      <w:bookmarkEnd w:id="20"/>
      <w:r>
        <w:rPr>
          <w:rFonts w:ascii="arial" w:eastAsia="arial" w:hAnsi="arial" w:cs="arial"/>
          <w:b w:val="0"/>
          <w:i w:val="0"/>
          <w:strike w:val="0"/>
          <w:noProof w:val="0"/>
          <w:color w:val="000000"/>
          <w:position w:val="0"/>
          <w:sz w:val="20"/>
          <w:u w:val="none"/>
          <w:vertAlign w:val="baseline"/>
        </w:rPr>
        <w:t>Unfair Business Practices: Since all causes of action fail, this cause of action has nothing to borrow from. Moreover, no evidence has been provided showing that Wawanesa engaged in any unlawful, unfair, or fraudulent conduct.</w:t>
      </w:r>
    </w:p>
    <w:p>
      <w:pPr>
        <w:keepNext w:val="0"/>
        <w:spacing w:before="200" w:after="0" w:line="260" w:lineRule="atLeast"/>
        <w:ind w:left="0" w:right="0" w:firstLine="0"/>
        <w:jc w:val="both"/>
      </w:pPr>
      <w:bookmarkStart w:id="21" w:name="Bookmark_para_16"/>
      <w:bookmarkEnd w:id="21"/>
      <w:r>
        <w:rPr>
          <w:rFonts w:ascii="arial" w:eastAsia="arial" w:hAnsi="arial" w:cs="arial"/>
          <w:b w:val="0"/>
          <w:i w:val="0"/>
          <w:strike w:val="0"/>
          <w:noProof w:val="0"/>
          <w:color w:val="000000"/>
          <w:position w:val="0"/>
          <w:sz w:val="20"/>
          <w:u w:val="none"/>
          <w:vertAlign w:val="baseline"/>
        </w:rPr>
        <w:t>Punitive Damages: Since all causes of action fail, there is no basis for punitive damages.</w:t>
      </w:r>
    </w:p>
    <w:p>
      <w:pPr>
        <w:keepNext w:val="0"/>
        <w:spacing w:before="200" w:after="0" w:line="260" w:lineRule="atLeast"/>
        <w:ind w:left="0" w:right="0" w:firstLine="0"/>
        <w:jc w:val="both"/>
      </w:pPr>
      <w:bookmarkStart w:id="22" w:name="Bookmark_para_17"/>
      <w:bookmarkEnd w:id="22"/>
      <w:r>
        <w:rPr>
          <w:rFonts w:ascii="arial" w:eastAsia="arial" w:hAnsi="arial" w:cs="arial"/>
          <w:b w:val="0"/>
          <w:i w:val="0"/>
          <w:strike w:val="0"/>
          <w:noProof w:val="0"/>
          <w:color w:val="000000"/>
          <w:position w:val="0"/>
          <w:sz w:val="20"/>
          <w:u w:val="none"/>
          <w:vertAlign w:val="baseline"/>
        </w:rPr>
        <w:t>There is request for oral argument.</w:t>
      </w:r>
    </w:p>
    <w:p>
      <w:pPr>
        <w:keepNext w:val="0"/>
        <w:spacing w:before="200" w:after="0" w:line="260" w:lineRule="atLeast"/>
        <w:ind w:left="0" w:right="0" w:firstLine="0"/>
        <w:jc w:val="both"/>
      </w:pPr>
      <w:bookmarkStart w:id="23" w:name="Bookmark_para_18"/>
      <w:bookmarkEnd w:id="23"/>
      <w:r>
        <w:rPr>
          <w:rFonts w:ascii="arial" w:eastAsia="arial" w:hAnsi="arial" w:cs="arial"/>
          <w:b w:val="0"/>
          <w:i w:val="0"/>
          <w:strike w:val="0"/>
          <w:noProof w:val="0"/>
          <w:color w:val="000000"/>
          <w:position w:val="0"/>
          <w:sz w:val="20"/>
          <w:u w:val="none"/>
          <w:vertAlign w:val="baseline"/>
        </w:rPr>
        <w:t>Argument presented by both sides.</w:t>
      </w:r>
    </w:p>
    <w:p>
      <w:pPr>
        <w:keepNext w:val="0"/>
        <w:spacing w:before="200" w:after="0" w:line="260" w:lineRule="atLeast"/>
        <w:ind w:left="0" w:right="0" w:firstLine="0"/>
        <w:jc w:val="both"/>
      </w:pPr>
      <w:bookmarkStart w:id="24" w:name="Bookmark_para_19"/>
      <w:bookmarkEnd w:id="24"/>
      <w:r>
        <w:rPr>
          <w:rFonts w:ascii="arial" w:eastAsia="arial" w:hAnsi="arial" w:cs="arial"/>
          <w:b w:val="0"/>
          <w:i w:val="0"/>
          <w:strike w:val="0"/>
          <w:noProof w:val="0"/>
          <w:color w:val="000000"/>
          <w:position w:val="0"/>
          <w:sz w:val="20"/>
          <w:u w:val="none"/>
          <w:vertAlign w:val="baseline"/>
        </w:rPr>
        <w:t>Matter taken under submission.</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Barrido v. Wawanesa Gen. Ins. Co., 2023 Cal. Super. LEXIS 69209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8MT8-RV62-D6RV-H2YC-00000-00&amp;context=1519360"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98C-65M1-DXHD-G08D-00000-00&amp;context=1519360" TargetMode="External" /><Relationship Id="rId9" Type="http://schemas.openxmlformats.org/officeDocument/2006/relationships/hyperlink" Target="https://advance.lexis.com/api/document?collection=statutes-legislation&amp;id=urn:contentItem:8MTY-F7G2-8T6X-732K-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Barrido v. Wawanesa Gen. Ins. Co., 2023 Cal. Super. LEXIS 69209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61</vt:lpwstr>
  </property>
  <property fmtid="{D5CDD505-2E9C-101B-9397-08002B2CF9AE}" pid="3" name="LADocCount">
    <vt:lpwstr>1</vt:lpwstr>
  </property>
  <property fmtid="{D5CDD505-2E9C-101B-9397-08002B2CF9AE}" pid="4" name="LADocumentID:61">
    <vt:lpwstr>Doc::urn:hlct:5|contextualFeaturePermID::1519360</vt:lpwstr>
  </property>
  <property fmtid="{D5CDD505-2E9C-101B-9397-08002B2CF9AE}" pid="5" name="UserPermID">
    <vt:lpwstr>urn:user:PA186186283</vt:lpwstr>
  </property>
</Properties>
</file>