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Cannata v. Pistro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Florida, Panama City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Decided; July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5:23cv14/MCR/MAL</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204714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7554067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ROSETTA VALERIE CANNATA, Petitioner, v. WARDEN KEVIN PISTRO,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Writ of habeas corpus dismissed </w:t>
      </w:r>
      <w:hyperlink r:id="rId10" w:history="1">
        <w:r>
          <w:rPr>
            <w:rFonts w:ascii="arial" w:eastAsia="arial" w:hAnsi="arial" w:cs="arial"/>
            <w:b w:val="0"/>
            <w:i/>
            <w:strike w:val="0"/>
            <w:noProof w:val="0"/>
            <w:color w:val="0077CC"/>
            <w:position w:val="0"/>
            <w:sz w:val="20"/>
            <w:u w:val="single"/>
            <w:vertAlign w:val="baseline"/>
          </w:rPr>
          <w:t>Cannata v. Pistro, 2023 U.S. Dist. LEXIS 203224, 2023 WL 7554023 (N.D. Fla., Nov. 14,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confinement, challenges, sentence, instant motion, controlled substance, conspiracy, dispense, asserts, damages, prison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ROSETTA V CANNATA, Petitioner, Pro se, SARASOTA,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KEVIN PISTRO, WARDEN, Respondent: LENNARD B REGISTER, III, US ATTORNEY - PENSACOLA FL, NORTHERN DISTRICT OF FLORIDA, PENSACOLA,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Midori A. Lowry,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Midori A. Lowry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Petitioner Rosetta V. Cannata commenced this action by filing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for Writ of Habeas Corpus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challenging her conviction in the U.S. District Court for the Middle District of Florida. ECF No. 1. Respondent filed a "Response in Opposition to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Mischaracterized as a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and Misfiled in the District of Confinement." ECF No. 8. Petitioner did not file a reply, although she filed a notice of change of address reflecting her placement on home confinement. ECF No. 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In 2017, a jury in the U.S. District Court for the Middle District of Florida Case 8:15cr264/SDM/AAS-2 found Petitioner guilty of conspiracy to distribute and dispense controlled substances, four counts of sale, distribution or dispensing of controlled substances, and one count of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 alien into the United States. M.D. Fla. Case 8:15cr264 ECF No. 229. She was sentenced to a term of 151 months'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imprisonment. The Eleventh Circuit affirmed on November 8,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M.D. Fla. Case 8:15cr264 ECF No. 288. In May of 2020, Petitioner filed a motion in the district of her conviction challenging her conviction and sentence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M.D. Fla. Case 8:20cv1216-SDM-AAS. That motion remains pending.</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In January of 2023, Petitioner filed the instant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in this Court, which at the time was the district of her confinement.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She raises two grounds for relief. </w:t>
      </w:r>
      <w:bookmarkStart w:id="12" w:name="Bookmark_I69P8NPH2D6NXJ0020000400"/>
      <w:bookmarkEnd w:id="12"/>
      <w:r>
        <w:rPr>
          <w:rFonts w:ascii="arial" w:eastAsia="arial" w:hAnsi="arial" w:cs="arial"/>
          <w:b w:val="0"/>
          <w:i w:val="0"/>
          <w:strike w:val="0"/>
          <w:noProof w:val="0"/>
          <w:color w:val="000000"/>
          <w:position w:val="0"/>
          <w:sz w:val="20"/>
          <w:u w:val="none"/>
          <w:vertAlign w:val="baseline"/>
        </w:rPr>
        <w:t xml:space="preserve">First, she claims her federal prosecution in the Middle District of Florida violated the </w:t>
      </w:r>
      <w:hyperlink r:id="rId13" w:history="1">
        <w:r>
          <w:rPr>
            <w:rFonts w:ascii="arial" w:eastAsia="arial" w:hAnsi="arial" w:cs="arial"/>
            <w:b w:val="0"/>
            <w:i/>
            <w:strike w:val="0"/>
            <w:noProof w:val="0"/>
            <w:color w:val="0077CC"/>
            <w:position w:val="0"/>
            <w:sz w:val="20"/>
            <w:u w:val="single"/>
            <w:vertAlign w:val="baseline"/>
          </w:rPr>
          <w:t>Tenth Amendment</w:t>
        </w:r>
      </w:hyperlink>
      <w:r>
        <w:rPr>
          <w:rFonts w:ascii="arial" w:eastAsia="arial" w:hAnsi="arial" w:cs="arial"/>
          <w:b w:val="0"/>
          <w:i w:val="0"/>
          <w:strike w:val="0"/>
          <w:noProof w:val="0"/>
          <w:color w:val="000000"/>
          <w:position w:val="0"/>
          <w:sz w:val="20"/>
          <w:u w:val="none"/>
          <w:vertAlign w:val="baseline"/>
        </w:rPr>
        <w:t xml:space="preserve"> to the extent the federal government interfered with the states' exclusive police powers over the regulation of medical licenses. ECF No. 1-1 at 4-8. Second, she asserts the facts and law do not support her § 841(a)(1) convictions under the Supreme Court's decision in </w:t>
      </w:r>
      <w:bookmarkStart w:id="13" w:name="Bookmark_I69P8NPH2D6NXJ0010000400"/>
      <w:bookmarkEnd w:id="13"/>
      <w:hyperlink r:id="rId14" w:history="1">
        <w:r>
          <w:rPr>
            <w:rFonts w:ascii="arial" w:eastAsia="arial" w:hAnsi="arial" w:cs="arial"/>
            <w:b w:val="0"/>
            <w:i/>
            <w:strike w:val="0"/>
            <w:noProof w:val="0"/>
            <w:color w:val="0077CC"/>
            <w:position w:val="0"/>
            <w:sz w:val="20"/>
            <w:u w:val="single"/>
            <w:vertAlign w:val="baseline"/>
          </w:rPr>
          <w:t>Ruan v. United States</w:t>
        </w:r>
      </w:hyperlink>
      <w:hyperlink r:id="rId14" w:history="1">
        <w:r>
          <w:rPr>
            <w:rFonts w:ascii="arial" w:eastAsia="arial" w:hAnsi="arial" w:cs="arial"/>
            <w:b w:val="0"/>
            <w:i/>
            <w:strike w:val="0"/>
            <w:noProof w:val="0"/>
            <w:color w:val="0077CC"/>
            <w:position w:val="0"/>
            <w:sz w:val="20"/>
            <w:u w:val="single"/>
            <w:vertAlign w:val="baseline"/>
          </w:rPr>
          <w:t xml:space="preserve"> 142 S. Ct. 2370, 213 L. Ed. 2d 706 (2022)</w:t>
        </w:r>
      </w:hyperlink>
      <w:r>
        <w:rPr>
          <w:rFonts w:ascii="arial" w:eastAsia="arial" w:hAnsi="arial" w:cs="arial"/>
          <w:b w:val="0"/>
          <w:i w:val="0"/>
          <w:strike w:val="0"/>
          <w:noProof w:val="0"/>
          <w:color w:val="000000"/>
          <w:position w:val="0"/>
          <w:sz w:val="20"/>
          <w:u w:val="none"/>
          <w:vertAlign w:val="baseline"/>
        </w:rPr>
        <w:t>. ECF No. 1-1 at 9. On the petition form, Petitioner also mentions a request for "punitive damages for health damages due to the BOP's negligence in care and due to an illegal incarceration" without any additional explanatory background. ECF No. 1 at 5.</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As the title to the Warden's response to the petition indicates, he seeks dismissal of the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Respondent notes Petitioner has not exhausted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 administrative remedies as to any of her claims. ECF No. 8 at 7-10. More significantly, he asserts Petitioner's claims have been brought in the wrong court under the wrong statute. Respondent is correct.</w:t>
      </w:r>
    </w:p>
    <w:p>
      <w:pPr>
        <w:keepNext w:val="0"/>
        <w:spacing w:before="240" w:after="0" w:line="260" w:lineRule="atLeast"/>
        <w:ind w:left="0" w:right="0" w:firstLine="0"/>
        <w:jc w:val="both"/>
      </w:pPr>
      <w:bookmarkStart w:id="15" w:name="Bookmark_para_5"/>
      <w:bookmarkEnd w:id="15"/>
      <w:bookmarkStart w:id="16" w:name="Bookmark_I69P8NPH2D6NXJ0040000400"/>
      <w:bookmarkEnd w:id="16"/>
      <w:r>
        <w:rPr>
          <w:rFonts w:ascii="arial" w:eastAsia="arial" w:hAnsi="arial" w:cs="arial"/>
          <w:b w:val="0"/>
          <w:i w:val="0"/>
          <w:strike w:val="0"/>
          <w:noProof w:val="0"/>
          <w:color w:val="000000"/>
          <w:position w:val="0"/>
          <w:sz w:val="20"/>
          <w:u w:val="none"/>
          <w:vertAlign w:val="baseline"/>
        </w:rPr>
        <w:t xml:space="preserve">The continuation or execution of an initially valid confinement is generally the sole issue in a ' 2241 action. </w:t>
      </w:r>
      <w:bookmarkStart w:id="17" w:name="Bookmark_I69P8NPJ2D6NXW0030000400"/>
      <w:bookmarkEnd w:id="17"/>
      <w:r>
        <w:rPr>
          <w:rFonts w:ascii="arial" w:eastAsia="arial" w:hAnsi="arial" w:cs="arial"/>
          <w:b w:val="0"/>
          <w:i/>
          <w:strike w:val="0"/>
          <w:noProof w:val="0"/>
          <w:color w:val="000000"/>
          <w:position w:val="0"/>
          <w:sz w:val="20"/>
          <w:u w:val="none"/>
          <w:vertAlign w:val="baseline"/>
        </w:rPr>
        <w:t xml:space="preserve">See </w:t>
      </w:r>
      <w:bookmarkStart w:id="18" w:name="Bookmark_I69P8NPH2D6NXJ0030000400"/>
      <w:bookmarkEnd w:id="18"/>
      <w:hyperlink r:id="rId15" w:history="1">
        <w:r>
          <w:rPr>
            <w:rFonts w:ascii="arial" w:eastAsia="arial" w:hAnsi="arial" w:cs="arial"/>
            <w:b w:val="0"/>
            <w:i/>
            <w:strike w:val="0"/>
            <w:noProof w:val="0"/>
            <w:color w:val="0077CC"/>
            <w:position w:val="0"/>
            <w:sz w:val="20"/>
            <w:u w:val="single"/>
            <w:vertAlign w:val="baseline"/>
          </w:rPr>
          <w:t>Thomas v. Crosby</w:t>
        </w:r>
      </w:hyperlink>
      <w:hyperlink r:id="rId15" w:history="1">
        <w:r>
          <w:rPr>
            <w:rFonts w:ascii="arial" w:eastAsia="arial" w:hAnsi="arial" w:cs="arial"/>
            <w:b w:val="0"/>
            <w:i/>
            <w:strike w:val="0"/>
            <w:noProof w:val="0"/>
            <w:color w:val="0077CC"/>
            <w:position w:val="0"/>
            <w:sz w:val="20"/>
            <w:u w:val="single"/>
            <w:vertAlign w:val="baseline"/>
          </w:rPr>
          <w:t>, 371 F.3d 782, 810 (11th Cir. 2004)</w:t>
        </w:r>
      </w:hyperlink>
      <w:r>
        <w:rPr>
          <w:rFonts w:ascii="arial" w:eastAsia="arial" w:hAnsi="arial" w:cs="arial"/>
          <w:b w:val="0"/>
          <w:i w:val="0"/>
          <w:strike w:val="0"/>
          <w:noProof w:val="0"/>
          <w:color w:val="000000"/>
          <w:position w:val="0"/>
          <w:sz w:val="20"/>
          <w:u w:val="none"/>
          <w:vertAlign w:val="baseline"/>
        </w:rPr>
        <w:t xml:space="preserve"> (citing </w:t>
      </w:r>
      <w:bookmarkStart w:id="19" w:name="Bookmark_I69P8NPH2D6NXJ0050000400"/>
      <w:bookmarkEnd w:id="19"/>
      <w:hyperlink r:id="rId16" w:history="1">
        <w:r>
          <w:rPr>
            <w:rFonts w:ascii="arial" w:eastAsia="arial" w:hAnsi="arial" w:cs="arial"/>
            <w:b w:val="0"/>
            <w:i/>
            <w:strike w:val="0"/>
            <w:noProof w:val="0"/>
            <w:color w:val="0077CC"/>
            <w:position w:val="0"/>
            <w:sz w:val="20"/>
            <w:u w:val="single"/>
            <w:vertAlign w:val="baseline"/>
          </w:rPr>
          <w:t>McIntosh v. United States Parole Comm</w:t>
        </w:r>
      </w:hyperlink>
      <w:hyperlink r:id="rId16" w:history="1">
        <w:r>
          <w:rPr>
            <w:rFonts w:ascii="arial" w:eastAsia="arial" w:hAnsi="arial" w:cs="arial"/>
            <w:b w:val="0"/>
            <w:i/>
            <w:strike w:val="0"/>
            <w:noProof w:val="0"/>
            <w:color w:val="0077CC"/>
            <w:position w:val="0"/>
            <w:sz w:val="20"/>
            <w:u w:val="single"/>
            <w:vertAlign w:val="baseline"/>
          </w:rPr>
          <w:t>=</w:t>
        </w:r>
      </w:hyperlink>
      <w:hyperlink r:id="rId16" w:history="1">
        <w:r>
          <w:rPr>
            <w:rFonts w:ascii="arial" w:eastAsia="arial" w:hAnsi="arial" w:cs="arial"/>
            <w:b w:val="0"/>
            <w:i/>
            <w:strike w:val="0"/>
            <w:noProof w:val="0"/>
            <w:color w:val="0077CC"/>
            <w:position w:val="0"/>
            <w:sz w:val="20"/>
            <w:u w:val="single"/>
            <w:vertAlign w:val="baseline"/>
          </w:rPr>
          <w:t>n</w:t>
        </w:r>
      </w:hyperlink>
      <w:hyperlink r:id="rId16" w:history="1">
        <w:r>
          <w:rPr>
            <w:rFonts w:ascii="arial" w:eastAsia="arial" w:hAnsi="arial" w:cs="arial"/>
            <w:b w:val="0"/>
            <w:i/>
            <w:strike w:val="0"/>
            <w:noProof w:val="0"/>
            <w:color w:val="0077CC"/>
            <w:position w:val="0"/>
            <w:sz w:val="20"/>
            <w:u w:val="single"/>
            <w:vertAlign w:val="baseline"/>
          </w:rPr>
          <w:t>, 115 F.3d 809, 811 (10th Cir. 1997)</w:t>
        </w:r>
      </w:hyperlink>
      <w:r>
        <w:rPr>
          <w:rFonts w:ascii="arial" w:eastAsia="arial" w:hAnsi="arial" w:cs="arial"/>
          <w:b w:val="0"/>
          <w:i w:val="0"/>
          <w:strike w:val="0"/>
          <w:noProof w:val="0"/>
          <w:color w:val="000000"/>
          <w:position w:val="0"/>
          <w:sz w:val="20"/>
          <w:u w:val="none"/>
          <w:vertAlign w:val="baseline"/>
        </w:rPr>
        <w:t xml:space="preserve">); </w:t>
      </w:r>
      <w:bookmarkStart w:id="20" w:name="Bookmark_I69P8NPH2N1RPY0020000400"/>
      <w:bookmarkEnd w:id="20"/>
      <w:hyperlink r:id="rId17" w:history="1">
        <w:r>
          <w:rPr>
            <w:rFonts w:ascii="arial" w:eastAsia="arial" w:hAnsi="arial" w:cs="arial"/>
            <w:b w:val="0"/>
            <w:i/>
            <w:strike w:val="0"/>
            <w:noProof w:val="0"/>
            <w:color w:val="0077CC"/>
            <w:position w:val="0"/>
            <w:sz w:val="20"/>
            <w:u w:val="single"/>
            <w:vertAlign w:val="baseline"/>
          </w:rPr>
          <w:t>Broussard v. Lippman</w:t>
        </w:r>
      </w:hyperlink>
      <w:hyperlink r:id="rId17" w:history="1">
        <w:r>
          <w:rPr>
            <w:rFonts w:ascii="arial" w:eastAsia="arial" w:hAnsi="arial" w:cs="arial"/>
            <w:b w:val="0"/>
            <w:i/>
            <w:strike w:val="0"/>
            <w:noProof w:val="0"/>
            <w:color w:val="0077CC"/>
            <w:position w:val="0"/>
            <w:sz w:val="20"/>
            <w:u w:val="single"/>
            <w:vertAlign w:val="baseline"/>
          </w:rPr>
          <w:t>, 643 F.2d 1131 (5th Cir. 1981)</w:t>
        </w:r>
      </w:hyperlink>
      <w:r>
        <w:rPr>
          <w:rFonts w:ascii="arial" w:eastAsia="arial" w:hAnsi="arial" w:cs="arial"/>
          <w:b w:val="0"/>
          <w:i w:val="0"/>
          <w:strike w:val="0"/>
          <w:noProof w:val="0"/>
          <w:color w:val="000000"/>
          <w:position w:val="0"/>
          <w:sz w:val="20"/>
          <w:u w:val="none"/>
          <w:vertAlign w:val="baseline"/>
        </w:rPr>
        <w:t xml:space="preserve">; </w:t>
      </w:r>
      <w:bookmarkStart w:id="21" w:name="Bookmark_I69P8NPH2N1RPY0040000400"/>
      <w:bookmarkEnd w:id="21"/>
      <w:hyperlink r:id="rId18" w:history="1">
        <w:r>
          <w:rPr>
            <w:rFonts w:ascii="arial" w:eastAsia="arial" w:hAnsi="arial" w:cs="arial"/>
            <w:b w:val="0"/>
            <w:i/>
            <w:strike w:val="0"/>
            <w:noProof w:val="0"/>
            <w:color w:val="0077CC"/>
            <w:position w:val="0"/>
            <w:sz w:val="20"/>
            <w:u w:val="single"/>
            <w:vertAlign w:val="baseline"/>
          </w:rPr>
          <w:t>United States v. Jordan</w:t>
        </w:r>
      </w:hyperlink>
      <w:hyperlink r:id="rId18" w:history="1">
        <w:r>
          <w:rPr>
            <w:rFonts w:ascii="arial" w:eastAsia="arial" w:hAnsi="arial" w:cs="arial"/>
            <w:b w:val="0"/>
            <w:i/>
            <w:strike w:val="0"/>
            <w:noProof w:val="0"/>
            <w:color w:val="0077CC"/>
            <w:position w:val="0"/>
            <w:sz w:val="20"/>
            <w:u w:val="single"/>
            <w:vertAlign w:val="baseline"/>
          </w:rPr>
          <w:t>, 915 F.2d 622, 629 (11th Cir. 1990)</w:t>
        </w:r>
      </w:hyperlink>
      <w:r>
        <w:rPr>
          <w:rFonts w:ascii="arial" w:eastAsia="arial" w:hAnsi="arial" w:cs="arial"/>
          <w:b w:val="0"/>
          <w:i w:val="0"/>
          <w:strike w:val="0"/>
          <w:noProof w:val="0"/>
          <w:color w:val="000000"/>
          <w:position w:val="0"/>
          <w:sz w:val="20"/>
          <w:u w:val="none"/>
          <w:vertAlign w:val="baseline"/>
        </w:rPr>
        <w:t xml:space="preserve">; </w:t>
      </w:r>
      <w:bookmarkStart w:id="22" w:name="Bookmark_I69P8NPJ28T4C20010000400"/>
      <w:bookmarkEnd w:id="22"/>
      <w:hyperlink r:id="rId19" w:history="1">
        <w:r>
          <w:rPr>
            <w:rFonts w:ascii="arial" w:eastAsia="arial" w:hAnsi="arial" w:cs="arial"/>
            <w:b w:val="0"/>
            <w:i/>
            <w:strike w:val="0"/>
            <w:noProof w:val="0"/>
            <w:color w:val="0077CC"/>
            <w:position w:val="0"/>
            <w:sz w:val="20"/>
            <w:u w:val="single"/>
            <w:vertAlign w:val="baseline"/>
          </w:rPr>
          <w:t>Antonelli v. Warden, U.S.P. Atlanta</w:t>
        </w:r>
      </w:hyperlink>
      <w:hyperlink r:id="rId19" w:history="1">
        <w:r>
          <w:rPr>
            <w:rFonts w:ascii="arial" w:eastAsia="arial" w:hAnsi="arial" w:cs="arial"/>
            <w:b w:val="0"/>
            <w:i/>
            <w:strike w:val="0"/>
            <w:noProof w:val="0"/>
            <w:color w:val="0077CC"/>
            <w:position w:val="0"/>
            <w:sz w:val="20"/>
            <w:u w:val="single"/>
            <w:vertAlign w:val="baseline"/>
          </w:rPr>
          <w:t>, 542 F.3d 1348, 1351B52 (11th Cir. 2008)</w:t>
        </w:r>
      </w:hyperlink>
      <w:r>
        <w:rPr>
          <w:rFonts w:ascii="arial" w:eastAsia="arial" w:hAnsi="arial" w:cs="arial"/>
          <w:b w:val="0"/>
          <w:i w:val="0"/>
          <w:strike w:val="0"/>
          <w:noProof w:val="0"/>
          <w:color w:val="000000"/>
          <w:position w:val="0"/>
          <w:sz w:val="20"/>
          <w:u w:val="none"/>
          <w:vertAlign w:val="baseline"/>
        </w:rPr>
        <w:t xml:space="preserve">; </w:t>
      </w:r>
      <w:bookmarkStart w:id="23" w:name="Bookmark_I69P8NPJ28T4C20030000400"/>
      <w:bookmarkEnd w:id="23"/>
      <w:hyperlink r:id="rId20" w:history="1">
        <w:r>
          <w:rPr>
            <w:rFonts w:ascii="arial" w:eastAsia="arial" w:hAnsi="arial" w:cs="arial"/>
            <w:b w:val="0"/>
            <w:i/>
            <w:strike w:val="0"/>
            <w:noProof w:val="0"/>
            <w:color w:val="0077CC"/>
            <w:position w:val="0"/>
            <w:sz w:val="20"/>
            <w:u w:val="single"/>
            <w:vertAlign w:val="baseline"/>
          </w:rPr>
          <w:t>Bishop v. Reno</w:t>
        </w:r>
      </w:hyperlink>
      <w:hyperlink r:id="rId20" w:history="1">
        <w:r>
          <w:rPr>
            <w:rFonts w:ascii="arial" w:eastAsia="arial" w:hAnsi="arial" w:cs="arial"/>
            <w:b w:val="0"/>
            <w:i/>
            <w:strike w:val="0"/>
            <w:noProof w:val="0"/>
            <w:color w:val="0077CC"/>
            <w:position w:val="0"/>
            <w:sz w:val="20"/>
            <w:u w:val="single"/>
            <w:vertAlign w:val="baseline"/>
          </w:rPr>
          <w:t>, 210 F.3d 1295, 1304 (11th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 w:name="Bookmark_I69P8NPJ28T4C20050000400"/>
      <w:bookmarkEnd w:id="24"/>
      <w:hyperlink r:id="rId21" w:history="1">
        <w:r>
          <w:rPr>
            <w:rFonts w:ascii="arial" w:eastAsia="arial" w:hAnsi="arial" w:cs="arial"/>
            <w:b w:val="0"/>
            <w:i/>
            <w:strike w:val="0"/>
            <w:noProof w:val="0"/>
            <w:color w:val="0077CC"/>
            <w:position w:val="0"/>
            <w:sz w:val="20"/>
            <w:u w:val="single"/>
            <w:vertAlign w:val="baseline"/>
          </w:rPr>
          <w:t>Chambers v. United States</w:t>
        </w:r>
      </w:hyperlink>
      <w:hyperlink r:id="rId21" w:history="1">
        <w:r>
          <w:rPr>
            <w:rFonts w:ascii="arial" w:eastAsia="arial" w:hAnsi="arial" w:cs="arial"/>
            <w:b w:val="0"/>
            <w:i/>
            <w:strike w:val="0"/>
            <w:noProof w:val="0"/>
            <w:color w:val="0077CC"/>
            <w:position w:val="0"/>
            <w:sz w:val="20"/>
            <w:u w:val="single"/>
            <w:vertAlign w:val="baseline"/>
          </w:rPr>
          <w:t>, 106 F.3d 472, 474B75 (2nd Cir.1997)</w:t>
        </w:r>
      </w:hyperlink>
      <w:r>
        <w:rPr>
          <w:rFonts w:ascii="arial" w:eastAsia="arial" w:hAnsi="arial" w:cs="arial"/>
          <w:b w:val="0"/>
          <w:i w:val="0"/>
          <w:strike w:val="0"/>
          <w:noProof w:val="0"/>
          <w:color w:val="000000"/>
          <w:position w:val="0"/>
          <w:sz w:val="20"/>
          <w:u w:val="none"/>
          <w:vertAlign w:val="baseline"/>
        </w:rPr>
        <w:t xml:space="preserve"> (noting that ' 2241 allows challenges to the execution, rather than imposition of, a sentence and articulating instances where a federal prisoner may properly file a ' 2241 petition). Title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provides an avenue for challenges to matters such as the administration of parole, prison disciplinary actions, prison transfers, and type of detention. </w:t>
      </w:r>
      <w:bookmarkStart w:id="25" w:name="Bookmark_I69P8NPJ2D6NXW0030000400_2"/>
      <w:bookmarkEnd w:id="25"/>
      <w:bookmarkStart w:id="26" w:name="Bookmark_I69P8NPJ2D6NXW0050000400"/>
      <w:bookmarkEnd w:id="26"/>
      <w:r>
        <w:rPr>
          <w:rFonts w:ascii="arial" w:eastAsia="arial" w:hAnsi="arial" w:cs="arial"/>
          <w:b w:val="0"/>
          <w:i/>
          <w:strike w:val="0"/>
          <w:noProof w:val="0"/>
          <w:color w:val="000000"/>
          <w:position w:val="0"/>
          <w:sz w:val="20"/>
          <w:u w:val="none"/>
          <w:vertAlign w:val="baseline"/>
        </w:rPr>
        <w:t xml:space="preserve">See </w:t>
      </w:r>
      <w:bookmarkStart w:id="27" w:name="Bookmark_I69P8NPJ2D6NXW0020000400"/>
      <w:bookmarkEnd w:id="27"/>
      <w:hyperlink r:id="rId22" w:history="1">
        <w:r>
          <w:rPr>
            <w:rFonts w:ascii="arial" w:eastAsia="arial" w:hAnsi="arial" w:cs="arial"/>
            <w:b w:val="0"/>
            <w:i/>
            <w:strike w:val="0"/>
            <w:noProof w:val="0"/>
            <w:color w:val="0077CC"/>
            <w:position w:val="0"/>
            <w:sz w:val="20"/>
            <w:u w:val="single"/>
            <w:vertAlign w:val="baseline"/>
          </w:rPr>
          <w:t>Thompson v. Choinski</w:t>
        </w:r>
      </w:hyperlink>
      <w:hyperlink r:id="rId22" w:history="1">
        <w:r>
          <w:rPr>
            <w:rFonts w:ascii="arial" w:eastAsia="arial" w:hAnsi="arial" w:cs="arial"/>
            <w:b w:val="0"/>
            <w:i/>
            <w:strike w:val="0"/>
            <w:noProof w:val="0"/>
            <w:color w:val="0077CC"/>
            <w:position w:val="0"/>
            <w:sz w:val="20"/>
            <w:u w:val="single"/>
            <w:vertAlign w:val="baseline"/>
          </w:rPr>
          <w:t>, 525 F.3d 205, 209 (2nd Cir. 2008)</w:t>
        </w:r>
      </w:hyperlink>
      <w:r>
        <w:rPr>
          <w:rFonts w:ascii="arial" w:eastAsia="arial" w:hAnsi="arial" w:cs="arial"/>
          <w:b w:val="0"/>
          <w:i w:val="0"/>
          <w:strike w:val="0"/>
          <w:noProof w:val="0"/>
          <w:color w:val="000000"/>
          <w:position w:val="0"/>
          <w:sz w:val="20"/>
          <w:u w:val="none"/>
          <w:vertAlign w:val="baseline"/>
        </w:rPr>
        <w:t xml:space="preserve">. </w:t>
      </w:r>
      <w:bookmarkStart w:id="28" w:name="Bookmark_I69P8NPJ2D6NXW0050000400_2"/>
      <w:bookmarkEnd w:id="28"/>
      <w:r>
        <w:rPr>
          <w:rFonts w:ascii="arial" w:eastAsia="arial" w:hAnsi="arial" w:cs="arial"/>
          <w:b w:val="0"/>
          <w:i w:val="0"/>
          <w:strike w:val="0"/>
          <w:noProof w:val="0"/>
          <w:color w:val="000000"/>
          <w:position w:val="0"/>
          <w:sz w:val="20"/>
          <w:u w:val="none"/>
          <w:vertAlign w:val="baseline"/>
        </w:rPr>
        <w:t xml:space="preserve">A collateral attack on the validity of a federal conviction and sentence, is more properly brought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in the district of conviction. </w:t>
      </w:r>
      <w:bookmarkStart w:id="29" w:name="Bookmark_I69P8NPJ2D6NXW0040000400"/>
      <w:bookmarkEnd w:id="29"/>
      <w:hyperlink r:id="rId19" w:history="1">
        <w:r>
          <w:rPr>
            <w:rFonts w:ascii="arial" w:eastAsia="arial" w:hAnsi="arial" w:cs="arial"/>
            <w:b w:val="0"/>
            <w:i/>
            <w:strike w:val="0"/>
            <w:noProof w:val="0"/>
            <w:color w:val="0077CC"/>
            <w:position w:val="0"/>
            <w:sz w:val="20"/>
            <w:u w:val="single"/>
            <w:vertAlign w:val="baseline"/>
          </w:rPr>
          <w:t>Antonelli</w:t>
        </w:r>
      </w:hyperlink>
      <w:hyperlink r:id="rId19" w:history="1">
        <w:r>
          <w:rPr>
            <w:rFonts w:ascii="arial" w:eastAsia="arial" w:hAnsi="arial" w:cs="arial"/>
            <w:b w:val="0"/>
            <w:i/>
            <w:strike w:val="0"/>
            <w:noProof w:val="0"/>
            <w:color w:val="0077CC"/>
            <w:position w:val="0"/>
            <w:sz w:val="20"/>
            <w:u w:val="single"/>
            <w:vertAlign w:val="baseline"/>
          </w:rPr>
          <w:t>, 542 F.3d at 1351</w:t>
        </w:r>
      </w:hyperlink>
      <w:r>
        <w:rPr>
          <w:rFonts w:ascii="arial" w:eastAsia="arial" w:hAnsi="arial" w:cs="arial"/>
          <w:b w:val="0"/>
          <w:i w:val="0"/>
          <w:strike w:val="0"/>
          <w:noProof w:val="0"/>
          <w:color w:val="000000"/>
          <w:position w:val="0"/>
          <w:sz w:val="20"/>
          <w:u w:val="none"/>
          <w:vertAlign w:val="baseline"/>
        </w:rPr>
        <w:t xml:space="preserve">; </w:t>
      </w:r>
      <w:bookmarkStart w:id="30" w:name="Bookmark_I69P8NPK2SF82J0010000400"/>
      <w:bookmarkEnd w:id="30"/>
      <w:hyperlink r:id="rId18" w:history="1">
        <w:r>
          <w:rPr>
            <w:rFonts w:ascii="arial" w:eastAsia="arial" w:hAnsi="arial" w:cs="arial"/>
            <w:b w:val="0"/>
            <w:i/>
            <w:strike w:val="0"/>
            <w:noProof w:val="0"/>
            <w:color w:val="0077CC"/>
            <w:position w:val="0"/>
            <w:sz w:val="20"/>
            <w:u w:val="single"/>
            <w:vertAlign w:val="baseline"/>
          </w:rPr>
          <w:t>Jordan</w:t>
        </w:r>
      </w:hyperlink>
      <w:hyperlink r:id="rId18" w:history="1">
        <w:r>
          <w:rPr>
            <w:rFonts w:ascii="arial" w:eastAsia="arial" w:hAnsi="arial" w:cs="arial"/>
            <w:b w:val="0"/>
            <w:i/>
            <w:strike w:val="0"/>
            <w:noProof w:val="0"/>
            <w:color w:val="0077CC"/>
            <w:position w:val="0"/>
            <w:sz w:val="20"/>
            <w:u w:val="single"/>
            <w:vertAlign w:val="baseline"/>
          </w:rPr>
          <w:t>, 915 F.2d at 629</w:t>
        </w:r>
      </w:hyperlink>
      <w:r>
        <w:rPr>
          <w:rFonts w:ascii="arial" w:eastAsia="arial" w:hAnsi="arial" w:cs="arial"/>
          <w:b w:val="0"/>
          <w:i w:val="0"/>
          <w:strike w:val="0"/>
          <w:noProof w:val="0"/>
          <w:color w:val="000000"/>
          <w:position w:val="0"/>
          <w:sz w:val="20"/>
          <w:u w:val="none"/>
          <w:vertAlign w:val="baseline"/>
        </w:rPr>
        <w:t xml:space="preserve">; </w:t>
      </w:r>
      <w:bookmarkStart w:id="31" w:name="Bookmark_I69P8NPK2SF82J0030000400"/>
      <w:bookmarkEnd w:id="31"/>
      <w:hyperlink r:id="rId23" w:history="1">
        <w:r>
          <w:rPr>
            <w:rFonts w:ascii="arial" w:eastAsia="arial" w:hAnsi="arial" w:cs="arial"/>
            <w:b w:val="0"/>
            <w:i/>
            <w:strike w:val="0"/>
            <w:noProof w:val="0"/>
            <w:color w:val="0077CC"/>
            <w:position w:val="0"/>
            <w:sz w:val="20"/>
            <w:u w:val="single"/>
            <w:vertAlign w:val="baseline"/>
          </w:rPr>
          <w:t>McGhee v. Hanberry</w:t>
        </w:r>
      </w:hyperlink>
      <w:hyperlink r:id="rId23" w:history="1">
        <w:r>
          <w:rPr>
            <w:rFonts w:ascii="arial" w:eastAsia="arial" w:hAnsi="arial" w:cs="arial"/>
            <w:b w:val="0"/>
            <w:i/>
            <w:strike w:val="0"/>
            <w:noProof w:val="0"/>
            <w:color w:val="0077CC"/>
            <w:position w:val="0"/>
            <w:sz w:val="20"/>
            <w:u w:val="single"/>
            <w:vertAlign w:val="baseline"/>
          </w:rPr>
          <w:t>, 604 F.2d 9, 10 (5th Cir. 1979)</w:t>
        </w:r>
      </w:hyperlink>
      <w:r>
        <w:rPr>
          <w:rFonts w:ascii="arial" w:eastAsia="arial" w:hAnsi="arial" w:cs="arial"/>
          <w:b w:val="0"/>
          <w:i w:val="0"/>
          <w:strike w:val="0"/>
          <w:noProof w:val="0"/>
          <w:color w:val="000000"/>
          <w:position w:val="0"/>
          <w:sz w:val="20"/>
          <w:u w:val="none"/>
          <w:vertAlign w:val="baseline"/>
        </w:rPr>
        <w:t xml:space="preserve">; </w:t>
      </w:r>
      <w:bookmarkStart w:id="32" w:name="Bookmark_I69P8NPK2SF82J0050000400"/>
      <w:bookmarkEnd w:id="32"/>
      <w:hyperlink r:id="rId24" w:history="1">
        <w:r>
          <w:rPr>
            <w:rFonts w:ascii="arial" w:eastAsia="arial" w:hAnsi="arial" w:cs="arial"/>
            <w:b w:val="0"/>
            <w:i/>
            <w:strike w:val="0"/>
            <w:noProof w:val="0"/>
            <w:color w:val="0077CC"/>
            <w:position w:val="0"/>
            <w:sz w:val="20"/>
            <w:u w:val="single"/>
            <w:vertAlign w:val="baseline"/>
          </w:rPr>
          <w:t>Hajduk v. United States</w:t>
        </w:r>
      </w:hyperlink>
      <w:hyperlink r:id="rId24" w:history="1">
        <w:r>
          <w:rPr>
            <w:rFonts w:ascii="arial" w:eastAsia="arial" w:hAnsi="arial" w:cs="arial"/>
            <w:b w:val="0"/>
            <w:i/>
            <w:strike w:val="0"/>
            <w:noProof w:val="0"/>
            <w:color w:val="0077CC"/>
            <w:position w:val="0"/>
            <w:sz w:val="20"/>
            <w:u w:val="single"/>
            <w:vertAlign w:val="baseline"/>
          </w:rPr>
          <w:t>, 764 F.2d 795 (11th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6"/>
      <w:bookmarkEnd w:id="33"/>
      <w:r>
        <w:rPr>
          <w:rFonts w:ascii="arial" w:eastAsia="arial" w:hAnsi="arial" w:cs="arial"/>
          <w:b w:val="0"/>
          <w:i w:val="0"/>
          <w:strike w:val="0"/>
          <w:noProof w:val="0"/>
          <w:color w:val="000000"/>
          <w:position w:val="0"/>
          <w:sz w:val="20"/>
          <w:u w:val="none"/>
          <w:vertAlign w:val="baseline"/>
        </w:rPr>
        <w:t xml:space="preserve">Respondent notes in his response that Petitioner has not moved to amend her pending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in the Middle District to include the claims raised in the instant motion. ECF No. 8 at 4. However, in June of 2023, after this case became ripe for review, Petitioner filed an "Addendum to 2255 Motion to Vacate Case under </w:t>
      </w:r>
      <w:r>
        <w:rPr>
          <w:rFonts w:ascii="arial" w:eastAsia="arial" w:hAnsi="arial" w:cs="arial"/>
          <w:b w:val="0"/>
          <w:i/>
          <w:strike w:val="0"/>
          <w:noProof w:val="0"/>
          <w:color w:val="000000"/>
          <w:position w:val="0"/>
          <w:sz w:val="20"/>
          <w:u w:val="none"/>
          <w:vertAlign w:val="baseline"/>
        </w:rPr>
        <w:t>Ruan v. USA</w:t>
      </w:r>
      <w:r>
        <w:rPr>
          <w:rFonts w:ascii="arial" w:eastAsia="arial" w:hAnsi="arial" w:cs="arial"/>
          <w:b w:val="0"/>
          <w:i w:val="0"/>
          <w:strike w:val="0"/>
          <w:noProof w:val="0"/>
          <w:color w:val="000000"/>
          <w:position w:val="0"/>
          <w:sz w:val="20"/>
          <w:u w:val="none"/>
          <w:vertAlign w:val="baseline"/>
        </w:rPr>
        <w:t>," which includes both claims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raised in the instant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M.D. Fla. Case 8:20cv1216, ECF No. 17. Irrespective of Petitioner's Addendum, I would find the instant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motion is due to be dismissed because it was not properly brought under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in accordance with the law set forth above.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Accordingly, it is respectfully RECOMMENDED:</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 xml:space="preserve">1. Petitioner's petition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without prejudice.</w:t>
      </w:r>
    </w:p>
    <w:p>
      <w:pPr>
        <w:keepNext w:val="0"/>
        <w:spacing w:before="200" w:after="0" w:line="260" w:lineRule="atLeast"/>
        <w:ind w:left="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2. The clerk be directed to close the case file.</w:t>
      </w:r>
    </w:p>
    <w:p>
      <w:pPr>
        <w:keepNext w:val="0"/>
        <w:spacing w:before="200" w:after="0" w:line="260" w:lineRule="atLeast"/>
        <w:ind w:left="0" w:right="0" w:firstLine="0"/>
        <w:jc w:val="both"/>
      </w:pPr>
      <w:bookmarkStart w:id="42" w:name="Bookmark_para_10"/>
      <w:bookmarkEnd w:id="42"/>
      <w:r>
        <w:rPr>
          <w:rFonts w:ascii="arial" w:eastAsia="arial" w:hAnsi="arial" w:cs="arial"/>
          <w:b w:val="0"/>
          <w:i w:val="0"/>
          <w:strike w:val="0"/>
          <w:noProof w:val="0"/>
          <w:color w:val="000000"/>
          <w:position w:val="0"/>
          <w:sz w:val="20"/>
          <w:u w:val="none"/>
          <w:vertAlign w:val="baseline"/>
        </w:rPr>
        <w:t>At Gainesville, Florida on July 17, 2023.</w:t>
      </w:r>
    </w:p>
    <w:p>
      <w:pPr>
        <w:keepNext w:val="0"/>
        <w:spacing w:before="200" w:after="0" w:line="260" w:lineRule="atLeast"/>
        <w:ind w:left="0" w:right="0" w:firstLine="0"/>
        <w:jc w:val="both"/>
      </w:pPr>
      <w:bookmarkStart w:id="43" w:name="Bookmark_para_11"/>
      <w:bookmarkEnd w:id="43"/>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Midori A. Lowry</w:t>
      </w:r>
    </w:p>
    <w:p>
      <w:pPr>
        <w:keepNext w:val="0"/>
        <w:spacing w:before="200" w:after="0" w:line="260" w:lineRule="atLeast"/>
        <w:ind w:left="0" w:right="0" w:firstLine="0"/>
        <w:jc w:val="both"/>
      </w:pPr>
      <w:bookmarkStart w:id="44" w:name="Bookmark_para_12"/>
      <w:bookmarkEnd w:id="44"/>
      <w:r>
        <w:rPr>
          <w:rFonts w:ascii="arial" w:eastAsia="arial" w:hAnsi="arial" w:cs="arial"/>
          <w:b w:val="0"/>
          <w:i w:val="0"/>
          <w:strike w:val="0"/>
          <w:noProof w:val="0"/>
          <w:color w:val="000000"/>
          <w:position w:val="0"/>
          <w:sz w:val="20"/>
          <w:u w:val="none"/>
          <w:vertAlign w:val="baseline"/>
        </w:rPr>
        <w:t>Midori A. Lowry</w:t>
      </w:r>
    </w:p>
    <w:p>
      <w:pPr>
        <w:keepNext w:val="0"/>
        <w:spacing w:before="200" w:after="0" w:line="260" w:lineRule="atLeast"/>
        <w:ind w:left="0" w:right="0" w:firstLine="0"/>
        <w:jc w:val="both"/>
      </w:pPr>
      <w:bookmarkStart w:id="45" w:name="Bookmark_para_13"/>
      <w:bookmarkEnd w:id="4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Petitioner is now serving the remainder of her sentence on home confinement in Sarasota, Florida. ECF No. 9.</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4" w:name="Bookmark_fnpara_2"/>
      <w:bookmarkEnd w:id="34"/>
      <w:bookmarkStart w:id="35" w:name="Bookmark_I69P8NPK2HM6MD0030000400"/>
      <w:bookmarkEnd w:id="35"/>
      <w:bookmarkStart w:id="36" w:name="Bookmark_I69P8NPK2HM6MD0050000400"/>
      <w:bookmarkEnd w:id="36"/>
      <w:r>
        <w:rPr>
          <w:rFonts w:ascii="arial" w:eastAsia="arial" w:hAnsi="arial" w:cs="arial"/>
          <w:b w:val="0"/>
          <w:i w:val="0"/>
          <w:strike w:val="0"/>
          <w:noProof w:val="0"/>
          <w:color w:val="000000"/>
          <w:position w:val="0"/>
          <w:sz w:val="18"/>
          <w:u w:val="none"/>
          <w:vertAlign w:val="baseline"/>
        </w:rPr>
        <w:t xml:space="preserve">To the extent Petitioner's mention of "health damages due to the BOP's negligence" is an attempt to state an independent claim, such a claim does not sound in habeas and also requires administrative exhaustion. </w:t>
      </w:r>
      <w:r>
        <w:rPr>
          <w:rFonts w:ascii="arial" w:eastAsia="arial" w:hAnsi="arial" w:cs="arial"/>
          <w:b w:val="0"/>
          <w:i/>
          <w:strike w:val="0"/>
          <w:noProof w:val="0"/>
          <w:color w:val="000000"/>
          <w:position w:val="0"/>
          <w:sz w:val="18"/>
          <w:u w:val="none"/>
          <w:vertAlign w:val="baseline"/>
        </w:rPr>
        <w:t xml:space="preserve">See </w:t>
      </w:r>
      <w:bookmarkStart w:id="37" w:name="Bookmark_I69P8NPK2HM6MD0020000400"/>
      <w:bookmarkEnd w:id="37"/>
      <w:hyperlink r:id="rId1" w:history="1">
        <w:r>
          <w:rPr>
            <w:rFonts w:ascii="arial" w:eastAsia="arial" w:hAnsi="arial" w:cs="arial"/>
            <w:b w:val="0"/>
            <w:i/>
            <w:strike w:val="0"/>
            <w:noProof w:val="0"/>
            <w:color w:val="0077CC"/>
            <w:position w:val="0"/>
            <w:sz w:val="18"/>
            <w:u w:val="single"/>
            <w:vertAlign w:val="baseline"/>
          </w:rPr>
          <w:t>Alexander v. Hawk</w:t>
        </w:r>
      </w:hyperlink>
      <w:hyperlink r:id="rId1" w:history="1">
        <w:r>
          <w:rPr>
            <w:rFonts w:ascii="arial" w:eastAsia="arial" w:hAnsi="arial" w:cs="arial"/>
            <w:b w:val="0"/>
            <w:i/>
            <w:strike w:val="0"/>
            <w:noProof w:val="0"/>
            <w:color w:val="0077CC"/>
            <w:position w:val="0"/>
            <w:sz w:val="18"/>
            <w:u w:val="single"/>
            <w:vertAlign w:val="baseline"/>
          </w:rPr>
          <w:t>, 159 F. 3d 1321, 1324-25 (11th Cir. 1998)</w:t>
        </w:r>
      </w:hyperlink>
      <w:r>
        <w:rPr>
          <w:rFonts w:ascii="arial" w:eastAsia="arial" w:hAnsi="arial" w:cs="arial"/>
          <w:b w:val="0"/>
          <w:i w:val="0"/>
          <w:strike w:val="0"/>
          <w:noProof w:val="0"/>
          <w:color w:val="000000"/>
          <w:position w:val="0"/>
          <w:sz w:val="18"/>
          <w:u w:val="none"/>
          <w:vertAlign w:val="baseline"/>
        </w:rPr>
        <w:t xml:space="preserve">. Furthermore, Petitioner cannot recover damages for an allegedly unconstitutional incarceration unless "the conviction or sentence has been reversed on direct appeal, expunged by executive order, declared invalid by state tribunal authorized to make such determination, or called into question by federal court's issuance of a writ of habeas corpus." </w:t>
      </w:r>
      <w:r>
        <w:rPr>
          <w:rFonts w:ascii="arial" w:eastAsia="arial" w:hAnsi="arial" w:cs="arial"/>
          <w:b w:val="0"/>
          <w:i/>
          <w:strike w:val="0"/>
          <w:noProof w:val="0"/>
          <w:color w:val="000000"/>
          <w:position w:val="0"/>
          <w:sz w:val="18"/>
          <w:u w:val="none"/>
          <w:vertAlign w:val="baseline"/>
        </w:rPr>
        <w:t xml:space="preserve">See </w:t>
      </w:r>
      <w:bookmarkStart w:id="38" w:name="Bookmark_I69P8NPK2HM6MD0040000400"/>
      <w:bookmarkEnd w:id="38"/>
      <w:hyperlink r:id="rId2" w:history="1">
        <w:r>
          <w:rPr>
            <w:rFonts w:ascii="arial" w:eastAsia="arial" w:hAnsi="arial" w:cs="arial"/>
            <w:b w:val="0"/>
            <w:i/>
            <w:strike w:val="0"/>
            <w:noProof w:val="0"/>
            <w:color w:val="0077CC"/>
            <w:position w:val="0"/>
            <w:sz w:val="18"/>
            <w:u w:val="single"/>
            <w:vertAlign w:val="baseline"/>
          </w:rPr>
          <w:t>Heck v. Humphrey</w:t>
        </w:r>
      </w:hyperlink>
      <w:hyperlink r:id="rId2" w:history="1">
        <w:r>
          <w:rPr>
            <w:rFonts w:ascii="arial" w:eastAsia="arial" w:hAnsi="arial" w:cs="arial"/>
            <w:b w:val="0"/>
            <w:i/>
            <w:strike w:val="0"/>
            <w:noProof w:val="0"/>
            <w:color w:val="0077CC"/>
            <w:position w:val="0"/>
            <w:sz w:val="18"/>
            <w:u w:val="single"/>
            <w:vertAlign w:val="baseline"/>
          </w:rPr>
          <w:t>, 512 U.S. 477, 487, 114 S. Ct. 2364, 129 L. Ed. 2d 383 (1994)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Cannata v. Pistro, 2023 U.S. Dist. LEXIS 204714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MN-9XX1-FFTT-X0B4-00000-00&amp;context=1519360" TargetMode="External" /><Relationship Id="rId11" Type="http://schemas.openxmlformats.org/officeDocument/2006/relationships/hyperlink" Target="https://advance.lexis.com/api/document?collection=statutes-legislation&amp;id=urn:contentItem:8SG9-5HW2-D6RV-H0V2-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statutes-legislation&amp;id=urn:contentItem:8T9R-T552-8T6X-7328-00000-00&amp;context=1519360" TargetMode="External" /><Relationship Id="rId14" Type="http://schemas.openxmlformats.org/officeDocument/2006/relationships/hyperlink" Target="https://advance.lexis.com/api/document?collection=cases&amp;id=urn:contentItem:65SX-YYS1-JK4W-M3TK-00000-00&amp;context=1519360" TargetMode="External" /><Relationship Id="rId15" Type="http://schemas.openxmlformats.org/officeDocument/2006/relationships/hyperlink" Target="https://advance.lexis.com/api/document?collection=cases&amp;id=urn:contentItem:4CG8-YJ10-0038-X1C9-00000-00&amp;context=1519360" TargetMode="External" /><Relationship Id="rId16" Type="http://schemas.openxmlformats.org/officeDocument/2006/relationships/hyperlink" Target="https://advance.lexis.com/api/document?collection=cases&amp;id=urn:contentItem:3S4X-G330-00B1-D45G-00000-00&amp;context=1519360" TargetMode="External" /><Relationship Id="rId17" Type="http://schemas.openxmlformats.org/officeDocument/2006/relationships/hyperlink" Target="https://advance.lexis.com/api/document?collection=cases&amp;id=urn:contentItem:3S4X-2S90-0039-W3TJ-00000-00&amp;context=1519360" TargetMode="External" /><Relationship Id="rId18" Type="http://schemas.openxmlformats.org/officeDocument/2006/relationships/hyperlink" Target="https://advance.lexis.com/api/document?collection=cases&amp;id=urn:contentItem:3S4X-1YJ0-003B-52N6-00000-00&amp;context=1519360" TargetMode="External" /><Relationship Id="rId19" Type="http://schemas.openxmlformats.org/officeDocument/2006/relationships/hyperlink" Target="https://advance.lexis.com/api/document?collection=cases&amp;id=urn:contentItem:4TG7-M9W0-TX4N-G19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079-3W10-0038-X2KT-00000-00&amp;context=1519360" TargetMode="External" /><Relationship Id="rId21" Type="http://schemas.openxmlformats.org/officeDocument/2006/relationships/hyperlink" Target="https://advance.lexis.com/api/document?collection=cases&amp;id=urn:contentItem:3S4X-JDX0-00B1-D3WR-00000-00&amp;context=1519360" TargetMode="External" /><Relationship Id="rId22" Type="http://schemas.openxmlformats.org/officeDocument/2006/relationships/hyperlink" Target="https://advance.lexis.com/api/document?collection=cases&amp;id=urn:contentItem:4SG0-Y680-TXFX-423G-00000-00&amp;context=1519360" TargetMode="External" /><Relationship Id="rId23" Type="http://schemas.openxmlformats.org/officeDocument/2006/relationships/hyperlink" Target="https://advance.lexis.com/api/document?collection=cases&amp;id=urn:contentItem:3S4W-TX00-0039-M33K-00000-00&amp;context=1519360" TargetMode="External" /><Relationship Id="rId24" Type="http://schemas.openxmlformats.org/officeDocument/2006/relationships/hyperlink" Target="https://advance.lexis.com/api/document?collection=cases&amp;id=urn:contentItem:3S4X-GRH0-0039-P3JG-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N0-HSP1-F7VM-S31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V1T-5KY0-0038-X1NS-00000-00&amp;context=1519360" TargetMode="External" /><Relationship Id="rId2" Type="http://schemas.openxmlformats.org/officeDocument/2006/relationships/hyperlink" Target="https://advance.lexis.com/api/document?collection=cases&amp;id=urn:contentItem:3S65-JV10-003B-R52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Cannata v. Pistro, 2023 U.S. Dist. LEXIS 204714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urn:user:PA186186283</vt:lpwstr>
  </property>
</Properties>
</file>