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Mercado-Rosario v. Loretto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Decided; November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 :23-cv-60</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243800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LUIS ANTONIO MERCADO-ROSARIO, Petitioner, vs. MICHAEL UNDERWOOD, WARDEN F.C.I. LORETTO,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contraband, constructive possession, cell, disciplinary, guilt, probability, prison, phone, habeas corpus, writ petition, Recommendation, weapon, floor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Luis Antonio Mercado-Rosario, Petitioner, Pro se, Cresson,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Underwood, Respondent: April Cressler, LEAD ATTORNEY, USAO, Pittsburgh,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Stephanie L. Haines, United States District Judge. Magistrate Judge Keith A. Pesto.</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Stephanie L. Haines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Presently before the Court is a petition for a writ of habeas corpus pursuant to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by Luis Antonio Mercado-Rosario ("Mercado-Rosario") (ECF No. 3). Mercado-Rosario is incarcerated at the Federal Correctional Institution at Loretto ("FCI-Loretto) and challenges a guilty determination by the Discipline Hearing Officer ("DHO") that he violated Offense Code 108, for possessing a hazardous tool. ECF No. 3, p. 4. More specifically, Mercado-Rosario was found guilty of constructive possession of a prohibited cell phone and charger that were found in a laundry bag in the middle of the floor of his shared open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Through the prison disciplinary system he was adjudicated guilty, and the DHO imposed the following sanctions: disallowance of 41 days of good conduct time, 45 days of disciplinary segregation, and the loss of 180 days of commissary privileges. ECF No. 9, p. 4; ECF No. 9-4, p. 11, ¶ VI.</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Though Mercado-Rosario "took responsibility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exonerate [his] cellmate," ECF No. 9-4, p. 11, he claims the cell phone was not his and that other inmates planted the phone in his cell. ECF No. 3, p. 4. </w:t>
      </w:r>
      <w:bookmarkStart w:id="9" w:name="Bookmark_I6DBXFGD2HM5RN0020000400"/>
      <w:bookmarkEnd w:id="9"/>
      <w:r>
        <w:rPr>
          <w:rFonts w:ascii="arial" w:eastAsia="arial" w:hAnsi="arial" w:cs="arial"/>
          <w:b w:val="0"/>
          <w:i w:val="0"/>
          <w:strike w:val="0"/>
          <w:noProof w:val="0"/>
          <w:color w:val="000000"/>
          <w:position w:val="0"/>
          <w:sz w:val="20"/>
          <w:u w:val="none"/>
          <w:vertAlign w:val="baseline"/>
        </w:rPr>
        <w:t>He exhausted his administrative remedies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now brings this action claiming that the guilty determination is wrong and seeks to have the Bureau of Prisons ("BOP") expunge the violation of Code 108 and restore his 41 days of good time credit. ECF No. 3, p. 10. </w:t>
      </w:r>
      <w:r>
        <w:rPr>
          <w:rFonts w:ascii="arial" w:eastAsia="arial" w:hAnsi="arial" w:cs="arial"/>
          <w:b w:val="0"/>
          <w:i/>
          <w:strike w:val="0"/>
          <w:noProof w:val="0"/>
          <w:color w:val="000000"/>
          <w:position w:val="0"/>
          <w:sz w:val="20"/>
          <w:u w:val="none"/>
          <w:vertAlign w:val="baseline"/>
        </w:rPr>
        <w:t xml:space="preserve">See </w:t>
      </w:r>
      <w:bookmarkStart w:id="11" w:name="Bookmark_I6DBXFGD2HM5RN0010000400"/>
      <w:bookmarkEnd w:id="11"/>
      <w:hyperlink r:id="rId11" w:history="1">
        <w:r>
          <w:rPr>
            <w:rFonts w:ascii="arial" w:eastAsia="arial" w:hAnsi="arial" w:cs="arial"/>
            <w:b w:val="0"/>
            <w:i/>
            <w:strike w:val="0"/>
            <w:noProof w:val="0"/>
            <w:color w:val="0077CC"/>
            <w:position w:val="0"/>
            <w:sz w:val="20"/>
            <w:u w:val="single"/>
            <w:vertAlign w:val="baseline"/>
          </w:rPr>
          <w:t>Preiser v. Rodriguez</w:t>
        </w:r>
      </w:hyperlink>
      <w:hyperlink r:id="rId11" w:history="1">
        <w:r>
          <w:rPr>
            <w:rFonts w:ascii="arial" w:eastAsia="arial" w:hAnsi="arial" w:cs="arial"/>
            <w:b w:val="0"/>
            <w:i/>
            <w:strike w:val="0"/>
            <w:noProof w:val="0"/>
            <w:color w:val="0077CC"/>
            <w:position w:val="0"/>
            <w:sz w:val="20"/>
            <w:u w:val="single"/>
            <w:vertAlign w:val="baseline"/>
          </w:rPr>
          <w:t>, 411 U.S. 475, 487-88 (1973)</w:t>
        </w:r>
      </w:hyperlink>
      <w:r>
        <w:rPr>
          <w:rFonts w:ascii="arial" w:eastAsia="arial" w:hAnsi="arial" w:cs="arial"/>
          <w:b w:val="0"/>
          <w:i w:val="0"/>
          <w:strike w:val="0"/>
          <w:noProof w:val="0"/>
          <w:color w:val="000000"/>
          <w:position w:val="0"/>
          <w:sz w:val="20"/>
          <w:u w:val="none"/>
          <w:vertAlign w:val="baseline"/>
        </w:rPr>
        <w:t xml:space="preserve"> (Prisoners challenging the cancellation of their good time credits were challenging the length of their confinement and therefore their claims were the proper subject of a petition for writ of habeas corpus). This matter was referred to Magistrate Judge Keith A. Pesto for proceedings in accordance with the </w:t>
      </w:r>
      <w:hyperlink r:id="rId12" w:history="1">
        <w:r>
          <w:rPr>
            <w:rFonts w:ascii="arial" w:eastAsia="arial" w:hAnsi="arial" w:cs="arial"/>
            <w:b w:val="0"/>
            <w:i/>
            <w:strike w:val="0"/>
            <w:noProof w:val="0"/>
            <w:color w:val="0077CC"/>
            <w:position w:val="0"/>
            <w:sz w:val="20"/>
            <w:u w:val="single"/>
            <w:vertAlign w:val="baseline"/>
          </w:rPr>
          <w:t>Federal Magistrates Act, 28 U.S.C. § 636</w:t>
        </w:r>
      </w:hyperlink>
      <w:r>
        <w:rPr>
          <w:rFonts w:ascii="arial" w:eastAsia="arial" w:hAnsi="arial" w:cs="arial"/>
          <w:b w:val="0"/>
          <w:i w:val="0"/>
          <w:strike w:val="0"/>
          <w:noProof w:val="0"/>
          <w:color w:val="000000"/>
          <w:position w:val="0"/>
          <w:sz w:val="20"/>
          <w:u w:val="none"/>
          <w:vertAlign w:val="baseline"/>
        </w:rPr>
        <w:t>, and Local Civil Rule 72.D.</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Mercado-Rosario filed his Petition for Writ of Habeas Corpus (ECF No. 3) on April 28, 2023. It included an Addendum (ECF No. 3-1) explaining the events at issue, and two Exhibits (ECF Nos. 3-2, 3-3) that documented administrative exhaustion of the case. Respondent Warden Underwood filed his Response to the Petition (ECF No. 9), and after an extension, Mercado-Rosario filed his Reply (ECF No. 12). On August 11, 2023, Judge Pesto filed a Report and Recommendation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(ECF No. 13), which recommended the case be dismissed because "some evidence" supported the DHO's finding of guilt. Mercado-Rosario was advised he had fourteen days to object to the Report and Recommendation.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636 (b)(1)(B)</w:t>
        </w:r>
      </w:hyperlink>
      <w:r>
        <w:rPr>
          <w:rFonts w:ascii="arial" w:eastAsia="arial" w:hAnsi="arial" w:cs="arial"/>
          <w:b w:val="0"/>
          <w:i w:val="0"/>
          <w:strike w:val="0"/>
          <w:noProof w:val="0"/>
          <w:color w:val="000000"/>
          <w:position w:val="0"/>
          <w:sz w:val="20"/>
          <w:u w:val="none"/>
          <w:vertAlign w:val="baseline"/>
        </w:rPr>
        <w:t xml:space="preserve"> and (C) and Local Civil Rule 72.D.2. He sought an extension and then timely filed objections (ECF No. 16) on October 12, 2023.</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Mercado-Rosario claims that the cell phone was planted in his open cell because other inmates were unhappy that he would not help them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prison.</w:t>
      </w:r>
    </w:p>
    <w:p>
      <w:pPr>
        <w:keepNext w:val="0"/>
        <w:spacing w:after="0" w:line="26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Petitioner respectfully submits that the contraband was discovered in plain view from the hall area in an open dorm of cubicles with no doors, inside a laundry mesh bag in the middle of the floor — not hidden, not under a bed, not under or behind a locker, not inside a shoe, beneath a mattress or pillow, or tucked inside clothing or behind books. Surely the "some evidence" rule shouldn't be applied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3-1. Mercado further supports his assertion that he was at work, transporting other prisoners to their jobs and his cube mate was watching T.V. when the phone was planted in their living space. ECF No. 3, p. 4. "A group of Puerto Ricans were upset with me for refusing to mule contraband for them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 town driver and promised to get me in to trouble and fired."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says he reported these threats to administration. ECF No. 3-2, p. 3.</w:t>
      </w:r>
    </w:p>
    <w:p>
      <w:pPr>
        <w:keepNext w:val="0"/>
        <w:spacing w:before="240" w:after="0" w:line="260" w:lineRule="atLeast"/>
        <w:ind w:left="0" w:right="0" w:firstLine="0"/>
        <w:jc w:val="both"/>
      </w:pPr>
      <w:bookmarkStart w:id="15" w:name="Bookmark_para_6"/>
      <w:bookmarkEnd w:id="15"/>
      <w:bookmarkStart w:id="16" w:name="Bookmark_I6DBXFGD2HM5RN0040000400"/>
      <w:bookmarkEnd w:id="16"/>
      <w:r>
        <w:rPr>
          <w:rFonts w:ascii="arial" w:eastAsia="arial" w:hAnsi="arial" w:cs="arial"/>
          <w:b w:val="0"/>
          <w:i w:val="0"/>
          <w:strike w:val="0"/>
          <w:noProof w:val="0"/>
          <w:color w:val="000000"/>
          <w:position w:val="0"/>
          <w:sz w:val="20"/>
          <w:u w:val="none"/>
          <w:vertAlign w:val="baseline"/>
        </w:rPr>
        <w:t xml:space="preserve">The Respondent, Warden Underwood, counters Mercado-Rosario saying that Petitioner has received all required due process regarding the disciplinary hearing and that "some evidence" supported the decision made by the disciplinary board to revoke good time conduct. </w:t>
      </w:r>
      <w:r>
        <w:rPr>
          <w:rFonts w:ascii="arial" w:eastAsia="arial" w:hAnsi="arial" w:cs="arial"/>
          <w:b w:val="0"/>
          <w:i/>
          <w:strike w:val="0"/>
          <w:noProof w:val="0"/>
          <w:color w:val="000000"/>
          <w:position w:val="0"/>
          <w:sz w:val="20"/>
          <w:u w:val="none"/>
          <w:vertAlign w:val="baseline"/>
        </w:rPr>
        <w:t xml:space="preserve">See </w:t>
      </w:r>
      <w:bookmarkStart w:id="17" w:name="Bookmark_I6DBXFGD2HM5RN0030000400"/>
      <w:bookmarkEnd w:id="17"/>
      <w:hyperlink r:id="rId13" w:history="1">
        <w:r>
          <w:rPr>
            <w:rFonts w:ascii="arial" w:eastAsia="arial" w:hAnsi="arial" w:cs="arial"/>
            <w:b w:val="0"/>
            <w:i/>
            <w:strike w:val="0"/>
            <w:noProof w:val="0"/>
            <w:color w:val="0077CC"/>
            <w:position w:val="0"/>
            <w:sz w:val="20"/>
            <w:u w:val="single"/>
            <w:vertAlign w:val="baseline"/>
          </w:rPr>
          <w:t>Superintendent v. Hill</w:t>
        </w:r>
      </w:hyperlink>
      <w:hyperlink r:id="rId13" w:history="1">
        <w:r>
          <w:rPr>
            <w:rFonts w:ascii="arial" w:eastAsia="arial" w:hAnsi="arial" w:cs="arial"/>
            <w:b w:val="0"/>
            <w:i/>
            <w:strike w:val="0"/>
            <w:noProof w:val="0"/>
            <w:color w:val="0077CC"/>
            <w:position w:val="0"/>
            <w:sz w:val="20"/>
            <w:u w:val="single"/>
            <w:vertAlign w:val="baseline"/>
          </w:rPr>
          <w:t>, 472 U.S. 445, 454 (1985)</w:t>
        </w:r>
      </w:hyperlink>
      <w:r>
        <w:rPr>
          <w:rFonts w:ascii="arial" w:eastAsia="arial" w:hAnsi="arial" w:cs="arial"/>
          <w:b w:val="0"/>
          <w:i w:val="0"/>
          <w:strike w:val="0"/>
          <w:noProof w:val="0"/>
          <w:color w:val="000000"/>
          <w:position w:val="0"/>
          <w:sz w:val="20"/>
          <w:u w:val="none"/>
          <w:vertAlign w:val="baseline"/>
        </w:rPr>
        <w:t xml:space="preserve">; ECF No. 9, p. 8. </w:t>
      </w:r>
      <w:bookmarkStart w:id="18" w:name="Bookmark_I6DBXFGF2N1RGN0010000400"/>
      <w:bookmarkEnd w:id="18"/>
      <w:r>
        <w:rPr>
          <w:rFonts w:ascii="arial" w:eastAsia="arial" w:hAnsi="arial" w:cs="arial"/>
          <w:b w:val="0"/>
          <w:i w:val="0"/>
          <w:strike w:val="0"/>
          <w:noProof w:val="0"/>
          <w:color w:val="000000"/>
          <w:position w:val="0"/>
          <w:sz w:val="20"/>
          <w:u w:val="none"/>
          <w:vertAlign w:val="baseline"/>
        </w:rPr>
        <w:t xml:space="preserve">Therefore, the Petition for Writ of Habeas Corpus should be denied. </w:t>
      </w:r>
      <w:bookmarkStart w:id="19" w:name="Bookmark_I6DBXFGF2N1RGN0010000400_2"/>
      <w:bookmarkEnd w:id="19"/>
      <w:bookmarkStart w:id="20" w:name="Bookmark_I6DBXFGF2N1RGN0030000400"/>
      <w:bookmarkEnd w:id="20"/>
      <w:r>
        <w:rPr>
          <w:rFonts w:ascii="arial" w:eastAsia="arial" w:hAnsi="arial" w:cs="arial"/>
          <w:b w:val="0"/>
          <w:i w:val="0"/>
          <w:strike w:val="0"/>
          <w:noProof w:val="0"/>
          <w:color w:val="000000"/>
          <w:position w:val="0"/>
          <w:sz w:val="20"/>
          <w:u w:val="none"/>
          <w:vertAlign w:val="baseline"/>
        </w:rPr>
        <w:t xml:space="preserve">All that is required for a district court to uphold the decision is evidence in the record to support the conclusion. </w:t>
      </w:r>
      <w:r>
        <w:rPr>
          <w:rFonts w:ascii="arial" w:eastAsia="arial" w:hAnsi="arial" w:cs="arial"/>
          <w:b w:val="0"/>
          <w:i/>
          <w:strike w:val="0"/>
          <w:noProof w:val="0"/>
          <w:color w:val="000000"/>
          <w:position w:val="0"/>
          <w:sz w:val="20"/>
          <w:u w:val="none"/>
          <w:vertAlign w:val="baseline"/>
        </w:rPr>
        <w:t xml:space="preserve">See </w:t>
      </w:r>
      <w:bookmarkStart w:id="21" w:name="Bookmark_I6DBXFGD2HM5RN0050000400"/>
      <w:bookmarkEnd w:id="21"/>
      <w:hyperlink r:id="rId14" w:history="1">
        <w:r>
          <w:rPr>
            <w:rFonts w:ascii="arial" w:eastAsia="arial" w:hAnsi="arial" w:cs="arial"/>
            <w:b w:val="0"/>
            <w:i/>
            <w:strike w:val="0"/>
            <w:noProof w:val="0"/>
            <w:color w:val="0077CC"/>
            <w:position w:val="0"/>
            <w:sz w:val="20"/>
            <w:u w:val="single"/>
            <w:vertAlign w:val="baseline"/>
          </w:rPr>
          <w:t>Donahue v. Grondolsky</w:t>
        </w:r>
      </w:hyperlink>
      <w:hyperlink r:id="rId14" w:history="1">
        <w:r>
          <w:rPr>
            <w:rFonts w:ascii="arial" w:eastAsia="arial" w:hAnsi="arial" w:cs="arial"/>
            <w:b w:val="0"/>
            <w:i/>
            <w:strike w:val="0"/>
            <w:noProof w:val="0"/>
            <w:color w:val="0077CC"/>
            <w:position w:val="0"/>
            <w:sz w:val="20"/>
            <w:u w:val="single"/>
            <w:vertAlign w:val="baseline"/>
          </w:rPr>
          <w:t>, 398 F. App'x 767, 772 (3d Cir. 2010)</w:t>
        </w:r>
      </w:hyperlink>
      <w:r>
        <w:rPr>
          <w:rFonts w:ascii="arial" w:eastAsia="arial" w:hAnsi="arial" w:cs="arial"/>
          <w:b w:val="0"/>
          <w:i w:val="0"/>
          <w:strike w:val="0"/>
          <w:noProof w:val="0"/>
          <w:color w:val="000000"/>
          <w:position w:val="0"/>
          <w:sz w:val="20"/>
          <w:u w:val="none"/>
          <w:vertAlign w:val="baseline"/>
        </w:rPr>
        <w:t xml:space="preserve"> (stating that "[t]he fundamental fairness guaranteed by the Due Process Clause does not require courts to set aside decisions of prison administrators that have some basis in fact." (citation omitted)). </w:t>
      </w:r>
      <w:bookmarkStart w:id="22" w:name="Bookmark_I6DBXFGF2N1RGN0030000400_2"/>
      <w:bookmarkEnd w:id="22"/>
      <w:r>
        <w:rPr>
          <w:rFonts w:ascii="arial" w:eastAsia="arial" w:hAnsi="arial" w:cs="arial"/>
          <w:b w:val="0"/>
          <w:i w:val="0"/>
          <w:strike w:val="0"/>
          <w:noProof w:val="0"/>
          <w:color w:val="000000"/>
          <w:position w:val="0"/>
          <w:sz w:val="20"/>
          <w:u w:val="none"/>
          <w:vertAlign w:val="baseline"/>
        </w:rPr>
        <w:t xml:space="preserve">Respondent also stated that the Third Circuit has found that constructive possession is enough to satisfy the "some evidence" rule. </w:t>
      </w:r>
      <w:r>
        <w:rPr>
          <w:rFonts w:ascii="arial" w:eastAsia="arial" w:hAnsi="arial" w:cs="arial"/>
          <w:b w:val="0"/>
          <w:i/>
          <w:strike w:val="0"/>
          <w:noProof w:val="0"/>
          <w:color w:val="000000"/>
          <w:position w:val="0"/>
          <w:sz w:val="20"/>
          <w:u w:val="none"/>
          <w:vertAlign w:val="baseline"/>
        </w:rPr>
        <w:t xml:space="preserve">See </w:t>
      </w:r>
      <w:bookmarkStart w:id="23" w:name="Bookmark_I6DBXFGF2N1RGN0020000400"/>
      <w:bookmarkEnd w:id="23"/>
      <w:hyperlink r:id="rId15" w:history="1">
        <w:r>
          <w:rPr>
            <w:rFonts w:ascii="arial" w:eastAsia="arial" w:hAnsi="arial" w:cs="arial"/>
            <w:b w:val="0"/>
            <w:i/>
            <w:strike w:val="0"/>
            <w:noProof w:val="0"/>
            <w:color w:val="0077CC"/>
            <w:position w:val="0"/>
            <w:sz w:val="20"/>
            <w:u w:val="single"/>
            <w:vertAlign w:val="baseline"/>
          </w:rPr>
          <w:t>Solomon v. Warden, FCI Fairton</w:t>
        </w:r>
      </w:hyperlink>
      <w:hyperlink r:id="rId15" w:history="1">
        <w:r>
          <w:rPr>
            <w:rFonts w:ascii="arial" w:eastAsia="arial" w:hAnsi="arial" w:cs="arial"/>
            <w:b w:val="0"/>
            <w:i/>
            <w:strike w:val="0"/>
            <w:noProof w:val="0"/>
            <w:color w:val="0077CC"/>
            <w:position w:val="0"/>
            <w:sz w:val="20"/>
            <w:u w:val="single"/>
            <w:vertAlign w:val="baseline"/>
          </w:rPr>
          <w:t>, 506 F. App'x 147, 149 (3d Cir. 2012)</w:t>
        </w:r>
      </w:hyperlink>
      <w:r>
        <w:rPr>
          <w:rFonts w:ascii="arial" w:eastAsia="arial" w:hAnsi="arial" w:cs="arial"/>
          <w:b w:val="0"/>
          <w:i w:val="0"/>
          <w:strike w:val="0"/>
          <w:noProof w:val="0"/>
          <w:color w:val="000000"/>
          <w:position w:val="0"/>
          <w:sz w:val="20"/>
          <w:u w:val="none"/>
          <w:vertAlign w:val="baseline"/>
        </w:rPr>
        <w:t>. Mercado-Rosario tries to distinguish these cases by saying the other cases contained evidence to support culpability, such as hiding the illegal item, which was not present in his case. ECF No. 12, p. 4.</w:t>
      </w:r>
    </w:p>
    <w:p>
      <w:pPr>
        <w:keepNext w:val="0"/>
        <w:spacing w:before="240" w:after="0" w:line="260" w:lineRule="atLeast"/>
        <w:ind w:left="0" w:right="0" w:firstLine="0"/>
        <w:jc w:val="both"/>
      </w:pPr>
      <w:bookmarkStart w:id="24" w:name="Bookmark_para_7"/>
      <w:bookmarkEnd w:id="24"/>
      <w:bookmarkStart w:id="25" w:name="Bookmark_I6DBXFGF2N1RGN0050000400"/>
      <w:bookmarkEnd w:id="25"/>
      <w:r>
        <w:rPr>
          <w:rFonts w:ascii="arial" w:eastAsia="arial" w:hAnsi="arial" w:cs="arial"/>
          <w:b w:val="0"/>
          <w:i w:val="0"/>
          <w:strike w:val="0"/>
          <w:noProof w:val="0"/>
          <w:color w:val="000000"/>
          <w:position w:val="0"/>
          <w:sz w:val="20"/>
          <w:u w:val="none"/>
          <w:vertAlign w:val="baseline"/>
        </w:rPr>
        <w:t>Magistrate Judge Pesto's Report and Recommendation agrees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Respondent that there is "some evidence" to support the disciplinary punishments that were imposed.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 13, p. 2. In addition, evidence of constructive possession satisfies the "some evidence" standard. </w:t>
      </w:r>
      <w:r>
        <w:rPr>
          <w:rFonts w:ascii="arial" w:eastAsia="arial" w:hAnsi="arial" w:cs="arial"/>
          <w:b w:val="0"/>
          <w:i/>
          <w:strike w:val="0"/>
          <w:noProof w:val="0"/>
          <w:color w:val="000000"/>
          <w:position w:val="0"/>
          <w:sz w:val="20"/>
          <w:u w:val="none"/>
          <w:vertAlign w:val="baseline"/>
        </w:rPr>
        <w:t xml:space="preserve">See </w:t>
      </w:r>
      <w:bookmarkStart w:id="27" w:name="Bookmark_I6DBXFGF2N1RGN0040000400"/>
      <w:bookmarkEnd w:id="27"/>
      <w:hyperlink r:id="rId16" w:history="1">
        <w:r>
          <w:rPr>
            <w:rFonts w:ascii="arial" w:eastAsia="arial" w:hAnsi="arial" w:cs="arial"/>
            <w:b w:val="0"/>
            <w:i/>
            <w:strike w:val="0"/>
            <w:noProof w:val="0"/>
            <w:color w:val="0077CC"/>
            <w:position w:val="0"/>
            <w:sz w:val="20"/>
            <w:u w:val="single"/>
            <w:vertAlign w:val="baseline"/>
          </w:rPr>
          <w:t>Cardenas v. Wigen</w:t>
        </w:r>
      </w:hyperlink>
      <w:hyperlink r:id="rId16" w:history="1">
        <w:r>
          <w:rPr>
            <w:rFonts w:ascii="arial" w:eastAsia="arial" w:hAnsi="arial" w:cs="arial"/>
            <w:b w:val="0"/>
            <w:i/>
            <w:strike w:val="0"/>
            <w:noProof w:val="0"/>
            <w:color w:val="0077CC"/>
            <w:position w:val="0"/>
            <w:sz w:val="20"/>
            <w:u w:val="single"/>
            <w:vertAlign w:val="baseline"/>
          </w:rPr>
          <w:t>, 921 F. Supp. 286, 289 n. 4 (E.D. Pa. 1996)</w:t>
        </w:r>
      </w:hyperlink>
      <w:r>
        <w:rPr>
          <w:rFonts w:ascii="arial" w:eastAsia="arial" w:hAnsi="arial" w:cs="arial"/>
          <w:b w:val="0"/>
          <w:i w:val="0"/>
          <w:strike w:val="0"/>
          <w:noProof w:val="0"/>
          <w:color w:val="000000"/>
          <w:position w:val="0"/>
          <w:sz w:val="20"/>
          <w:u w:val="none"/>
          <w:vertAlign w:val="baseline"/>
        </w:rPr>
        <w:t>. In his Objections, Mercado-Rosario states his cell was not subject to his control, but the circumstances of his incarceration, with open floor plan, make constructive possession blatantly false. ECF No. 16, p. 1. Mercado-Rosario states the following of his housing situation:</w:t>
      </w:r>
    </w:p>
    <w:p>
      <w:pPr>
        <w:keepNext w:val="0"/>
        <w:spacing w:after="0" w:line="260" w:lineRule="atLeast"/>
        <w:ind w:left="40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i) Unlike a prison, in a dorm you have no defined living space.</w:t>
      </w:r>
    </w:p>
    <w:p>
      <w:pPr>
        <w:keepNext w:val="0"/>
        <w:spacing w:after="0" w:line="260" w:lineRule="atLeast"/>
        <w:ind w:left="40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ii) All 300-plus inmates have access to the entire area 24 hours a day.</w:t>
      </w:r>
    </w:p>
    <w:p>
      <w:pPr>
        <w:keepNext w:val="0"/>
        <w:spacing w:after="0" w:line="260" w:lineRule="atLeast"/>
        <w:ind w:left="40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iii) Sleeping areas are separated by partitions and have no walls or doors. Hence there is no control.</w:t>
      </w:r>
    </w:p>
    <w:p>
      <w:pPr>
        <w:keepNext w:val="0"/>
        <w:spacing w:after="0" w:line="260" w:lineRule="atLeast"/>
        <w:ind w:left="40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iv) The cellphone was found in a mesh bad (sic), laying in the middle of the floor for anyone to see (implying a very low IQ or an attempt to frame someone).</w:t>
      </w:r>
    </w:p>
    <w:p>
      <w:pPr>
        <w:keepNext w:val="0"/>
        <w:spacing w:before="200" w:after="0" w:line="260" w:lineRule="atLeast"/>
        <w:ind w:left="40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 xml:space="preserve">v) The Petitioner was miles away at the time and does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possess a low IQ.</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 p. 2.</w:t>
      </w:r>
    </w:p>
    <w:p>
      <w:pPr>
        <w:keepNext w:val="0"/>
        <w:spacing w:before="240" w:after="0" w:line="260" w:lineRule="atLeast"/>
        <w:ind w:left="0" w:right="0" w:firstLine="0"/>
        <w:jc w:val="both"/>
      </w:pPr>
      <w:bookmarkStart w:id="33" w:name="Bookmark_para_13"/>
      <w:bookmarkEnd w:id="33"/>
      <w:bookmarkStart w:id="34" w:name="Bookmark_I6DBXFGG2D6NPN0020000400"/>
      <w:bookmarkEnd w:id="34"/>
      <w:bookmarkStart w:id="35" w:name="Bookmark_I6DBXFGG2D6NPN0040000400"/>
      <w:bookmarkEnd w:id="35"/>
      <w:r>
        <w:rPr>
          <w:rFonts w:ascii="arial" w:eastAsia="arial" w:hAnsi="arial" w:cs="arial"/>
          <w:b w:val="0"/>
          <w:i w:val="0"/>
          <w:strike w:val="0"/>
          <w:noProof w:val="0"/>
          <w:color w:val="000000"/>
          <w:position w:val="0"/>
          <w:sz w:val="20"/>
          <w:u w:val="none"/>
          <w:vertAlign w:val="baseline"/>
        </w:rPr>
        <w:t xml:space="preserve">In </w:t>
      </w:r>
      <w:bookmarkStart w:id="36" w:name="Bookmark_I6DBXFGG2D6NPN0010000400"/>
      <w:bookmarkEnd w:id="36"/>
      <w:hyperlink r:id="rId13" w:history="1">
        <w:r>
          <w:rPr>
            <w:rFonts w:ascii="arial" w:eastAsia="arial" w:hAnsi="arial" w:cs="arial"/>
            <w:b w:val="0"/>
            <w:i/>
            <w:strike w:val="0"/>
            <w:noProof w:val="0"/>
            <w:color w:val="0077CC"/>
            <w:position w:val="0"/>
            <w:sz w:val="20"/>
            <w:u w:val="single"/>
            <w:vertAlign w:val="baseline"/>
          </w:rPr>
          <w:t>Superintendent, Mass. Corr. Institution, Walpole v. Hill</w:t>
        </w:r>
      </w:hyperlink>
      <w:hyperlink r:id="rId13" w:history="1">
        <w:r>
          <w:rPr>
            <w:rFonts w:ascii="arial" w:eastAsia="arial" w:hAnsi="arial" w:cs="arial"/>
            <w:b w:val="0"/>
            <w:i/>
            <w:strike w:val="0"/>
            <w:noProof w:val="0"/>
            <w:color w:val="0077CC"/>
            <w:position w:val="0"/>
            <w:sz w:val="20"/>
            <w:u w:val="single"/>
            <w:vertAlign w:val="baseline"/>
          </w:rPr>
          <w:t>, 472 U.S. 445, 455 (1985)</w:t>
        </w:r>
      </w:hyperlink>
      <w:r>
        <w:rPr>
          <w:rFonts w:ascii="arial" w:eastAsia="arial" w:hAnsi="arial" w:cs="arial"/>
          <w:b w:val="0"/>
          <w:i w:val="0"/>
          <w:strike w:val="0"/>
          <w:noProof w:val="0"/>
          <w:color w:val="000000"/>
          <w:position w:val="0"/>
          <w:sz w:val="20"/>
          <w:u w:val="none"/>
          <w:vertAlign w:val="baseline"/>
        </w:rPr>
        <w:t xml:space="preserve">, the Supreme Court held that decisions of prison officials which result in the loss of an inmate's good time credits must be supported by "some evidence" to comport with due process. According to </w:t>
      </w:r>
      <w:bookmarkStart w:id="37" w:name="Bookmark_I6DBXFGG2D6NPN0030000400"/>
      <w:bookmarkEnd w:id="37"/>
      <w:hyperlink r:id="rId17" w:history="1">
        <w:r>
          <w:rPr>
            <w:rFonts w:ascii="arial" w:eastAsia="arial" w:hAnsi="arial" w:cs="arial"/>
            <w:b w:val="0"/>
            <w:i/>
            <w:strike w:val="0"/>
            <w:noProof w:val="0"/>
            <w:color w:val="0077CC"/>
            <w:position w:val="0"/>
            <w:sz w:val="20"/>
            <w:u w:val="single"/>
            <w:vertAlign w:val="baseline"/>
          </w:rPr>
          <w:t>Harden v Sherman</w:t>
        </w:r>
      </w:hyperlink>
      <w:hyperlink r:id="rId17" w:history="1">
        <w:r>
          <w:rPr>
            <w:rFonts w:ascii="arial" w:eastAsia="arial" w:hAnsi="arial" w:cs="arial"/>
            <w:b w:val="0"/>
            <w:i/>
            <w:strike w:val="0"/>
            <w:noProof w:val="0"/>
            <w:color w:val="0077CC"/>
            <w:position w:val="0"/>
            <w:sz w:val="20"/>
            <w:u w:val="single"/>
            <w:vertAlign w:val="baseline"/>
          </w:rPr>
          <w:t>, No. CIV.A. 05-356 ERIE, 2006 WL 3814767, at *7-8 (W.D. Pa. Dec. 27, 2006)</w:t>
        </w:r>
      </w:hyperlink>
      <w:r>
        <w:rPr>
          <w:rFonts w:ascii="arial" w:eastAsia="arial" w:hAnsi="arial" w:cs="arial"/>
          <w:b w:val="0"/>
          <w:i w:val="0"/>
          <w:strike w:val="0"/>
          <w:noProof w:val="0"/>
          <w:color w:val="000000"/>
          <w:position w:val="0"/>
          <w:sz w:val="20"/>
          <w:u w:val="none"/>
          <w:vertAlign w:val="baseline"/>
        </w:rPr>
        <w:t xml:space="preserve">, </w:t>
      </w:r>
      <w:bookmarkStart w:id="38" w:name="Bookmark_I6DBXFGG2D6NPN0050000400"/>
      <w:bookmarkEnd w:id="38"/>
      <w:hyperlink r:id="rId16" w:history="1">
        <w:r>
          <w:rPr>
            <w:rFonts w:ascii="arial" w:eastAsia="arial" w:hAnsi="arial" w:cs="arial"/>
            <w:b w:val="0"/>
            <w:i/>
            <w:strike w:val="0"/>
            <w:noProof w:val="0"/>
            <w:color w:val="0077CC"/>
            <w:position w:val="0"/>
            <w:sz w:val="20"/>
            <w:u w:val="single"/>
            <w:vertAlign w:val="baseline"/>
          </w:rPr>
          <w:t>Cardenas</w:t>
        </w:r>
      </w:hyperlink>
      <w:bookmarkStart w:id="39" w:name="Bookmark_I6DBXFGG2SF8G20050000400"/>
      <w:bookmarkEnd w:id="39"/>
      <w:r>
        <w:rPr>
          <w:rFonts w:ascii="arial" w:eastAsia="arial" w:hAnsi="arial" w:cs="arial"/>
          <w:b w:val="0"/>
          <w:i w:val="0"/>
          <w:strike w:val="0"/>
          <w:noProof w:val="0"/>
          <w:color w:val="000000"/>
          <w:position w:val="0"/>
          <w:sz w:val="20"/>
          <w:u w:val="none"/>
          <w:vertAlign w:val="baseline"/>
        </w:rPr>
        <w:t xml:space="preserve"> helps explain how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handle such cases; </w:t>
      </w:r>
      <w:r>
        <w:rPr>
          <w:rFonts w:ascii="arial" w:eastAsia="arial" w:hAnsi="arial" w:cs="arial"/>
          <w:b w:val="0"/>
          <w:i/>
          <w:strike w:val="0"/>
          <w:noProof w:val="0"/>
          <w:color w:val="000000"/>
          <w:position w:val="0"/>
          <w:sz w:val="20"/>
          <w:u w:val="none"/>
          <w:vertAlign w:val="baseline"/>
        </w:rPr>
        <w:t xml:space="preserve">see also </w:t>
      </w:r>
      <w:bookmarkStart w:id="40" w:name="Bookmark_I6DBXFGG2SF8G20020000400"/>
      <w:bookmarkEnd w:id="40"/>
      <w:hyperlink r:id="rId18" w:history="1">
        <w:r>
          <w:rPr>
            <w:rFonts w:ascii="arial" w:eastAsia="arial" w:hAnsi="arial" w:cs="arial"/>
            <w:b w:val="0"/>
            <w:i/>
            <w:strike w:val="0"/>
            <w:noProof w:val="0"/>
            <w:color w:val="0077CC"/>
            <w:position w:val="0"/>
            <w:sz w:val="20"/>
            <w:u w:val="single"/>
            <w:vertAlign w:val="baseline"/>
          </w:rPr>
          <w:t>Gordon v. Yost</w:t>
        </w:r>
      </w:hyperlink>
      <w:hyperlink r:id="rId18" w:history="1">
        <w:r>
          <w:rPr>
            <w:rFonts w:ascii="arial" w:eastAsia="arial" w:hAnsi="arial" w:cs="arial"/>
            <w:b w:val="0"/>
            <w:i/>
            <w:strike w:val="0"/>
            <w:noProof w:val="0"/>
            <w:color w:val="0077CC"/>
            <w:position w:val="0"/>
            <w:sz w:val="20"/>
            <w:u w:val="single"/>
            <w:vertAlign w:val="baseline"/>
          </w:rPr>
          <w:t>, No. CIV.A. 04-316J, 2006 WL 2345944 (W.D. Pa. Aug. 10,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1" w:name="Bookmark_para_14"/>
      <w:bookmarkEnd w:id="41"/>
      <w:bookmarkStart w:id="42" w:name="Bookmark_I6DBXFGG2SF8G20050000400_2"/>
      <w:bookmarkEnd w:id="42"/>
      <w:bookmarkStart w:id="43" w:name="Bookmark_I6DBXFGG28T4360020000400"/>
      <w:bookmarkEnd w:id="43"/>
      <w:r>
        <w:rPr>
          <w:rFonts w:ascii="arial" w:eastAsia="arial" w:hAnsi="arial" w:cs="arial"/>
          <w:b w:val="0"/>
          <w:i w:val="0"/>
          <w:strike w:val="0"/>
          <w:noProof w:val="0"/>
          <w:color w:val="000000"/>
          <w:position w:val="0"/>
          <w:sz w:val="20"/>
          <w:u w:val="none"/>
          <w:vertAlign w:val="baseline"/>
        </w:rPr>
        <w:t xml:space="preserve">In the absence of direct evidence pointing to an inmate's guilt, the "some evidence" standard of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may be satisfied by application of the constructive possession doctrine. </w:t>
      </w:r>
      <w:r>
        <w:rPr>
          <w:rFonts w:ascii="arial" w:eastAsia="arial" w:hAnsi="arial" w:cs="arial"/>
          <w:b w:val="0"/>
          <w:i/>
          <w:strike w:val="0"/>
          <w:noProof w:val="0"/>
          <w:color w:val="000000"/>
          <w:position w:val="0"/>
          <w:sz w:val="20"/>
          <w:u w:val="none"/>
          <w:vertAlign w:val="baseline"/>
        </w:rPr>
        <w:t xml:space="preserve">See </w:t>
      </w:r>
      <w:bookmarkStart w:id="44" w:name="Bookmark_I6DBXFGG2SF8G20040000400"/>
      <w:bookmarkEnd w:id="44"/>
      <w:hyperlink r:id="rId19" w:history="1">
        <w:r>
          <w:rPr>
            <w:rFonts w:ascii="arial" w:eastAsia="arial" w:hAnsi="arial" w:cs="arial"/>
            <w:b w:val="0"/>
            <w:i/>
            <w:strike w:val="0"/>
            <w:noProof w:val="0"/>
            <w:color w:val="0077CC"/>
            <w:position w:val="0"/>
            <w:sz w:val="20"/>
            <w:u w:val="single"/>
            <w:vertAlign w:val="baseline"/>
          </w:rPr>
          <w:t>Hamilton v. O'Leary</w:t>
        </w:r>
      </w:hyperlink>
      <w:hyperlink r:id="rId19" w:history="1">
        <w:r>
          <w:rPr>
            <w:rFonts w:ascii="arial" w:eastAsia="arial" w:hAnsi="arial" w:cs="arial"/>
            <w:b w:val="0"/>
            <w:i/>
            <w:strike w:val="0"/>
            <w:noProof w:val="0"/>
            <w:color w:val="0077CC"/>
            <w:position w:val="0"/>
            <w:sz w:val="20"/>
            <w:u w:val="single"/>
            <w:vertAlign w:val="baseline"/>
          </w:rPr>
          <w:t>, 976 F.2d 341 (7th Cir.1992)</w:t>
        </w:r>
      </w:hyperlink>
      <w:r>
        <w:rPr>
          <w:rFonts w:ascii="arial" w:eastAsia="arial" w:hAnsi="arial" w:cs="arial"/>
          <w:b w:val="0"/>
          <w:i w:val="0"/>
          <w:strike w:val="0"/>
          <w:noProof w:val="0"/>
          <w:color w:val="000000"/>
          <w:position w:val="0"/>
          <w:sz w:val="20"/>
          <w:u w:val="none"/>
          <w:vertAlign w:val="baseline"/>
        </w:rPr>
        <w:t xml:space="preserve">. </w:t>
      </w:r>
      <w:bookmarkStart w:id="45" w:name="Bookmark_I6DBXFGG28T4360020000400_2"/>
      <w:bookmarkEnd w:id="45"/>
      <w:bookmarkStart w:id="46" w:name="Bookmark_I6DBXFGG28T4360040000400"/>
      <w:bookmarkEnd w:id="46"/>
      <w:r>
        <w:rPr>
          <w:rFonts w:ascii="arial" w:eastAsia="arial" w:hAnsi="arial" w:cs="arial"/>
          <w:b w:val="0"/>
          <w:i w:val="0"/>
          <w:strike w:val="0"/>
          <w:noProof w:val="0"/>
          <w:color w:val="000000"/>
          <w:position w:val="0"/>
          <w:sz w:val="20"/>
          <w:u w:val="none"/>
          <w:vertAlign w:val="baseline"/>
        </w:rPr>
        <w:t xml:space="preserve">In </w:t>
      </w:r>
      <w:bookmarkStart w:id="47" w:name="Bookmark_I6DBXFGG28T4360040000400_2"/>
      <w:bookmarkEnd w:id="47"/>
      <w:bookmarkStart w:id="48" w:name="Bookmark_I6DBXFGG28T4360020000400_3"/>
      <w:bookmarkEnd w:id="48"/>
      <w:bookmarkStart w:id="49" w:name="Bookmark_I6DBXFGG28T4360010000400"/>
      <w:bookmarkEnd w:id="49"/>
      <w:hyperlink r:id="rId19" w:history="1">
        <w:r>
          <w:rPr>
            <w:rFonts w:ascii="arial" w:eastAsia="arial" w:hAnsi="arial" w:cs="arial"/>
            <w:b w:val="0"/>
            <w:i/>
            <w:strike w:val="0"/>
            <w:noProof w:val="0"/>
            <w:color w:val="0077CC"/>
            <w:position w:val="0"/>
            <w:sz w:val="20"/>
            <w:u w:val="single"/>
            <w:vertAlign w:val="baseline"/>
          </w:rPr>
          <w:t>Hamilton</w:t>
        </w:r>
      </w:hyperlink>
      <w:r>
        <w:rPr>
          <w:rFonts w:ascii="arial" w:eastAsia="arial" w:hAnsi="arial" w:cs="arial"/>
          <w:b w:val="0"/>
          <w:i w:val="0"/>
          <w:strike w:val="0"/>
          <w:noProof w:val="0"/>
          <w:color w:val="000000"/>
          <w:position w:val="0"/>
          <w:sz w:val="20"/>
          <w:u w:val="none"/>
          <w:vertAlign w:val="baseline"/>
        </w:rPr>
        <w:t xml:space="preserve">, plaintiff brought suit after he and his three cellmates were found guilty by their prison disciplinary board of possessing six homemade weapons discovered in a large vent in their cell even though there was no direct evidence linking plaintiff or any of his cellmates to the contraband. In affirming the judgment of the district court dismissing plaintiff's claim, the </w:t>
      </w:r>
      <w:bookmarkStart w:id="50" w:name="Bookmark_I6DBXFGG28T4360040000400_3"/>
      <w:bookmarkEnd w:id="50"/>
      <w:bookmarkStart w:id="51" w:name="Bookmark_I6DBXFGG28T4360030000400"/>
      <w:bookmarkEnd w:id="51"/>
      <w:hyperlink r:id="rId19" w:history="1">
        <w:r>
          <w:rPr>
            <w:rFonts w:ascii="arial" w:eastAsia="arial" w:hAnsi="arial" w:cs="arial"/>
            <w:b w:val="0"/>
            <w:i/>
            <w:strike w:val="0"/>
            <w:noProof w:val="0"/>
            <w:color w:val="0077CC"/>
            <w:position w:val="0"/>
            <w:sz w:val="20"/>
            <w:u w:val="single"/>
            <w:vertAlign w:val="baseline"/>
          </w:rPr>
          <w:t>Hamilton</w:t>
        </w:r>
      </w:hyperlink>
      <w:bookmarkStart w:id="52" w:name="Bookmark_I6DBXFGG2SF8G40010000400"/>
      <w:bookmarkEnd w:id="52"/>
      <w:r>
        <w:rPr>
          <w:rFonts w:ascii="arial" w:eastAsia="arial" w:hAnsi="arial" w:cs="arial"/>
          <w:b w:val="0"/>
          <w:i w:val="0"/>
          <w:strike w:val="0"/>
          <w:noProof w:val="0"/>
          <w:color w:val="000000"/>
          <w:position w:val="0"/>
          <w:sz w:val="20"/>
          <w:u w:val="none"/>
          <w:vertAlign w:val="baseline"/>
        </w:rPr>
        <w:t xml:space="preserve"> majority adopted a probability approach based upon the number of prisoners having access to the area where the contraband was found. </w:t>
      </w:r>
      <w:bookmarkStart w:id="53" w:name="Bookmark_I6DBXFGG2SF8G40030000400"/>
      <w:bookmarkEnd w:id="53"/>
      <w:r>
        <w:rPr>
          <w:rFonts w:ascii="arial" w:eastAsia="arial" w:hAnsi="arial" w:cs="arial"/>
          <w:b w:val="0"/>
          <w:i w:val="0"/>
          <w:strike w:val="0"/>
          <w:noProof w:val="0"/>
          <w:color w:val="000000"/>
          <w:position w:val="0"/>
          <w:sz w:val="20"/>
          <w:u w:val="none"/>
          <w:vertAlign w:val="baseline"/>
        </w:rPr>
        <w:t xml:space="preserve">The Court determined that the facts presented to the prison hearing board indicated that there was a 25% (one in four), probability that the plaintiff was responsible for the discovered contraband. </w:t>
      </w:r>
      <w:bookmarkStart w:id="54" w:name="Bookmark_I6DBXFGH2SF8G70030000400"/>
      <w:bookmarkEnd w:id="54"/>
      <w:bookmarkStart w:id="55" w:name="Bookmark_I6DBXFGG28T4360050000400"/>
      <w:bookmarkEnd w:id="55"/>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346</w:t>
        </w:r>
      </w:hyperlink>
      <w:r>
        <w:rPr>
          <w:rFonts w:ascii="arial" w:eastAsia="arial" w:hAnsi="arial" w:cs="arial"/>
          <w:b w:val="0"/>
          <w:i w:val="0"/>
          <w:strike w:val="0"/>
          <w:noProof w:val="0"/>
          <w:color w:val="000000"/>
          <w:position w:val="0"/>
          <w:sz w:val="20"/>
          <w:u w:val="none"/>
          <w:vertAlign w:val="baseline"/>
        </w:rPr>
        <w:t xml:space="preserve">. </w:t>
      </w:r>
      <w:bookmarkStart w:id="56" w:name="Bookmark_I6DBXFGH2SF8G70030000400_2"/>
      <w:bookmarkEnd w:id="56"/>
      <w:bookmarkStart w:id="57" w:name="Bookmark_I6DBXFGG2SF8G40030000400_2"/>
      <w:bookmarkEnd w:id="57"/>
      <w:r>
        <w:rPr>
          <w:rFonts w:ascii="arial" w:eastAsia="arial" w:hAnsi="arial" w:cs="arial"/>
          <w:b w:val="0"/>
          <w:i w:val="0"/>
          <w:strike w:val="0"/>
          <w:noProof w:val="0"/>
          <w:color w:val="000000"/>
          <w:position w:val="0"/>
          <w:sz w:val="20"/>
          <w:u w:val="none"/>
          <w:vertAlign w:val="baseline"/>
        </w:rPr>
        <w:t xml:space="preserve">The Court held that this probability constituted "some evidence" of guilt as required by </w:t>
      </w:r>
      <w:r>
        <w:rPr>
          <w:rFonts w:ascii="arial" w:eastAsia="arial" w:hAnsi="arial" w:cs="arial"/>
          <w:b w:val="0"/>
          <w:i/>
          <w:strike w:val="0"/>
          <w:noProof w:val="0"/>
          <w:color w:val="000000"/>
          <w:position w:val="0"/>
          <w:sz w:val="20"/>
          <w:u w:val="none"/>
          <w:vertAlign w:val="baseline"/>
        </w:rPr>
        <w:t>Hill. Id.</w:t>
      </w:r>
      <w:r>
        <w:rPr>
          <w:rFonts w:ascii="arial" w:eastAsia="arial" w:hAnsi="arial" w:cs="arial"/>
          <w:b w:val="0"/>
          <w:i w:val="0"/>
          <w:strike w:val="0"/>
          <w:noProof w:val="0"/>
          <w:color w:val="000000"/>
          <w:position w:val="0"/>
          <w:sz w:val="20"/>
          <w:u w:val="none"/>
          <w:vertAlign w:val="baseline"/>
        </w:rPr>
        <w:t xml:space="preserve"> Writing for the majority, Judge Manion reasoned that at least in cases where </w:t>
      </w:r>
      <w:r>
        <w:rPr>
          <w:rFonts w:ascii="arial" w:eastAsia="arial" w:hAnsi="arial" w:cs="arial"/>
          <w:b/>
          <w:i w:val="0"/>
          <w:strike w:val="0"/>
          <w:noProof w:val="0"/>
          <w:color w:val="000000"/>
          <w:position w:val="0"/>
          <w:sz w:val="20"/>
          <w:u w:val="none"/>
          <w:vertAlign w:val="baseline"/>
        </w:rPr>
        <w:t>"contraband is found where only a few inmates have access,"</w:t>
      </w:r>
      <w:r>
        <w:rPr>
          <w:rFonts w:ascii="arial" w:eastAsia="arial" w:hAnsi="arial" w:cs="arial"/>
          <w:b w:val="0"/>
          <w:i w:val="0"/>
          <w:strike w:val="0"/>
          <w:noProof w:val="0"/>
          <w:color w:val="000000"/>
          <w:position w:val="0"/>
          <w:sz w:val="20"/>
          <w:u w:val="none"/>
          <w:vertAlign w:val="baseline"/>
        </w:rPr>
        <w:t xml:space="preserve"> use of the constructive possession doctrine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satisfy the Hill standard is "unproblematical." </w:t>
      </w:r>
      <w:bookmarkStart w:id="58" w:name="Bookmark_I6DBXFGG2SF8G40020000400"/>
      <w:bookmarkEnd w:id="5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345</w:t>
        </w:r>
      </w:hyperlink>
      <w:r>
        <w:rPr>
          <w:rFonts w:ascii="arial" w:eastAsia="arial" w:hAnsi="arial" w:cs="arial"/>
          <w:b w:val="0"/>
          <w:i w:val="0"/>
          <w:strike w:val="0"/>
          <w:noProof w:val="0"/>
          <w:color w:val="000000"/>
          <w:position w:val="0"/>
          <w:sz w:val="20"/>
          <w:u w:val="none"/>
          <w:vertAlign w:val="baseline"/>
        </w:rPr>
        <w:t xml:space="preserve"> (citing </w:t>
      </w:r>
      <w:bookmarkStart w:id="59" w:name="Bookmark_I6DBXFGG2SF8G40040000400"/>
      <w:bookmarkEnd w:id="59"/>
      <w:hyperlink r:id="rId13" w:history="1">
        <w:r>
          <w:rPr>
            <w:rFonts w:ascii="arial" w:eastAsia="arial" w:hAnsi="arial" w:cs="arial"/>
            <w:b w:val="0"/>
            <w:i/>
            <w:strike w:val="0"/>
            <w:noProof w:val="0"/>
            <w:color w:val="0077CC"/>
            <w:position w:val="0"/>
            <w:sz w:val="20"/>
            <w:u w:val="single"/>
            <w:vertAlign w:val="baseline"/>
          </w:rPr>
          <w:t>Hill</w:t>
        </w:r>
      </w:hyperlink>
      <w:hyperlink r:id="rId13" w:history="1">
        <w:r>
          <w:rPr>
            <w:rFonts w:ascii="arial" w:eastAsia="arial" w:hAnsi="arial" w:cs="arial"/>
            <w:b w:val="0"/>
            <w:i/>
            <w:strike w:val="0"/>
            <w:noProof w:val="0"/>
            <w:color w:val="0077CC"/>
            <w:position w:val="0"/>
            <w:sz w:val="20"/>
            <w:u w:val="single"/>
            <w:vertAlign w:val="baseline"/>
          </w:rPr>
          <w:t xml:space="preserve">, 472 U.S. at </w:t>
        </w:r>
      </w:hyperlink>
      <w:hyperlink r:id="rId13" w:history="1">
        <w:r>
          <w:rPr>
            <w:rFonts w:ascii="arial" w:eastAsia="arial" w:hAnsi="arial" w:cs="arial"/>
            <w:b w:val="0"/>
            <w:i/>
            <w:strike w:val="0"/>
            <w:noProof w:val="0"/>
            <w:color w:val="0077CC"/>
            <w:position w:val="0"/>
            <w:sz w:val="20"/>
            <w:u w:val="single"/>
            <w:vertAlign w:val="baseline"/>
          </w:rPr>
          <w:t>456-57</w:t>
        </w:r>
      </w:hyperlink>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inmates observed fleeing from the scene of an assault); </w:t>
      </w:r>
      <w:bookmarkStart w:id="60" w:name="Bookmark_I6DBXFGG2N1RGW0010000400"/>
      <w:bookmarkEnd w:id="60"/>
      <w:hyperlink r:id="rId20" w:history="1">
        <w:r>
          <w:rPr>
            <w:rFonts w:ascii="arial" w:eastAsia="arial" w:hAnsi="arial" w:cs="arial"/>
            <w:b w:val="0"/>
            <w:i/>
            <w:strike w:val="0"/>
            <w:noProof w:val="0"/>
            <w:color w:val="0077CC"/>
            <w:position w:val="0"/>
            <w:sz w:val="20"/>
            <w:u w:val="single"/>
            <w:vertAlign w:val="baseline"/>
          </w:rPr>
          <w:t>Mason v. Sargent</w:t>
        </w:r>
      </w:hyperlink>
      <w:hyperlink r:id="rId20" w:history="1">
        <w:r>
          <w:rPr>
            <w:rFonts w:ascii="arial" w:eastAsia="arial" w:hAnsi="arial" w:cs="arial"/>
            <w:b w:val="0"/>
            <w:i/>
            <w:strike w:val="0"/>
            <w:noProof w:val="0"/>
            <w:color w:val="0077CC"/>
            <w:position w:val="0"/>
            <w:sz w:val="20"/>
            <w:u w:val="single"/>
            <w:vertAlign w:val="baseline"/>
          </w:rPr>
          <w:t>, 898 F.2d 679, 680 (8th Cir.1990)</w:t>
        </w:r>
      </w:hyperlink>
      <w:r>
        <w:rPr>
          <w:rFonts w:ascii="arial" w:eastAsia="arial" w:hAnsi="arial" w:cs="arial"/>
          <w:b w:val="0"/>
          <w:i w:val="0"/>
          <w:strike w:val="0"/>
          <w:noProof w:val="0"/>
          <w:color w:val="000000"/>
          <w:position w:val="0"/>
          <w:sz w:val="20"/>
          <w:u w:val="none"/>
          <w:vertAlign w:val="baseline"/>
        </w:rPr>
        <w:t xml:space="preserve"> (contraband found in locker shared by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inmates); </w:t>
      </w:r>
      <w:r>
        <w:rPr>
          <w:rFonts w:ascii="arial" w:eastAsia="arial" w:hAnsi="arial" w:cs="arial"/>
          <w:b w:val="0"/>
          <w:i/>
          <w:strike w:val="0"/>
          <w:noProof w:val="0"/>
          <w:color w:val="000000"/>
          <w:position w:val="0"/>
          <w:sz w:val="20"/>
          <w:u w:val="none"/>
          <w:vertAlign w:val="baseline"/>
        </w:rPr>
        <w:t xml:space="preserve">see </w:t>
      </w:r>
      <w:bookmarkStart w:id="61" w:name="Bookmark_I6DBXFGG2N1RGW0030000400"/>
      <w:bookmarkEnd w:id="61"/>
      <w:hyperlink r:id="rId21" w:history="1">
        <w:r>
          <w:rPr>
            <w:rFonts w:ascii="arial" w:eastAsia="arial" w:hAnsi="arial" w:cs="arial"/>
            <w:b w:val="0"/>
            <w:i/>
            <w:strike w:val="0"/>
            <w:noProof w:val="0"/>
            <w:color w:val="0077CC"/>
            <w:position w:val="0"/>
            <w:sz w:val="20"/>
            <w:u w:val="single"/>
            <w:vertAlign w:val="baseline"/>
          </w:rPr>
          <w:t>Lasley v. Godinez</w:t>
        </w:r>
      </w:hyperlink>
      <w:hyperlink r:id="rId21" w:history="1">
        <w:r>
          <w:rPr>
            <w:rFonts w:ascii="arial" w:eastAsia="arial" w:hAnsi="arial" w:cs="arial"/>
            <w:b w:val="0"/>
            <w:i/>
            <w:strike w:val="0"/>
            <w:noProof w:val="0"/>
            <w:color w:val="0077CC"/>
            <w:position w:val="0"/>
            <w:sz w:val="20"/>
            <w:u w:val="single"/>
            <w:vertAlign w:val="baseline"/>
          </w:rPr>
          <w:t>, 833 F.Supp. 714 (N.D.Ill.1993)</w:t>
        </w:r>
      </w:hyperlink>
      <w:r>
        <w:rPr>
          <w:rFonts w:ascii="arial" w:eastAsia="arial" w:hAnsi="arial" w:cs="arial"/>
          <w:b w:val="0"/>
          <w:i w:val="0"/>
          <w:strike w:val="0"/>
          <w:noProof w:val="0"/>
          <w:color w:val="000000"/>
          <w:position w:val="0"/>
          <w:sz w:val="20"/>
          <w:u w:val="none"/>
          <w:vertAlign w:val="baseline"/>
        </w:rPr>
        <w:t xml:space="preserve"> (contraband discovered behind panel located above inmate's cell door presented one in </w:t>
      </w:r>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chance of guilt-contraband belonged either to inmate or individual who occupied the cell before him); </w:t>
      </w:r>
      <w:bookmarkStart w:id="62" w:name="Bookmark_I6DBXFGG2N1RGW0050000400"/>
      <w:bookmarkEnd w:id="62"/>
      <w:hyperlink r:id="rId22" w:history="1">
        <w:r>
          <w:rPr>
            <w:rFonts w:ascii="arial" w:eastAsia="arial" w:hAnsi="arial" w:cs="arial"/>
            <w:b w:val="0"/>
            <w:i/>
            <w:strike w:val="0"/>
            <w:noProof w:val="0"/>
            <w:color w:val="0077CC"/>
            <w:position w:val="0"/>
            <w:sz w:val="20"/>
            <w:u w:val="single"/>
            <w:vertAlign w:val="baseline"/>
          </w:rPr>
          <w:t>Harms v. Godinez</w:t>
        </w:r>
      </w:hyperlink>
      <w:hyperlink r:id="rId22" w:history="1">
        <w:r>
          <w:rPr>
            <w:rFonts w:ascii="arial" w:eastAsia="arial" w:hAnsi="arial" w:cs="arial"/>
            <w:b w:val="0"/>
            <w:i/>
            <w:strike w:val="0"/>
            <w:noProof w:val="0"/>
            <w:color w:val="0077CC"/>
            <w:position w:val="0"/>
            <w:sz w:val="20"/>
            <w:u w:val="single"/>
            <w:vertAlign w:val="baseline"/>
          </w:rPr>
          <w:t>, 829 F.Supp. 259 (N.D.I11.1993)</w:t>
        </w:r>
      </w:hyperlink>
      <w:r>
        <w:rPr>
          <w:rFonts w:ascii="arial" w:eastAsia="arial" w:hAnsi="arial" w:cs="arial"/>
          <w:b w:val="0"/>
          <w:i w:val="0"/>
          <w:strike w:val="0"/>
          <w:noProof w:val="0"/>
          <w:color w:val="000000"/>
          <w:position w:val="0"/>
          <w:sz w:val="20"/>
          <w:u w:val="none"/>
          <w:vertAlign w:val="baseline"/>
        </w:rPr>
        <w:t xml:space="preserve"> (contraband found bagged with trash in commissary work area staffed by </w:t>
      </w:r>
      <w:r>
        <w:rPr>
          <w:rFonts w:ascii="arial" w:eastAsia="arial" w:hAnsi="arial" w:cs="arial"/>
          <w:b w:val="0"/>
          <w:i/>
          <w:strike w:val="0"/>
          <w:noProof w:val="0"/>
          <w:color w:val="000000"/>
          <w:position w:val="0"/>
          <w:sz w:val="20"/>
          <w:u w:val="none"/>
          <w:vertAlign w:val="baseline"/>
        </w:rPr>
        <w:t>six</w:t>
      </w:r>
      <w:r>
        <w:rPr>
          <w:rFonts w:ascii="arial" w:eastAsia="arial" w:hAnsi="arial" w:cs="arial"/>
          <w:b w:val="0"/>
          <w:i w:val="0"/>
          <w:strike w:val="0"/>
          <w:noProof w:val="0"/>
          <w:color w:val="000000"/>
          <w:position w:val="0"/>
          <w:sz w:val="20"/>
          <w:u w:val="none"/>
          <w:vertAlign w:val="baseline"/>
        </w:rPr>
        <w:t xml:space="preserve">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bookmarkStart w:id="63" w:name="Bookmark_I6DBXFGH2SF8G70030000400_3"/>
      <w:bookmarkEnd w:id="63"/>
      <w:bookmarkStart w:id="64" w:name="Bookmark_I6DBXFGH2SF8G70020000400"/>
      <w:bookmarkEnd w:id="64"/>
      <w:hyperlink r:id="rId16" w:history="1">
        <w:r>
          <w:rPr>
            <w:rFonts w:ascii="arial" w:eastAsia="arial" w:hAnsi="arial" w:cs="arial"/>
            <w:b w:val="0"/>
            <w:i/>
            <w:strike w:val="0"/>
            <w:noProof w:val="0"/>
            <w:color w:val="0077CC"/>
            <w:position w:val="0"/>
            <w:sz w:val="20"/>
            <w:u w:val="single"/>
            <w:vertAlign w:val="baseline"/>
          </w:rPr>
          <w:t>Cardenas</w:t>
        </w:r>
      </w:hyperlink>
      <w:bookmarkStart w:id="65" w:name="Bookmark_I6DBXFGH2HM5S20020000400"/>
      <w:bookmarkEnd w:id="65"/>
      <w:r>
        <w:rPr>
          <w:rFonts w:ascii="arial" w:eastAsia="arial" w:hAnsi="arial" w:cs="arial"/>
          <w:b w:val="0"/>
          <w:i w:val="0"/>
          <w:strike w:val="0"/>
          <w:noProof w:val="0"/>
          <w:color w:val="000000"/>
          <w:position w:val="0"/>
          <w:sz w:val="20"/>
          <w:u w:val="none"/>
          <w:vertAlign w:val="baseline"/>
        </w:rPr>
        <w:t xml:space="preserve"> court agreed with Judge Posner's position in dissent in </w:t>
      </w:r>
      <w:bookmarkStart w:id="66" w:name="Bookmark_I6DBXFGH2SF8G70040000400"/>
      <w:bookmarkEnd w:id="66"/>
      <w:hyperlink r:id="rId19" w:history="1">
        <w:r>
          <w:rPr>
            <w:rFonts w:ascii="arial" w:eastAsia="arial" w:hAnsi="arial" w:cs="arial"/>
            <w:b w:val="0"/>
            <w:i/>
            <w:strike w:val="0"/>
            <w:noProof w:val="0"/>
            <w:color w:val="0077CC"/>
            <w:position w:val="0"/>
            <w:sz w:val="20"/>
            <w:u w:val="single"/>
            <w:vertAlign w:val="baseline"/>
          </w:rPr>
          <w:t>Hamilton</w:t>
        </w:r>
      </w:hyperlink>
      <w:r>
        <w:rPr>
          <w:rFonts w:ascii="arial" w:eastAsia="arial" w:hAnsi="arial" w:cs="arial"/>
          <w:b w:val="0"/>
          <w:i w:val="0"/>
          <w:strike w:val="0"/>
          <w:noProof w:val="0"/>
          <w:color w:val="000000"/>
          <w:position w:val="0"/>
          <w:sz w:val="20"/>
          <w:u w:val="none"/>
          <w:vertAlign w:val="baseline"/>
        </w:rPr>
        <w:t xml:space="preserve"> and, in the absence of any direct evidence linking the weapon to a specific prisoner, determined that the mere presence of the weapon in a cell shared by 12 inmates was not "some evidence" of guilt...</w:t>
      </w:r>
    </w:p>
    <w:p>
      <w:pPr>
        <w:keepNext w:val="0"/>
        <w:spacing w:before="200" w:after="0" w:line="260" w:lineRule="atLeast"/>
        <w:ind w:left="400" w:right="0" w:firstLine="0"/>
        <w:jc w:val="both"/>
      </w:pPr>
      <w:bookmarkStart w:id="67" w:name="Bookmark_para_15"/>
      <w:bookmarkEnd w:id="67"/>
      <w:bookmarkStart w:id="68" w:name="Bookmark_I6DBXFGH2HM5S20020000400_2"/>
      <w:bookmarkEnd w:id="68"/>
      <w:r>
        <w:rPr>
          <w:rFonts w:ascii="arial" w:eastAsia="arial" w:hAnsi="arial" w:cs="arial"/>
          <w:b w:val="0"/>
          <w:i w:val="0"/>
          <w:strike w:val="0"/>
          <w:noProof w:val="0"/>
          <w:color w:val="000000"/>
          <w:position w:val="0"/>
          <w:sz w:val="20"/>
          <w:u w:val="none"/>
          <w:vertAlign w:val="baseline"/>
        </w:rPr>
        <w:t xml:space="preserve">Here "the 8.3% (one in twelve) probability that any individual Petitioner committed the offenses is only half as great as the 16.7% (one in six), probability which was reluctantly found acceptable in </w:t>
      </w:r>
      <w:bookmarkStart w:id="69" w:name="Bookmark_I6DBXFGH2HM5S20020000400_3"/>
      <w:bookmarkEnd w:id="69"/>
      <w:bookmarkStart w:id="70" w:name="Bookmark_I6DBXFGH2HM5S20010000400"/>
      <w:bookmarkEnd w:id="70"/>
      <w:hyperlink r:id="rId22" w:history="1">
        <w:r>
          <w:rPr>
            <w:rFonts w:ascii="arial" w:eastAsia="arial" w:hAnsi="arial" w:cs="arial"/>
            <w:b w:val="0"/>
            <w:i/>
            <w:strike w:val="0"/>
            <w:noProof w:val="0"/>
            <w:color w:val="0077CC"/>
            <w:position w:val="0"/>
            <w:sz w:val="20"/>
            <w:u w:val="single"/>
            <w:vertAlign w:val="baseline"/>
          </w:rPr>
          <w:t>Harms</w:t>
        </w:r>
      </w:hyperlink>
      <w:r>
        <w:rPr>
          <w:rFonts w:ascii="arial" w:eastAsia="arial" w:hAnsi="arial" w:cs="arial"/>
          <w:b w:val="0"/>
          <w:i w:val="0"/>
          <w:strike w:val="0"/>
          <w:noProof w:val="0"/>
          <w:color w:val="000000"/>
          <w:position w:val="0"/>
          <w:sz w:val="20"/>
          <w:u w:val="none"/>
          <w:vertAlign w:val="baseline"/>
        </w:rPr>
        <w:t xml:space="preserve"> and 1/3 as great as the 25% (one in four), chance of guilt validated as sufficient under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by the </w:t>
      </w:r>
      <w:bookmarkStart w:id="71" w:name="Bookmark_I6DBXFGH2HM5S20030000400"/>
      <w:bookmarkEnd w:id="71"/>
      <w:hyperlink r:id="rId19" w:history="1">
        <w:r>
          <w:rPr>
            <w:rFonts w:ascii="arial" w:eastAsia="arial" w:hAnsi="arial" w:cs="arial"/>
            <w:b w:val="0"/>
            <w:i/>
            <w:strike w:val="0"/>
            <w:noProof w:val="0"/>
            <w:color w:val="0077CC"/>
            <w:position w:val="0"/>
            <w:sz w:val="20"/>
            <w:u w:val="single"/>
            <w:vertAlign w:val="baseline"/>
          </w:rPr>
          <w:t>Hamilton</w:t>
        </w:r>
      </w:hyperlink>
      <w:bookmarkStart w:id="72" w:name="Bookmark_I6DBXFGH2D6NR00010000400"/>
      <w:bookmarkEnd w:id="72"/>
      <w:r>
        <w:rPr>
          <w:rFonts w:ascii="arial" w:eastAsia="arial" w:hAnsi="arial" w:cs="arial"/>
          <w:b w:val="0"/>
          <w:i w:val="0"/>
          <w:strike w:val="0"/>
          <w:noProof w:val="0"/>
          <w:color w:val="000000"/>
          <w:position w:val="0"/>
          <w:sz w:val="20"/>
          <w:u w:val="none"/>
          <w:vertAlign w:val="baseline"/>
        </w:rPr>
        <w:t xml:space="preserve"> majority. Under these circumstances, the Court can not [sic] say that there was "some evidence" to support the disciplinary board's decision that Petitioners were guilty of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violations charged.</w:t>
      </w:r>
    </w:p>
    <w:p>
      <w:pPr>
        <w:keepNext w:val="0"/>
        <w:spacing w:before="240" w:after="0" w:line="260" w:lineRule="atLeast"/>
        <w:ind w:left="0" w:right="0" w:firstLine="0"/>
        <w:jc w:val="both"/>
      </w:pPr>
      <w:bookmarkStart w:id="73" w:name="Bookmark_I6DBXFGH2D6NR00010000400_2"/>
      <w:bookmarkEnd w:id="73"/>
      <w:bookmarkStart w:id="74" w:name="Bookmark_I6DBXFGH2HM5S20050000400"/>
      <w:bookmarkEnd w:id="74"/>
      <w:hyperlink r:id="rId16" w:history="1">
        <w:r>
          <w:rPr>
            <w:rFonts w:ascii="arial" w:eastAsia="arial" w:hAnsi="arial" w:cs="arial"/>
            <w:b w:val="0"/>
            <w:i/>
            <w:strike w:val="0"/>
            <w:color w:val="0077CC"/>
            <w:sz w:val="20"/>
            <w:u w:val="single"/>
            <w:vertAlign w:val="baseline"/>
          </w:rPr>
          <w:t>Cardenas</w:t>
        </w:r>
      </w:hyperlink>
      <w:hyperlink r:id="rId16" w:history="1">
        <w:r>
          <w:rPr>
            <w:rFonts w:ascii="arial" w:eastAsia="arial" w:hAnsi="arial" w:cs="arial"/>
            <w:b w:val="0"/>
            <w:i/>
            <w:strike w:val="0"/>
            <w:color w:val="0077CC"/>
            <w:sz w:val="20"/>
            <w:u w:val="single"/>
            <w:vertAlign w:val="baseline"/>
          </w:rPr>
          <w:t>, 921 F. Supp. at 289, fn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5" w:name="Bookmark_I6DBXFGH2D6NR00020000400"/>
      <w:bookmarkEnd w:id="75"/>
      <w:hyperlink r:id="rId23" w:history="1">
        <w:r>
          <w:rPr>
            <w:rFonts w:ascii="arial" w:eastAsia="arial" w:hAnsi="arial" w:cs="arial"/>
            <w:b w:val="0"/>
            <w:i/>
            <w:strike w:val="0"/>
            <w:noProof w:val="0"/>
            <w:color w:val="0077CC"/>
            <w:position w:val="0"/>
            <w:sz w:val="20"/>
            <w:u w:val="single"/>
            <w:vertAlign w:val="baseline"/>
          </w:rPr>
          <w:t>Brown v. Recktenwald</w:t>
        </w:r>
      </w:hyperlink>
      <w:hyperlink r:id="rId23" w:history="1">
        <w:r>
          <w:rPr>
            <w:rFonts w:ascii="arial" w:eastAsia="arial" w:hAnsi="arial" w:cs="arial"/>
            <w:b w:val="0"/>
            <w:i/>
            <w:strike w:val="0"/>
            <w:noProof w:val="0"/>
            <w:color w:val="0077CC"/>
            <w:position w:val="0"/>
            <w:sz w:val="20"/>
            <w:u w:val="single"/>
            <w:vertAlign w:val="baseline"/>
          </w:rPr>
          <w:t>, 550 F. App'x 96 (3d Cir. 2013)</w:t>
        </w:r>
      </w:hyperlink>
      <w:r>
        <w:rPr>
          <w:rFonts w:ascii="arial" w:eastAsia="arial" w:hAnsi="arial" w:cs="arial"/>
          <w:b w:val="0"/>
          <w:i w:val="0"/>
          <w:strike w:val="0"/>
          <w:noProof w:val="0"/>
          <w:color w:val="000000"/>
          <w:position w:val="0"/>
          <w:sz w:val="20"/>
          <w:u w:val="none"/>
          <w:vertAlign w:val="baseline"/>
        </w:rPr>
        <w:t xml:space="preserve">; </w:t>
      </w:r>
      <w:bookmarkStart w:id="76" w:name="Bookmark_I6DBXFGH2D6NR00040000400"/>
      <w:bookmarkEnd w:id="76"/>
      <w:hyperlink r:id="rId24" w:history="1">
        <w:r>
          <w:rPr>
            <w:rFonts w:ascii="arial" w:eastAsia="arial" w:hAnsi="arial" w:cs="arial"/>
            <w:b w:val="0"/>
            <w:i/>
            <w:strike w:val="0"/>
            <w:noProof w:val="0"/>
            <w:color w:val="0077CC"/>
            <w:position w:val="0"/>
            <w:sz w:val="20"/>
            <w:u w:val="single"/>
            <w:vertAlign w:val="baseline"/>
          </w:rPr>
          <w:t>Denny v. Schultz</w:t>
        </w:r>
      </w:hyperlink>
      <w:hyperlink r:id="rId24" w:history="1">
        <w:r>
          <w:rPr>
            <w:rFonts w:ascii="arial" w:eastAsia="arial" w:hAnsi="arial" w:cs="arial"/>
            <w:b w:val="0"/>
            <w:i/>
            <w:strike w:val="0"/>
            <w:noProof w:val="0"/>
            <w:color w:val="0077CC"/>
            <w:position w:val="0"/>
            <w:sz w:val="20"/>
            <w:u w:val="single"/>
            <w:vertAlign w:val="baseline"/>
          </w:rPr>
          <w:t>, 708 F.3d 140 (3d Cir. 2013)</w:t>
        </w:r>
      </w:hyperlink>
      <w:r>
        <w:rPr>
          <w:rFonts w:ascii="arial" w:eastAsia="arial" w:hAnsi="arial" w:cs="arial"/>
          <w:b w:val="0"/>
          <w:i w:val="0"/>
          <w:strike w:val="0"/>
          <w:noProof w:val="0"/>
          <w:color w:val="000000"/>
          <w:position w:val="0"/>
          <w:sz w:val="20"/>
          <w:u w:val="none"/>
          <w:vertAlign w:val="baseline"/>
        </w:rPr>
        <w:t>. With no direct evidence linking Mercado-Rosario to the contraband, the basis for the disciplinary board ruling was derived solely from application of the constructive possession doctrine.</w:t>
      </w:r>
    </w:p>
    <w:p>
      <w:pPr>
        <w:keepNext w:val="0"/>
        <w:spacing w:before="200" w:after="0" w:line="260" w:lineRule="atLeast"/>
        <w:ind w:left="0" w:right="0" w:firstLine="0"/>
        <w:jc w:val="both"/>
      </w:pPr>
      <w:bookmarkStart w:id="77" w:name="Bookmark_para_16"/>
      <w:bookmarkEnd w:id="77"/>
      <w:r>
        <w:rPr>
          <w:rFonts w:ascii="arial" w:eastAsia="arial" w:hAnsi="arial" w:cs="arial"/>
          <w:b w:val="0"/>
          <w:i w:val="0"/>
          <w:strike w:val="0"/>
          <w:noProof w:val="0"/>
          <w:color w:val="000000"/>
          <w:position w:val="0"/>
          <w:sz w:val="20"/>
          <w:u w:val="none"/>
          <w:vertAlign w:val="baseline"/>
        </w:rPr>
        <w:t xml:space="preserve">Mercado-Rosario asserts the finding of constructive possession was in error as any one of the 300 inmates who reportedly had access to Mercado-Rosario's living space, was responsible for the contraband, and that ratio is so statistically insignificant as to have virtually no probative value. </w:t>
      </w:r>
      <w:bookmarkStart w:id="78" w:name="Bookmark_I6DBXFGH2SF8GD0020000400"/>
      <w:bookmarkEnd w:id="78"/>
      <w:r>
        <w:rPr>
          <w:rFonts w:ascii="arial" w:eastAsia="arial" w:hAnsi="arial" w:cs="arial"/>
          <w:b w:val="0"/>
          <w:i w:val="0"/>
          <w:strike w:val="0"/>
          <w:noProof w:val="0"/>
          <w:color w:val="000000"/>
          <w:position w:val="0"/>
          <w:sz w:val="20"/>
          <w:u w:val="none"/>
          <w:vertAlign w:val="baseline"/>
        </w:rPr>
        <w:t xml:space="preserve">In addition, Mercado-Rosario states that the contraband was discovered out in the open on the floor of his cell to support that any, and all, who had access to the open living area could be the owner of the contraband. The Court disagrees and finds that constructive possession existed. The more likely scenario is that one of the two inmates living and in possession of the cell owned the contraband. "... [T]he possibility of open access does not change the validity of the finding of guilt.... Not every possible alternative renders evidence of constructive possession inadequate." </w:t>
      </w:r>
      <w:bookmarkStart w:id="79" w:name="Bookmark_I6DBXFGH2SF8GD0010000400"/>
      <w:bookmarkEnd w:id="79"/>
      <w:hyperlink r:id="rId18" w:history="1">
        <w:r>
          <w:rPr>
            <w:rFonts w:ascii="arial" w:eastAsia="arial" w:hAnsi="arial" w:cs="arial"/>
            <w:b w:val="0"/>
            <w:i/>
            <w:strike w:val="0"/>
            <w:noProof w:val="0"/>
            <w:color w:val="0077CC"/>
            <w:position w:val="0"/>
            <w:sz w:val="20"/>
            <w:u w:val="single"/>
            <w:vertAlign w:val="baseline"/>
          </w:rPr>
          <w:t>Gordon</w:t>
        </w:r>
      </w:hyperlink>
      <w:hyperlink r:id="rId18" w:history="1">
        <w:r>
          <w:rPr>
            <w:rFonts w:ascii="arial" w:eastAsia="arial" w:hAnsi="arial" w:cs="arial"/>
            <w:b w:val="0"/>
            <w:i/>
            <w:strike w:val="0"/>
            <w:noProof w:val="0"/>
            <w:color w:val="0077CC"/>
            <w:position w:val="0"/>
            <w:sz w:val="20"/>
            <w:u w:val="single"/>
            <w:vertAlign w:val="baseline"/>
          </w:rPr>
          <w:t>, 2006 WL 2345944, at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("While it is possible that the weapon was a 'plant,' it is speculation that an inmate not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assigned to the cell concealed a weapon where it would do him little or no good ....").</w:t>
      </w:r>
    </w:p>
    <w:p>
      <w:pPr>
        <w:keepNext w:val="0"/>
        <w:spacing w:before="24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 xml:space="preserve">In this case there are two inmates responsible for the space in which the contraband was found. Apart from the constructive possession, Mercado-Rosario "took responsibility" for the cell phone. Given these two facts there is a better than 50% chance that Mercado-Rosario was culpable. </w:t>
      </w:r>
      <w:bookmarkStart w:id="81" w:name="Bookmark_I6DBXFGH2SF8GD0040000400"/>
      <w:bookmarkEnd w:id="81"/>
      <w:r>
        <w:rPr>
          <w:rFonts w:ascii="arial" w:eastAsia="arial" w:hAnsi="arial" w:cs="arial"/>
          <w:b w:val="0"/>
          <w:i w:val="0"/>
          <w:strike w:val="0"/>
          <w:noProof w:val="0"/>
          <w:color w:val="000000"/>
          <w:position w:val="0"/>
          <w:sz w:val="20"/>
          <w:u w:val="none"/>
          <w:vertAlign w:val="baseline"/>
        </w:rPr>
        <w:t xml:space="preserve">Pure speculation as to the other inmates housed at FCI-Loretto to dilute probability would produce an untenable result where prison officials would be unable to convict any inmate of possessing contraband where there is an open cell arrangement. Based on these facts there is "some evidence" of Petitioner's guilt. "Ascertaining whether the 'some evidence' standard is satisfied 'does not require examination of the entire record, independent assessment of the credibility of witnesses, or weighing the evidence.' The only issue is whether the finding of constructive possession satisfies the 'some evidence' standard." </w:t>
      </w:r>
      <w:bookmarkStart w:id="82" w:name="Bookmark_I6DBXFGH2SF8GD0030000400"/>
      <w:bookmarkEnd w:id="82"/>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w:t>
        </w:r>
      </w:hyperlink>
      <w:r>
        <w:rPr>
          <w:rFonts w:ascii="arial" w:eastAsia="arial" w:hAnsi="arial" w:cs="arial"/>
          <w:b w:val="0"/>
          <w:i w:val="0"/>
          <w:strike w:val="0"/>
          <w:noProof w:val="0"/>
          <w:color w:val="000000"/>
          <w:position w:val="0"/>
          <w:sz w:val="20"/>
          <w:u w:val="none"/>
          <w:vertAlign w:val="baseline"/>
        </w:rPr>
        <w:t xml:space="preserve"> (internal citations omitted). Given that "some evidence" supports the DHO's findings, it cannot be said that Mercado-Rosario was denied his due process rights.</w:t>
      </w:r>
    </w:p>
    <w:p>
      <w:pPr>
        <w:keepNext w:val="0"/>
        <w:spacing w:before="200" w:after="0" w:line="260" w:lineRule="atLeast"/>
        <w:ind w:left="0" w:right="0" w:firstLine="0"/>
        <w:jc w:val="both"/>
      </w:pPr>
      <w:bookmarkStart w:id="83" w:name="Bookmark_para_18"/>
      <w:bookmarkEnd w:id="83"/>
      <w:r>
        <w:rPr>
          <w:rFonts w:ascii="arial" w:eastAsia="arial" w:hAnsi="arial" w:cs="arial"/>
          <w:b w:val="0"/>
          <w:i w:val="0"/>
          <w:strike w:val="0"/>
          <w:noProof w:val="0"/>
          <w:color w:val="000000"/>
          <w:position w:val="0"/>
          <w:sz w:val="20"/>
          <w:u w:val="none"/>
          <w:vertAlign w:val="baseline"/>
        </w:rPr>
        <w:t>Accordingly, the following order is entered: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r>
        <w:rPr>
          <w:rFonts w:ascii="arial" w:eastAsia="arial" w:hAnsi="arial" w:cs="arial"/>
          <w:b/>
          <w:i w:val="0"/>
          <w:strike w:val="0"/>
          <w:noProof w:val="0"/>
          <w:color w:val="000000"/>
          <w:position w:val="0"/>
          <w:sz w:val="20"/>
          <w:u w:val="single"/>
          <w:vertAlign w:val="baseline"/>
        </w:rPr>
        <w:t> [*10] </w:t>
      </w:r>
    </w:p>
    <w:p>
      <w:pPr>
        <w:keepNext w:val="0"/>
        <w:spacing w:before="240" w:after="0" w:line="260" w:lineRule="atLeast"/>
        <w:ind w:left="0" w:right="0" w:firstLine="0"/>
        <w:jc w:val="both"/>
      </w:pPr>
      <w:bookmarkStart w:id="84" w:name="Bookmark_para_19"/>
      <w:bookmarkEnd w:id="84"/>
      <w:r>
        <w:rPr>
          <w:rFonts w:ascii="arial" w:eastAsia="arial" w:hAnsi="arial" w:cs="arial"/>
          <w:b w:val="0"/>
          <w:i w:val="0"/>
          <w:strike w:val="0"/>
          <w:noProof w:val="0"/>
          <w:color w:val="000000"/>
          <w:position w:val="0"/>
          <w:sz w:val="20"/>
          <w:u w:val="none"/>
          <w:vertAlign w:val="baseline"/>
        </w:rPr>
        <w:t xml:space="preserve">AND NOW, this 15th day of November 2023, IT IS ORDERED that the petition for a writ of habeas corpus pursuant to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(ECF No. 3) hereby is DISMISSED WITH PREJUDICE; and,</w:t>
      </w:r>
    </w:p>
    <w:p>
      <w:pPr>
        <w:keepNext w:val="0"/>
        <w:spacing w:before="200" w:after="0" w:line="260" w:lineRule="atLeast"/>
        <w:ind w:left="0" w:right="0" w:firstLine="0"/>
        <w:jc w:val="both"/>
      </w:pPr>
      <w:bookmarkStart w:id="85" w:name="Bookmark_para_20"/>
      <w:bookmarkEnd w:id="85"/>
      <w:r>
        <w:rPr>
          <w:rFonts w:ascii="arial" w:eastAsia="arial" w:hAnsi="arial" w:cs="arial"/>
          <w:b w:val="0"/>
          <w:i w:val="0"/>
          <w:strike w:val="0"/>
          <w:noProof w:val="0"/>
          <w:color w:val="000000"/>
          <w:position w:val="0"/>
          <w:sz w:val="20"/>
          <w:u w:val="none"/>
          <w:vertAlign w:val="baseline"/>
        </w:rPr>
        <w:t>IT IS FURTHER ORDERED that Magistrate Judge Pesto's Report and Recommendation (ECF No. 13) is adopted as the Opinion of the Court; and,</w:t>
      </w:r>
    </w:p>
    <w:p>
      <w:pPr>
        <w:keepNext w:val="0"/>
        <w:spacing w:before="200" w:after="0" w:line="260" w:lineRule="atLeast"/>
        <w:ind w:left="0" w:right="0" w:firstLine="0"/>
        <w:jc w:val="both"/>
      </w:pPr>
      <w:bookmarkStart w:id="86" w:name="Bookmark_para_21"/>
      <w:bookmarkEnd w:id="86"/>
      <w:r>
        <w:rPr>
          <w:rFonts w:ascii="arial" w:eastAsia="arial" w:hAnsi="arial" w:cs="arial"/>
          <w:b w:val="0"/>
          <w:i w:val="0"/>
          <w:strike w:val="0"/>
          <w:noProof w:val="0"/>
          <w:color w:val="000000"/>
          <w:position w:val="0"/>
          <w:sz w:val="20"/>
          <w:u w:val="none"/>
          <w:vertAlign w:val="baseline"/>
        </w:rPr>
        <w:t>IT IS FURTHER ORDERED that the Clerk of Court is directed to mark this matter closed.</w:t>
      </w:r>
    </w:p>
    <w:p>
      <w:pPr>
        <w:keepNext w:val="0"/>
        <w:spacing w:before="200" w:after="0" w:line="260" w:lineRule="atLeast"/>
        <w:ind w:left="0" w:right="0" w:firstLine="0"/>
        <w:jc w:val="both"/>
      </w:pPr>
      <w:bookmarkStart w:id="87" w:name="Bookmark_para_22"/>
      <w:bookmarkEnd w:id="87"/>
      <w:r>
        <w:rPr>
          <w:rFonts w:ascii="arial" w:eastAsia="arial" w:hAnsi="arial" w:cs="arial"/>
          <w:b w:val="0"/>
          <w:i w:val="0"/>
          <w:strike w:val="0"/>
          <w:noProof w:val="0"/>
          <w:color w:val="000000"/>
          <w:position w:val="0"/>
          <w:sz w:val="20"/>
          <w:u w:val="none"/>
          <w:vertAlign w:val="baseline"/>
        </w:rPr>
        <w:t>/s/ Stephanie L. Haines</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Stephanie L. Haines</w:t>
      </w:r>
    </w:p>
    <w:p>
      <w:pPr>
        <w:keepNext w:val="0"/>
        <w:spacing w:before="200" w:after="0" w:line="260" w:lineRule="atLeast"/>
        <w:ind w:left="0" w:right="0" w:firstLine="0"/>
        <w:jc w:val="both"/>
      </w:pPr>
      <w:bookmarkStart w:id="89" w:name="Bookmark_para_24"/>
      <w:bookmarkEnd w:id="8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Nos. 3-2, 3-3.</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Judge Pesto also notes that the DHO Report (ECF No. 9-4, p. 11) states that "the petitioner verbally 'took responsibility to exonerate [his] cellmate who was in the SHU with [him]'". Judge Pesto comments: "[T]hat ends the matter right there: an admission of guilt, even if recanted later, is sufficient evidence of guilt." ECF No. 13, p.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Mercado-Rosario v. Loretto, 2023 U.S. Dist. LEXIS 243800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2-00000-00&amp;context=1519360" TargetMode="External" /><Relationship Id="rId11" Type="http://schemas.openxmlformats.org/officeDocument/2006/relationships/hyperlink" Target="https://advance.lexis.com/api/document?collection=cases&amp;id=urn:contentItem:3S4X-CVJ0-003B-S2WY-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3S4X-B3F0-0039-N4JP-00000-00&amp;context=1519360" TargetMode="External" /><Relationship Id="rId14" Type="http://schemas.openxmlformats.org/officeDocument/2006/relationships/hyperlink" Target="https://advance.lexis.com/api/document?collection=cases&amp;id=urn:contentItem:510X-XV71-652R-1005-00000-00&amp;context=1519360" TargetMode="External" /><Relationship Id="rId15" Type="http://schemas.openxmlformats.org/officeDocument/2006/relationships/hyperlink" Target="https://advance.lexis.com/api/document?collection=cases&amp;id=urn:contentItem:576R-9G71-F04K-K2PG-00000-00&amp;context=1519360" TargetMode="External" /><Relationship Id="rId16" Type="http://schemas.openxmlformats.org/officeDocument/2006/relationships/hyperlink" Target="https://advance.lexis.com/api/document?collection=cases&amp;id=urn:contentItem:3S4N-P5Y0-006F-P46B-00000-00&amp;context=1519360" TargetMode="External" /><Relationship Id="rId17" Type="http://schemas.openxmlformats.org/officeDocument/2006/relationships/hyperlink" Target="https://advance.lexis.com/api/document?collection=cases&amp;id=urn:contentItem:4MP0-66M0-TVWB-J21G-00000-00&amp;context=1519360" TargetMode="External" /><Relationship Id="rId18" Type="http://schemas.openxmlformats.org/officeDocument/2006/relationships/hyperlink" Target="https://advance.lexis.com/api/document?collection=cases&amp;id=urn:contentItem:4KMB-S290-TVWB-J1X4-00000-00&amp;context=1519360" TargetMode="External" /><Relationship Id="rId19" Type="http://schemas.openxmlformats.org/officeDocument/2006/relationships/hyperlink" Target="https://advance.lexis.com/api/document?collection=cases&amp;id=urn:contentItem:3S4X-0VC0-008H-V1H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9C0-003B-54DS-00000-00&amp;context=1519360" TargetMode="External" /><Relationship Id="rId21" Type="http://schemas.openxmlformats.org/officeDocument/2006/relationships/hyperlink" Target="https://advance.lexis.com/api/document?collection=cases&amp;id=urn:contentItem:3S4N-FB80-001T-61FD-00000-00&amp;context=1519360" TargetMode="External" /><Relationship Id="rId22" Type="http://schemas.openxmlformats.org/officeDocument/2006/relationships/hyperlink" Target="https://advance.lexis.com/api/document?collection=cases&amp;id=urn:contentItem:3S4N-HW80-001T-606X-00000-00&amp;context=1519360" TargetMode="External" /><Relationship Id="rId23" Type="http://schemas.openxmlformats.org/officeDocument/2006/relationships/hyperlink" Target="https://advance.lexis.com/api/document?collection=cases&amp;id=urn:contentItem:5B1D-FG61-F04K-K13N-00000-00&amp;context=1519360" TargetMode="External" /><Relationship Id="rId24" Type="http://schemas.openxmlformats.org/officeDocument/2006/relationships/hyperlink" Target="https://advance.lexis.com/api/document?collection=cases&amp;id=urn:contentItem:57RW-4WN1-F04K-K07P-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DBS-5XN3-RS3R-C4W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Mercado-Rosario v. Loretto, 2023 U.S. Dist. LEXIS 243800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urn:user:PA186186283</vt:lpwstr>
  </property>
</Properties>
</file>