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Morales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2023, Decided; February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18-cv-4247 (CBA) (RER)</w:t>
      </w:r>
    </w:p>
    <w:p>
      <w:pPr>
        <w:keepNext w:val="0"/>
        <w:spacing w:after="0" w:line="240" w:lineRule="atLeast"/>
        <w:ind w:right="0"/>
        <w:jc w:val="both"/>
      </w:pPr>
      <w:bookmarkStart w:id="0" w:name="Bookmark_1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29837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2129580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JUAN MORALES, Plaintiff, -against- UNITED STATES OF AMERICA, KELECHI EZEIGBO, LINU KOSHY, and DAVID HERNANDEZ, Defendants.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FOR PUBLICATION</w:t>
      </w:r>
    </w:p>
    <w:p>
      <w:pPr>
        <w:keepNext w:val="0"/>
        <w:spacing w:before="240" w:after="0" w:line="260" w:lineRule="atLeast"/>
        <w:ind w:left="0" w:right="0" w:firstLine="0"/>
        <w:jc w:val="left"/>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Morales v. United States, 2020 U.S. Dist. LEXIS 139854, 2020 WL 4504655 (E.D.N.Y., Aug. 5, 2020)</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Secondary, detention, reasonable suspicion, cause of action, travel, assault, routine, arrest, false arrest, battery, border search, questioning, inspection, searches, circumstances, quotation, marks, fingerprinted, cellphone, burglary, arrival, cases, infliction of emotional distress, international border, false imprisonment, non-routine, intrusion, genuine, minutes</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Juan Morales, Plaintiff: Brett Louis Kuller, LEAD ATTORNEY, Joudeh &amp; Kuller, LLP, Mineola, NY; Mehmet F. Gokce, LEAD ATTORNEY, Chaikin Trial Group, Melville, NY; Michael Ma, Baron Associates, PC, Brooklyn, NY; Sameer Chopra, Chopra and Nocerino, LLP, Garden City, NY; Alex Nocerino, Chopra &amp; Nocerino,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Shana C. Priore, LEAD ATTORNEY, USAO, Brooklyn, NY; Rachel G. Balaban, U.S. Attorney's Office, EDNY, Brooklyn,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John/Jane Doe Officers, individually and in their official capacities,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John/Jane Doe Detectives, individually and in their official capacities,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John/Jane Doe Agents and/or Employees of The United States, individually and in their official capacities,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David Hernandez in his individual capacity, Kelechi Ezeigbo, in his individual capacity, Linu Koshy, in his individual capacity, Defendants: Shana C. Priore, LEAD ATTORNEY, USAO, Brooklyn, NY.</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Carol Bagley Amon, United States District Judge.</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Carol Bagley Amon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&amp; ORDER</w:t>
      </w:r>
    </w:p>
    <w:p>
      <w:pPr>
        <w:keepNext w:val="0"/>
        <w:spacing w:before="200" w:after="0" w:line="260" w:lineRule="atLeast"/>
        <w:ind w:left="0" w:right="0" w:firstLine="0"/>
        <w:jc w:val="both"/>
      </w:pPr>
      <w:bookmarkStart w:id="10" w:name="Bookmark_para_2"/>
      <w:bookmarkEnd w:id="10"/>
      <w:r>
        <w:rPr>
          <w:rFonts w:ascii="arial" w:eastAsia="arial" w:hAnsi="arial" w:cs="arial"/>
          <w:b/>
          <w:i w:val="0"/>
          <w:strike w:val="0"/>
          <w:noProof w:val="0"/>
          <w:color w:val="000000"/>
          <w:position w:val="0"/>
          <w:sz w:val="20"/>
          <w:u w:val="none"/>
          <w:vertAlign w:val="baseline"/>
        </w:rPr>
        <w:t>AMON, United States District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Plaintiff Juan Morales ("Morales") brought this case against the United States of America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three Customs and Border Protection ("CBP") officers, Kelechi Ezeigbo, Linu Koshy, and David Hernandez ("Individual CBP Officers," and collectively, "Defendants"). Morales's claims arise out of his detention at the John F. Kennedy Airport ("JFK") on his arrival from Colombia to New York. Specifically, Morales brought: (i) eight claims against the United States under the Federal Tort Claims Act ("FTCA"), </w:t>
      </w:r>
      <w:hyperlink r:id="rId11"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xml:space="preserve">, including false arrest and false imprisonment, assault, battery, negligence, negligent training, negligent hiring, intentional infliction of emotional distress, and negligent infliction of emotional distress; and (ii) three claims against the Individual CBP Officers pursuant to </w:t>
      </w:r>
      <w:hyperlink r:id="rId12" w:history="1">
        <w:r>
          <w:rPr>
            <w:rFonts w:ascii="arial" w:eastAsia="arial" w:hAnsi="arial" w:cs="arial"/>
            <w:b w:val="0"/>
            <w:i/>
            <w:strike w:val="0"/>
            <w:noProof w:val="0"/>
            <w:color w:val="0077CC"/>
            <w:position w:val="0"/>
            <w:sz w:val="20"/>
            <w:u w:val="single"/>
            <w:vertAlign w:val="baseline"/>
          </w:rPr>
          <w:t>Bivens v. Six Unknown Named Agents of Federal Bureau of Narcotics</w:t>
        </w:r>
      </w:hyperlink>
      <w:hyperlink r:id="rId12" w:history="1">
        <w:r>
          <w:rPr>
            <w:rFonts w:ascii="arial" w:eastAsia="arial" w:hAnsi="arial" w:cs="arial"/>
            <w:b w:val="0"/>
            <w:i/>
            <w:strike w:val="0"/>
            <w:noProof w:val="0"/>
            <w:color w:val="0077CC"/>
            <w:position w:val="0"/>
            <w:sz w:val="20"/>
            <w:u w:val="single"/>
            <w:vertAlign w:val="baseline"/>
          </w:rPr>
          <w:t>, 403 U.S. 388, 91 S. Ct. 1999, 29 L. Ed. 2d 619 (1971)</w:t>
        </w:r>
      </w:hyperlink>
      <w:r>
        <w:rPr>
          <w:rFonts w:ascii="arial" w:eastAsia="arial" w:hAnsi="arial" w:cs="arial"/>
          <w:b w:val="0"/>
          <w:i w:val="0"/>
          <w:strike w:val="0"/>
          <w:noProof w:val="0"/>
          <w:color w:val="000000"/>
          <w:position w:val="0"/>
          <w:sz w:val="20"/>
          <w:u w:val="none"/>
          <w:vertAlign w:val="baseline"/>
        </w:rPr>
        <w:t xml:space="preserve"> ("Bivens"), including a claim of unreasonable search and seizure under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 claim of deprivation of due process under the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and a claim of violation of the right to counsel under the </w:t>
      </w:r>
      <w:hyperlink r:id="rId1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(Docket Entry ("D.E.") # 15 ("Am. Compl.") ¶¶ 46-110;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D.E. # 80 ("Pl. Opp'n") 25.) Defendants move for summary judgment on all claims. For the reasons below, Defendants' motion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Although the parties' 56.1 statements have some differences, the parties agree on the following facts. On the morning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October 20, 2016, Morales, a U.S. citizen, arrived at JFK in Queens, New York aboard a flight from Medellin, Colombia. (D.E. # 78-2 ("Defs. 56.1 Statement") ¶¶ 1, 47-48; D.E. # 80-1 ("P1. 56.1 Statement") ¶¶ 1, 47.) Upon disembarking, Morales entered the CBP area of JFK, known as the Federal Inspection Service ("FIS") area, and stopped in for primary inspection ("Primary") with Officer Kelechi Ezeigbo ("Officer Ezeigbo"). (Defs. 56.1 Statement ¶¶ 49-50; Pl. 56.1 Statement ¶¶ 48-49.) Upon scanning Morales's passport and consulting TECS, a database used by CBP to screen arriving passengers, Officer Ezeigbo determined that Morales was the subject of an Order of Protection based on information from the National Crime Information Center (an "NCIC hit"). (Defs. 56.1 Statement ¶¶ 18, 51-53; Pl. 56.1 Statement ¶¶ 19, 49-52.) Pursuant to CBP policy, all passengers who are subject to an NCIC hit must be referred to secondary inspection ("Secondary") to ensure that they are not in violation of the Order of Protection. (Defs. 56.1 Statement ¶¶ 55-58; PI. 56.1 Statement ¶¶ 54-57.) Accordingly, Officer Ezeigbo referred Morales to Secondary and escorted him to the waiting room; Morales testified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he does not recall seeing Officer Ezeigbo again that day. (Defs. 56.1 Statement ¶¶ 60-61; Pl. 56.1 Statement ¶¶ 59-60.)</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Although Morales was referred to Secondary due to the NCIC hit, CBP had been aware of Morales for some time. First, Morales has been the subject of a burglary investigation by the Nassau County Police Department ("NCPD"). (Defs. 56.1 Statement ¶ 16; Pl. 56.1 Statement ¶ 18.) Around July 2016, several months prior to Morales's flight to JFK, Detective John Dezelic ("Detective Dezelic") of the NCPD contacted Supervisory CBP Officer David Hernandez ("SCBPO Hernandez") and asked CBP to track Morales's travels. (Defs. 56.1 Statement ¶¶ 13-17, 21; PI. 56.1 Statement ¶ 18.) Second, since 2011, Morales has separately been under CBP investigation for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(Defs. 56.1 Statement ¶ 26; Pl. 56.1 Statement ¶ 27.) In the months leading up to Morales's arrival at JFK, SCBPO Hernandez coordinated with NCPD and monitored Morales's travels, ultimately concluding that Morales may be involved in narcotics trafficking. (Defs. 56.1 Statement ¶¶ 21-25, 32-36, 39, 45; Pl. 56.1 Statement 11 22-26, 33-36, 39, 45.) Specifically, SCBPO Hernandez observed that Morales (i) had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twice missed his flight to the United States between July and October 2016—a travel pattern typically associated with suspected drug traffickers,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Ex. BB</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("Hernandez Dep.") 24:13-25:10), (ii) traveled from a drug source country, and (iii) has a prior criminal history. (Defs. 56.1 Statement ¶¶ 22-24, 30-31, 39, 44-45; Pl. 56.1 Statement ¶¶ 23-25, 31-32, 39, 44-45.) Accordingly, as Morales disembarked at JFK on October 20, 2016, SCBPO Hernandez and several NCPD detectives, including Detective Dezelic, were prepared to intercept him. (Hernandez Dep. 125:4-9.) This type of collaboration between CBP and local law enforcement occurs routinely, with local law enforcement officers appearing on scene in the CBP's area of JFK to apprehend individuals as often as two to three times per month. (Defs. 56.1 Statement ¶ 46; Pl. 56.1 Statement ¶ 46.)</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After being referred to Secondary, Morales waited for approximately 45 minutes before an "Indian-Hindu looking" CBP officer ("Unidentified CBP Officer") and an NCPD detective escorted him to an interview room. (Defs. 56.1 Statement ¶ 62; P1. 56.1 Statement ¶ 61.) The evidentiary record does not provide a definitive answer as to who the Unidentified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CBP Officer is. Defendants' briefing suggests that Officer Linu Koshy ("Officer Koshy") "may" have been the officer who questioned Morales. (D.E.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77-5 ("Defs. Reply Mem.") 6 n.2.) Although his name indeed appears on the Secondary Inspection Report, Officer Koshy testified that he does not remember whether he had interacted with Morales that day. (</w:t>
      </w:r>
      <w:r>
        <w:rPr>
          <w:rFonts w:ascii="arial" w:eastAsia="arial" w:hAnsi="arial" w:cs="arial"/>
          <w:b w:val="0"/>
          <w:i w:val="0"/>
          <w:strike w:val="0"/>
          <w:noProof w:val="0"/>
          <w:color w:val="000000"/>
          <w:position w:val="0"/>
          <w:sz w:val="20"/>
          <w:u w:val="single"/>
          <w:vertAlign w:val="baseline"/>
        </w:rPr>
        <w:t>Compare</w:t>
      </w:r>
      <w:r>
        <w:rPr>
          <w:rFonts w:ascii="arial" w:eastAsia="arial" w:hAnsi="arial" w:cs="arial"/>
          <w:b w:val="0"/>
          <w:i w:val="0"/>
          <w:strike w:val="0"/>
          <w:noProof w:val="0"/>
          <w:color w:val="000000"/>
          <w:position w:val="0"/>
          <w:sz w:val="20"/>
          <w:u w:val="none"/>
          <w:vertAlign w:val="baseline"/>
        </w:rPr>
        <w:t xml:space="preserve"> Ex. A ("Secondary Inspection Report"), </w:t>
      </w:r>
      <w:r>
        <w:rPr>
          <w:rFonts w:ascii="arial" w:eastAsia="arial" w:hAnsi="arial" w:cs="arial"/>
          <w:b w:val="0"/>
          <w:i w:val="0"/>
          <w:strike w:val="0"/>
          <w:noProof w:val="0"/>
          <w:color w:val="000000"/>
          <w:position w:val="0"/>
          <w:sz w:val="20"/>
          <w:u w:val="single"/>
          <w:vertAlign w:val="baseline"/>
        </w:rPr>
        <w:t>with</w:t>
      </w:r>
      <w:r>
        <w:rPr>
          <w:rFonts w:ascii="arial" w:eastAsia="arial" w:hAnsi="arial" w:cs="arial"/>
          <w:b w:val="0"/>
          <w:i w:val="0"/>
          <w:strike w:val="0"/>
          <w:noProof w:val="0"/>
          <w:color w:val="000000"/>
          <w:position w:val="0"/>
          <w:sz w:val="20"/>
          <w:u w:val="none"/>
          <w:vertAlign w:val="baseline"/>
        </w:rPr>
        <w:t xml:space="preserve"> Ex. DD (Koshy Dep.) 107:25-108:13.)</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During the approximately 34-minutes of questioning,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Unidentified CBP Officer asked Morales about his travels, his bank accounts in Colombia, and his cellphone. (Defs. 56.1 Statement ¶ 63; Pl. 56.1 Statement ¶ 62.) When asked, Morales also gave his iPhone passcode to the Unidentified CBP Officer, who examined his cellphone for approximately three minutes. (Defs. 56.1 Statement ¶ 64; Pl. 56.1 Statement ¶ 64; Ex. EE ("Morales Dep.") 64:21-24.) Following Morales's interview, the Unidentified CBP Officer escorted him to a room to get fingerprinted, while another CBP officer searched his luggage in his presence for about ten minutes. (Defs. 56.1 Statement ¶ 65; Pl. 56.1 Statement ¶ 67.) According to Morales, the only physical contact he had with any of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CBP officers occurred when the Unidentified CBP Officer "grabbed" his arm when escorting him to the fingerprinting machine, although the contact did not hurt him. (Morales Dep. 69:1-16, 141:13-17.)</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In all, Morales spent approximately two hours with CBP, including some thirty minutes at Primary, (Les Pl. 56.1 Statement ¶¶ 48, 59), plus some eighty minutes at Secondary,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Secondary Inspection Report; Ex. T (CBP email exchange); Pl. 56.1 Statement If 61). Following his screening and admission into the United States as a citizen, Morales was placed under arrest by NCPD detectives.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(Defs. 56.1 Statement ¶ 68.) Thereafter, Morales was taken by NCPD to the NCPD precinct, where he was later charged with two counts of burglary and remained in custody for approximately five months.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(Defs. 56.1 Statement ¶¶ 76-77; Pl. 56.1 Statement ¶¶ 71-72, 76.) On February 13, 2017, Detective Dezelic emailed SCBPO Hernandez to inquire if Morales had been out of the country during the time period when the burglary had occurred. (Defs. 56.1 Statement ¶ 78; Pl. 56.1 Statement ¶ 73.) Twenty minutes later, SCBPO Hernandez responded that Morales was out of the country during that time. (Defs. 56.1 Statement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79; Pl. 56.1 Statement ¶ 74; Ex. V (email exchange between SCBPO Hernandez and Detective Dezelic).) Subsequently, Morales was released on bail, and NCPD later dropped all charges against him. (Defs. 56.1 Statement ¶¶ 80-81; Pl. 56.1 Statement ¶¶ 75-76.)</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 xml:space="preserve">On July 26, 2018, Morales brought suit against the United States under the FTCA and against John and Jane Doe Officers under </w:t>
      </w:r>
      <w:r>
        <w:rPr>
          <w:rFonts w:ascii="arial" w:eastAsia="arial" w:hAnsi="arial" w:cs="arial"/>
          <w:b w:val="0"/>
          <w:i w:val="0"/>
          <w:strike w:val="0"/>
          <w:noProof w:val="0"/>
          <w:color w:val="000000"/>
          <w:position w:val="0"/>
          <w:sz w:val="20"/>
          <w:u w:val="single"/>
          <w:vertAlign w:val="baseline"/>
        </w:rPr>
        <w:t>Bivens. (See</w:t>
      </w:r>
      <w:r>
        <w:rPr>
          <w:rFonts w:ascii="arial" w:eastAsia="arial" w:hAnsi="arial" w:cs="arial"/>
          <w:b w:val="0"/>
          <w:i w:val="0"/>
          <w:strike w:val="0"/>
          <w:noProof w:val="0"/>
          <w:color w:val="000000"/>
          <w:position w:val="0"/>
          <w:sz w:val="20"/>
          <w:u w:val="none"/>
          <w:vertAlign w:val="baseline"/>
        </w:rPr>
        <w:t xml:space="preserve"> D.E. # 1 (Compl.).) On May 28, 2019, Morales amended the complaint solely to add Officer Ezeigbo, Officer Koshy, and SCBPO Hernandez as defendants.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Am. Compl.) Morales's principal contention is that CBP had been negligent in failing to verify his travel history from the beginning, which would have spared him some five months of jailtime.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After the parties have taken some discovery, Defendants now move for summary judgment on all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Standard of Review</w:t>
      </w:r>
    </w:p>
    <w:p>
      <w:pPr>
        <w:keepNext w:val="0"/>
        <w:spacing w:before="240" w:after="0" w:line="260" w:lineRule="atLeast"/>
        <w:ind w:left="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 xml:space="preserve">A party is entitled to summary judgment if the pleadings and evidence that would be admissible at trial show that there is "no genuine dispute as to any material fact and the movant is entitled to judgment as a matter of law." </w:t>
      </w:r>
      <w:hyperlink r:id="rId16"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Santos v. Murdock</w:t>
        </w:r>
      </w:hyperlink>
      <w:hyperlink r:id="rId17" w:history="1">
        <w:r>
          <w:rPr>
            <w:rFonts w:ascii="arial" w:eastAsia="arial" w:hAnsi="arial" w:cs="arial"/>
            <w:b w:val="0"/>
            <w:i/>
            <w:strike w:val="0"/>
            <w:noProof w:val="0"/>
            <w:color w:val="0077CC"/>
            <w:position w:val="0"/>
            <w:sz w:val="20"/>
            <w:u w:val="single"/>
            <w:vertAlign w:val="baseline"/>
          </w:rPr>
          <w:t>, 243 F.3d 681, 683 (2d Cir. 2001)</w:t>
        </w:r>
      </w:hyperlink>
      <w:r>
        <w:rPr>
          <w:rFonts w:ascii="arial" w:eastAsia="arial" w:hAnsi="arial" w:cs="arial"/>
          <w:b w:val="0"/>
          <w:i w:val="0"/>
          <w:strike w:val="0"/>
          <w:noProof w:val="0"/>
          <w:color w:val="000000"/>
          <w:position w:val="0"/>
          <w:sz w:val="20"/>
          <w:u w:val="none"/>
          <w:vertAlign w:val="baseline"/>
        </w:rPr>
        <w:t xml:space="preserve"> (per curiam). At the summary judgment stage, the court's task is not to resolve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disputed issues of fact, "but to determine whether there is a genuine issue for trial." </w:t>
      </w:r>
      <w:hyperlink r:id="rId18" w:history="1">
        <w:r>
          <w:rPr>
            <w:rFonts w:ascii="arial" w:eastAsia="arial" w:hAnsi="arial" w:cs="arial"/>
            <w:b w:val="0"/>
            <w:i/>
            <w:strike w:val="0"/>
            <w:noProof w:val="0"/>
            <w:color w:val="0077CC"/>
            <w:position w:val="0"/>
            <w:sz w:val="20"/>
            <w:u w:val="single"/>
            <w:vertAlign w:val="baseline"/>
          </w:rPr>
          <w:t>Anderson v. Liberty Lobby, Inc.</w:t>
        </w:r>
      </w:hyperlink>
      <w:hyperlink r:id="rId18" w:history="1">
        <w:r>
          <w:rPr>
            <w:rFonts w:ascii="arial" w:eastAsia="arial" w:hAnsi="arial" w:cs="arial"/>
            <w:b w:val="0"/>
            <w:i/>
            <w:strike w:val="0"/>
            <w:noProof w:val="0"/>
            <w:color w:val="0077CC"/>
            <w:position w:val="0"/>
            <w:sz w:val="20"/>
            <w:u w:val="single"/>
            <w:vertAlign w:val="baseline"/>
          </w:rPr>
          <w:t>, 477 U.S. 242, 249, 106 S. Ct. 2505, 91 L. Ed. 2d 202 (1986)</w:t>
        </w:r>
      </w:hyperlink>
      <w:r>
        <w:rPr>
          <w:rFonts w:ascii="arial" w:eastAsia="arial" w:hAnsi="arial" w:cs="arial"/>
          <w:b w:val="0"/>
          <w:i w:val="0"/>
          <w:strike w:val="0"/>
          <w:noProof w:val="0"/>
          <w:color w:val="000000"/>
          <w:position w:val="0"/>
          <w:sz w:val="20"/>
          <w:u w:val="none"/>
          <w:vertAlign w:val="baseline"/>
        </w:rPr>
        <w:t xml:space="preserve">. On summary judgment, "the judge's function is not himself to weigh the evidence and determine the truth of the matter," but instead to answer "the threshold inquiry of determining whether there is the need for a trial." </w:t>
      </w:r>
      <w:hyperlink r:id="rId19" w:history="1">
        <w:r>
          <w:rPr>
            <w:rFonts w:ascii="arial" w:eastAsia="arial" w:hAnsi="arial" w:cs="arial"/>
            <w:b w:val="0"/>
            <w:i/>
            <w:strike w:val="0"/>
            <w:noProof w:val="0"/>
            <w:color w:val="0077CC"/>
            <w:position w:val="0"/>
            <w:sz w:val="20"/>
            <w:u w:val="single"/>
            <w:vertAlign w:val="baseline"/>
          </w:rPr>
          <w:t>Green v. Town of East Haven</w:t>
        </w:r>
      </w:hyperlink>
      <w:hyperlink r:id="rId19" w:history="1">
        <w:r>
          <w:rPr>
            <w:rFonts w:ascii="arial" w:eastAsia="arial" w:hAnsi="arial" w:cs="arial"/>
            <w:b w:val="0"/>
            <w:i/>
            <w:strike w:val="0"/>
            <w:noProof w:val="0"/>
            <w:color w:val="0077CC"/>
            <w:position w:val="0"/>
            <w:sz w:val="20"/>
            <w:u w:val="single"/>
            <w:vertAlign w:val="baseline"/>
          </w:rPr>
          <w:t>, 952 F.3d 394, 405-06 (2d Cir. 2020)</w:t>
        </w:r>
      </w:hyperlink>
      <w:r>
        <w:rPr>
          <w:rFonts w:ascii="arial" w:eastAsia="arial" w:hAnsi="arial" w:cs="arial"/>
          <w:b w:val="0"/>
          <w:i w:val="0"/>
          <w:strike w:val="0"/>
          <w:noProof w:val="0"/>
          <w:color w:val="000000"/>
          <w:position w:val="0"/>
          <w:sz w:val="20"/>
          <w:u w:val="none"/>
          <w:vertAlign w:val="baseline"/>
        </w:rPr>
        <w:t xml:space="preserve"> (quoting </w:t>
      </w:r>
      <w:hyperlink r:id="rId18" w:history="1">
        <w:r>
          <w:rPr>
            <w:rFonts w:ascii="arial" w:eastAsia="arial" w:hAnsi="arial" w:cs="arial"/>
            <w:b w:val="0"/>
            <w:i/>
            <w:strike w:val="0"/>
            <w:noProof w:val="0"/>
            <w:color w:val="0077CC"/>
            <w:position w:val="0"/>
            <w:sz w:val="20"/>
            <w:u w:val="single"/>
            <w:vertAlign w:val="baseline"/>
          </w:rPr>
          <w:t>Anderson</w:t>
        </w:r>
      </w:hyperlink>
      <w:hyperlink r:id="rId18" w:history="1">
        <w:r>
          <w:rPr>
            <w:rFonts w:ascii="arial" w:eastAsia="arial" w:hAnsi="arial" w:cs="arial"/>
            <w:b w:val="0"/>
            <w:i/>
            <w:strike w:val="0"/>
            <w:noProof w:val="0"/>
            <w:color w:val="0077CC"/>
            <w:position w:val="0"/>
            <w:sz w:val="20"/>
            <w:u w:val="single"/>
            <w:vertAlign w:val="baseline"/>
          </w:rPr>
          <w:t>, 477 U.S. at 249-50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 xml:space="preserve">The moving party carries the burden of demonstrating the absence of a material factual question. </w:t>
      </w:r>
      <w:hyperlink r:id="rId20" w:history="1">
        <w:r>
          <w:rPr>
            <w:rFonts w:ascii="arial" w:eastAsia="arial" w:hAnsi="arial" w:cs="arial"/>
            <w:b w:val="0"/>
            <w:i/>
            <w:strike w:val="0"/>
            <w:noProof w:val="0"/>
            <w:color w:val="0077CC"/>
            <w:position w:val="0"/>
            <w:sz w:val="20"/>
            <w:u w:val="single"/>
            <w:vertAlign w:val="baseline"/>
          </w:rPr>
          <w:t>Celotex Corp. v. Catrett</w:t>
        </w:r>
      </w:hyperlink>
      <w:hyperlink r:id="rId20"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In determining whether this burden has been satisfied, a court must "construe the facts in the light most favorable to the non-moving party and ... resolve all ambiguities and draw all reasonable inferences against the movant." </w:t>
      </w:r>
      <w:hyperlink r:id="rId21" w:history="1">
        <w:r>
          <w:rPr>
            <w:rFonts w:ascii="arial" w:eastAsia="arial" w:hAnsi="arial" w:cs="arial"/>
            <w:b w:val="0"/>
            <w:i/>
            <w:strike w:val="0"/>
            <w:noProof w:val="0"/>
            <w:color w:val="0077CC"/>
            <w:position w:val="0"/>
            <w:sz w:val="20"/>
            <w:u w:val="single"/>
            <w:vertAlign w:val="baseline"/>
          </w:rPr>
          <w:t>Brod v. Omya, Inc.</w:t>
        </w:r>
      </w:hyperlink>
      <w:hyperlink r:id="rId21" w:history="1">
        <w:r>
          <w:rPr>
            <w:rFonts w:ascii="arial" w:eastAsia="arial" w:hAnsi="arial" w:cs="arial"/>
            <w:b w:val="0"/>
            <w:i/>
            <w:strike w:val="0"/>
            <w:noProof w:val="0"/>
            <w:color w:val="0077CC"/>
            <w:position w:val="0"/>
            <w:sz w:val="20"/>
            <w:u w:val="single"/>
            <w:vertAlign w:val="baseline"/>
          </w:rPr>
          <w:t>, 653 F.3d 156, 164 (2d Cir. 2011)</w:t>
        </w:r>
      </w:hyperlink>
      <w:r>
        <w:rPr>
          <w:rFonts w:ascii="arial" w:eastAsia="arial" w:hAnsi="arial" w:cs="arial"/>
          <w:b w:val="0"/>
          <w:i w:val="0"/>
          <w:strike w:val="0"/>
          <w:noProof w:val="0"/>
          <w:color w:val="000000"/>
          <w:position w:val="0"/>
          <w:sz w:val="20"/>
          <w:u w:val="none"/>
          <w:vertAlign w:val="baseline"/>
        </w:rPr>
        <w:t xml:space="preserve"> (quoting </w:t>
      </w:r>
      <w:hyperlink r:id="rId22" w:history="1">
        <w:r>
          <w:rPr>
            <w:rFonts w:ascii="arial" w:eastAsia="arial" w:hAnsi="arial" w:cs="arial"/>
            <w:b w:val="0"/>
            <w:i/>
            <w:strike w:val="0"/>
            <w:noProof w:val="0"/>
            <w:color w:val="0077CC"/>
            <w:position w:val="0"/>
            <w:sz w:val="20"/>
            <w:u w:val="single"/>
            <w:vertAlign w:val="baseline"/>
          </w:rPr>
          <w:t>Williams v. R.H. Donnelley, Corp.</w:t>
        </w:r>
      </w:hyperlink>
      <w:hyperlink r:id="rId22" w:history="1">
        <w:r>
          <w:rPr>
            <w:rFonts w:ascii="arial" w:eastAsia="arial" w:hAnsi="arial" w:cs="arial"/>
            <w:b w:val="0"/>
            <w:i/>
            <w:strike w:val="0"/>
            <w:noProof w:val="0"/>
            <w:color w:val="0077CC"/>
            <w:position w:val="0"/>
            <w:sz w:val="20"/>
            <w:u w:val="single"/>
            <w:vertAlign w:val="baseline"/>
          </w:rPr>
          <w:t>, 368 F.3d 123, 126 (2d Cir. 2004)</w:t>
        </w:r>
      </w:hyperlink>
      <w:r>
        <w:rPr>
          <w:rFonts w:ascii="arial" w:eastAsia="arial" w:hAnsi="arial" w:cs="arial"/>
          <w:b w:val="0"/>
          <w:i w:val="0"/>
          <w:strike w:val="0"/>
          <w:noProof w:val="0"/>
          <w:color w:val="000000"/>
          <w:position w:val="0"/>
          <w:sz w:val="20"/>
          <w:u w:val="none"/>
          <w:vertAlign w:val="baseline"/>
        </w:rPr>
        <w:t xml:space="preserve">). Nevertheless, the nonmoving party cannot rest on speculations, conjectures, or denials, but "must 'set forth specific facts showing that there is a genuine issue for trial.'" </w:t>
      </w:r>
      <w:hyperlink r:id="rId23" w:history="1">
        <w:r>
          <w:rPr>
            <w:rFonts w:ascii="arial" w:eastAsia="arial" w:hAnsi="arial" w:cs="arial"/>
            <w:b w:val="0"/>
            <w:i/>
            <w:strike w:val="0"/>
            <w:noProof w:val="0"/>
            <w:color w:val="0077CC"/>
            <w:position w:val="0"/>
            <w:sz w:val="20"/>
            <w:u w:val="single"/>
            <w:vertAlign w:val="baseline"/>
          </w:rPr>
          <w:t>Rubens v. Mason</w:t>
        </w:r>
      </w:hyperlink>
      <w:hyperlink r:id="rId23" w:history="1">
        <w:r>
          <w:rPr>
            <w:rFonts w:ascii="arial" w:eastAsia="arial" w:hAnsi="arial" w:cs="arial"/>
            <w:b w:val="0"/>
            <w:i/>
            <w:strike w:val="0"/>
            <w:noProof w:val="0"/>
            <w:color w:val="0077CC"/>
            <w:position w:val="0"/>
            <w:sz w:val="20"/>
            <w:u w:val="single"/>
            <w:vertAlign w:val="baseline"/>
          </w:rPr>
          <w:t>, 527 F.3d 252, 254 (2d Cir. 2008)</w:t>
        </w:r>
      </w:hyperlink>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xml:space="preserve">). A genuine issue exists only where "there is sufficient evidence favoring the nonmoving party for a jury to return a verdict for that party." </w:t>
      </w:r>
      <w:hyperlink r:id="rId18" w:history="1">
        <w:r>
          <w:rPr>
            <w:rFonts w:ascii="arial" w:eastAsia="arial" w:hAnsi="arial" w:cs="arial"/>
            <w:b w:val="0"/>
            <w:i/>
            <w:strike w:val="0"/>
            <w:noProof w:val="0"/>
            <w:color w:val="0077CC"/>
            <w:position w:val="0"/>
            <w:sz w:val="20"/>
            <w:u w:val="single"/>
            <w:vertAlign w:val="baseline"/>
          </w:rPr>
          <w:t>Anderson</w:t>
        </w:r>
      </w:hyperlink>
      <w:hyperlink r:id="rId18"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 xml:space="preserve">. When reviewing the evidence submitted for a motion for summary judgment, "[t]he court need consider only the cited materials, but it may consider other materials in the record." </w:t>
      </w:r>
      <w:hyperlink r:id="rId16" w:history="1">
        <w:r>
          <w:rPr>
            <w:rFonts w:ascii="arial" w:eastAsia="arial" w:hAnsi="arial" w:cs="arial"/>
            <w:b w:val="0"/>
            <w:i/>
            <w:strike w:val="0"/>
            <w:noProof w:val="0"/>
            <w:color w:val="0077CC"/>
            <w:position w:val="0"/>
            <w:sz w:val="20"/>
            <w:u w:val="single"/>
            <w:vertAlign w:val="baseline"/>
          </w:rPr>
          <w:t>Fed. R. Civ. P. 56(c)(3)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FTCA</w:t>
      </w:r>
    </w:p>
    <w:p>
      <w:pPr>
        <w:keepNext w:val="0"/>
        <w:spacing w:before="24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The FTCA functions 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limited exception to the doctrine of sovereign immunity and "permits suit against the United States for the tortious actions of its employees." </w:t>
      </w:r>
      <w:hyperlink r:id="rId24" w:history="1">
        <w:r>
          <w:rPr>
            <w:rFonts w:ascii="arial" w:eastAsia="arial" w:hAnsi="arial" w:cs="arial"/>
            <w:b w:val="0"/>
            <w:i/>
            <w:strike w:val="0"/>
            <w:noProof w:val="0"/>
            <w:color w:val="0077CC"/>
            <w:position w:val="0"/>
            <w:sz w:val="20"/>
            <w:u w:val="single"/>
            <w:vertAlign w:val="baseline"/>
          </w:rPr>
          <w:t>Selvam v. United States</w:t>
        </w:r>
      </w:hyperlink>
      <w:hyperlink r:id="rId24" w:history="1">
        <w:r>
          <w:rPr>
            <w:rFonts w:ascii="arial" w:eastAsia="arial" w:hAnsi="arial" w:cs="arial"/>
            <w:b w:val="0"/>
            <w:i/>
            <w:strike w:val="0"/>
            <w:noProof w:val="0"/>
            <w:color w:val="0077CC"/>
            <w:position w:val="0"/>
            <w:sz w:val="20"/>
            <w:u w:val="single"/>
            <w:vertAlign w:val="baseline"/>
          </w:rPr>
          <w:t>, 570 F. Supp. 3d 29, 49 (E.D.N.Y.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25" w:history="1">
        <w:r>
          <w:rPr>
            <w:rFonts w:ascii="arial" w:eastAsia="arial" w:hAnsi="arial" w:cs="arial"/>
            <w:b w:val="0"/>
            <w:i/>
            <w:strike w:val="0"/>
            <w:noProof w:val="0"/>
            <w:color w:val="0077CC"/>
            <w:position w:val="0"/>
            <w:sz w:val="20"/>
            <w:u w:val="single"/>
            <w:vertAlign w:val="baseline"/>
          </w:rPr>
          <w:t>Wake v. United States</w:t>
        </w:r>
      </w:hyperlink>
      <w:hyperlink r:id="rId25" w:history="1">
        <w:r>
          <w:rPr>
            <w:rFonts w:ascii="arial" w:eastAsia="arial" w:hAnsi="arial" w:cs="arial"/>
            <w:b w:val="0"/>
            <w:i/>
            <w:strike w:val="0"/>
            <w:noProof w:val="0"/>
            <w:color w:val="0077CC"/>
            <w:position w:val="0"/>
            <w:sz w:val="20"/>
            <w:u w:val="single"/>
            <w:vertAlign w:val="baseline"/>
          </w:rPr>
          <w:t>, 89 F.3d 53. 57 (2d Cir. 1996)</w:t>
        </w:r>
      </w:hyperlink>
      <w:r>
        <w:rPr>
          <w:rFonts w:ascii="arial" w:eastAsia="arial" w:hAnsi="arial" w:cs="arial"/>
          <w:b w:val="0"/>
          <w:i w:val="0"/>
          <w:strike w:val="0"/>
          <w:noProof w:val="0"/>
          <w:color w:val="000000"/>
          <w:position w:val="0"/>
          <w:sz w:val="20"/>
          <w:u w:val="none"/>
          <w:vertAlign w:val="baseline"/>
        </w:rPr>
        <w:t xml:space="preserve"> ("Absent a waiver, sovereign immunity shields the federal Government and its agencies from suit. Thus, sovereign immunity is jurisdictional in nature." (alteration omitted) (quoting </w:t>
      </w:r>
      <w:hyperlink r:id="rId26" w:history="1">
        <w:r>
          <w:rPr>
            <w:rFonts w:ascii="arial" w:eastAsia="arial" w:hAnsi="arial" w:cs="arial"/>
            <w:b w:val="0"/>
            <w:i/>
            <w:strike w:val="0"/>
            <w:noProof w:val="0"/>
            <w:color w:val="0077CC"/>
            <w:position w:val="0"/>
            <w:sz w:val="20"/>
            <w:u w:val="single"/>
            <w:vertAlign w:val="baseline"/>
          </w:rPr>
          <w:t>Dorking Genetics v. United States</w:t>
        </w:r>
      </w:hyperlink>
      <w:hyperlink r:id="rId26" w:history="1">
        <w:r>
          <w:rPr>
            <w:rFonts w:ascii="arial" w:eastAsia="arial" w:hAnsi="arial" w:cs="arial"/>
            <w:b w:val="0"/>
            <w:i/>
            <w:strike w:val="0"/>
            <w:noProof w:val="0"/>
            <w:color w:val="0077CC"/>
            <w:position w:val="0"/>
            <w:sz w:val="20"/>
            <w:u w:val="single"/>
            <w:vertAlign w:val="baseline"/>
          </w:rPr>
          <w:t>, 76 F.3d 1261, 1264 (2d Cir. 1996)</w:t>
        </w:r>
      </w:hyperlink>
      <w:r>
        <w:rPr>
          <w:rFonts w:ascii="arial" w:eastAsia="arial" w:hAnsi="arial" w:cs="arial"/>
          <w:b w:val="0"/>
          <w:i w:val="0"/>
          <w:strike w:val="0"/>
          <w:noProof w:val="0"/>
          <w:color w:val="000000"/>
          <w:position w:val="0"/>
          <w:sz w:val="20"/>
          <w:u w:val="none"/>
          <w:vertAlign w:val="baseline"/>
        </w:rPr>
        <w:t xml:space="preserve">)). Specifically, the FTCA permits tort suits against the federal government "in the same manner and to the same extent as a private individual under like circumstances," </w:t>
      </w:r>
      <w:hyperlink r:id="rId27" w:history="1">
        <w:r>
          <w:rPr>
            <w:rFonts w:ascii="arial" w:eastAsia="arial" w:hAnsi="arial" w:cs="arial"/>
            <w:b w:val="0"/>
            <w:i/>
            <w:strike w:val="0"/>
            <w:noProof w:val="0"/>
            <w:color w:val="0077CC"/>
            <w:position w:val="0"/>
            <w:sz w:val="20"/>
            <w:u w:val="single"/>
            <w:vertAlign w:val="baseline"/>
          </w:rPr>
          <w:t>28 U.S.C. § 2674</w:t>
        </w:r>
      </w:hyperlink>
      <w:r>
        <w:rPr>
          <w:rFonts w:ascii="arial" w:eastAsia="arial" w:hAnsi="arial" w:cs="arial"/>
          <w:b w:val="0"/>
          <w:i w:val="0"/>
          <w:strike w:val="0"/>
          <w:noProof w:val="0"/>
          <w:color w:val="000000"/>
          <w:position w:val="0"/>
          <w:sz w:val="20"/>
          <w:u w:val="none"/>
          <w:vertAlign w:val="baseline"/>
        </w:rPr>
        <w:t xml:space="preserve">, "in accordance with the law of the place where the act or omission occurred," </w:t>
      </w:r>
      <w:hyperlink r:id="rId11"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xml:space="preserve">. In this case, because the allegedly wrongful actions took place in New York, Morales must adequately plead each element of the relevant tort claim under New York law. </w:t>
      </w:r>
      <w:r>
        <w:rPr>
          <w:rFonts w:ascii="arial" w:eastAsia="arial" w:hAnsi="arial" w:cs="arial"/>
          <w:b w:val="0"/>
          <w:i w:val="0"/>
          <w:strike w:val="0"/>
          <w:noProof w:val="0"/>
          <w:color w:val="000000"/>
          <w:position w:val="0"/>
          <w:sz w:val="20"/>
          <w:u w:val="single"/>
          <w:vertAlign w:val="baseline"/>
        </w:rPr>
        <w:t xml:space="preserve">See </w:t>
      </w:r>
      <w:hyperlink r:id="rId28" w:history="1">
        <w:r>
          <w:rPr>
            <w:rFonts w:ascii="arial" w:eastAsia="arial" w:hAnsi="arial" w:cs="arial"/>
            <w:b w:val="0"/>
            <w:i/>
            <w:strike w:val="0"/>
            <w:noProof w:val="0"/>
            <w:color w:val="0077CC"/>
            <w:position w:val="0"/>
            <w:sz w:val="20"/>
            <w:u w:val="single"/>
            <w:vertAlign w:val="baseline"/>
          </w:rPr>
          <w:t>Fed. Deposit Ins. Corp. v. Meyer</w:t>
        </w:r>
      </w:hyperlink>
      <w:hyperlink r:id="rId28" w:history="1">
        <w:r>
          <w:rPr>
            <w:rFonts w:ascii="arial" w:eastAsia="arial" w:hAnsi="arial" w:cs="arial"/>
            <w:b w:val="0"/>
            <w:i/>
            <w:strike w:val="0"/>
            <w:noProof w:val="0"/>
            <w:color w:val="0077CC"/>
            <w:position w:val="0"/>
            <w:sz w:val="20"/>
            <w:u w:val="single"/>
            <w:vertAlign w:val="baseline"/>
          </w:rPr>
          <w:t>, 510 U.S. 471, 478 (1994)</w:t>
        </w:r>
      </w:hyperlink>
      <w:r>
        <w:rPr>
          <w:rFonts w:ascii="arial" w:eastAsia="arial" w:hAnsi="arial" w:cs="arial"/>
          <w:b w:val="0"/>
          <w:i w:val="0"/>
          <w:strike w:val="0"/>
          <w:noProof w:val="0"/>
          <w:color w:val="000000"/>
          <w:position w:val="0"/>
          <w:sz w:val="20"/>
          <w:u w:val="none"/>
          <w:vertAlign w:val="baseline"/>
        </w:rPr>
        <w:t xml:space="preserve"> ("[The] law of the State . . . [is] the source of substantive liability under the FTCA.").</w:t>
      </w:r>
    </w:p>
    <w:p>
      <w:pPr>
        <w:keepNext w:val="0"/>
        <w:spacing w:before="24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In his amended complaint, Morales asserts eight claims against the United States under the FTCA. (Am. Compl. ¶¶ 46-94.) At the outset, I note that an assessment of a plaintiffs FTCA claims may require a court to consider their merits. However, because the FTCA functions as a waiver of sovereign immunity, a finding that a particular FTCA claim</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fails on the merits would also deprive a court of subject-matter jurisdiction. </w:t>
      </w:r>
      <w:r>
        <w:rPr>
          <w:rFonts w:ascii="arial" w:eastAsia="arial" w:hAnsi="arial" w:cs="arial"/>
          <w:b w:val="0"/>
          <w:i w:val="0"/>
          <w:strike w:val="0"/>
          <w:noProof w:val="0"/>
          <w:color w:val="000000"/>
          <w:position w:val="0"/>
          <w:sz w:val="20"/>
          <w:u w:val="singl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Brownback v. King</w:t>
        </w:r>
      </w:hyperlink>
      <w:hyperlink r:id="rId29" w:history="1">
        <w:r>
          <w:rPr>
            <w:rFonts w:ascii="arial" w:eastAsia="arial" w:hAnsi="arial" w:cs="arial"/>
            <w:b w:val="0"/>
            <w:i/>
            <w:strike w:val="0"/>
            <w:noProof w:val="0"/>
            <w:color w:val="0077CC"/>
            <w:position w:val="0"/>
            <w:sz w:val="20"/>
            <w:u w:val="single"/>
            <w:vertAlign w:val="baseline"/>
          </w:rPr>
          <w:t>, 141 S. Ct. 740, 749, 209 L. Ed. 2d 33 (2021)</w:t>
        </w:r>
      </w:hyperlink>
      <w:r>
        <w:rPr>
          <w:rFonts w:ascii="arial" w:eastAsia="arial" w:hAnsi="arial" w:cs="arial"/>
          <w:b w:val="0"/>
          <w:i w:val="0"/>
          <w:strike w:val="0"/>
          <w:noProof w:val="0"/>
          <w:color w:val="000000"/>
          <w:position w:val="0"/>
          <w:sz w:val="20"/>
          <w:u w:val="none"/>
          <w:vertAlign w:val="baseline"/>
        </w:rPr>
        <w:t xml:space="preserve"> (describing the "unique context of the FTCA" in which "all elements of a meritorious claim are also jurisdictional"). Therefore, although I reach the merits of many of Morales's FTCA claims below, I dismiss all eight claims for lack of subject-matter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First Cause of Action: False Arrest and False Imprisonment</w:t>
      </w:r>
    </w:p>
    <w:p>
      <w:pPr>
        <w:keepNext w:val="0"/>
        <w:spacing w:before="240" w:after="0" w:line="260" w:lineRule="atLeast"/>
        <w:ind w:left="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 xml:space="preserve">Morales's first cause of action raises a claim of false arrest and false imprisonment. The FTCA permits a plaintiff to assert "any claim arising ... out of assault, battery, false imprisonment, [and] false arrest" when the case involves "acts or omission of investigative or law enforcement officers of the United States." </w:t>
      </w:r>
      <w:hyperlink r:id="rId30" w:history="1">
        <w:r>
          <w:rPr>
            <w:rFonts w:ascii="arial" w:eastAsia="arial" w:hAnsi="arial" w:cs="arial"/>
            <w:b w:val="0"/>
            <w:i/>
            <w:strike w:val="0"/>
            <w:noProof w:val="0"/>
            <w:color w:val="0077CC"/>
            <w:position w:val="0"/>
            <w:sz w:val="20"/>
            <w:u w:val="single"/>
            <w:vertAlign w:val="baseline"/>
          </w:rPr>
          <w:t>Liranzo v. United States</w:t>
        </w:r>
      </w:hyperlink>
      <w:hyperlink r:id="rId30" w:history="1">
        <w:r>
          <w:rPr>
            <w:rFonts w:ascii="arial" w:eastAsia="arial" w:hAnsi="arial" w:cs="arial"/>
            <w:b w:val="0"/>
            <w:i/>
            <w:strike w:val="0"/>
            <w:noProof w:val="0"/>
            <w:color w:val="0077CC"/>
            <w:position w:val="0"/>
            <w:sz w:val="20"/>
            <w:u w:val="single"/>
            <w:vertAlign w:val="baseline"/>
          </w:rPr>
          <w:t>, 690 F.3d 78, 85 (2d Cir. 2012)</w:t>
        </w:r>
      </w:hyperlink>
      <w:r>
        <w:rPr>
          <w:rFonts w:ascii="arial" w:eastAsia="arial" w:hAnsi="arial" w:cs="arial"/>
          <w:b w:val="0"/>
          <w:i w:val="0"/>
          <w:strike w:val="0"/>
          <w:noProof w:val="0"/>
          <w:color w:val="000000"/>
          <w:position w:val="0"/>
          <w:sz w:val="20"/>
          <w:u w:val="none"/>
          <w:vertAlign w:val="baseline"/>
        </w:rPr>
        <w:t xml:space="preserve"> (quoting </w:t>
      </w:r>
      <w:hyperlink r:id="rId31" w:history="1">
        <w:r>
          <w:rPr>
            <w:rFonts w:ascii="arial" w:eastAsia="arial" w:hAnsi="arial" w:cs="arial"/>
            <w:b w:val="0"/>
            <w:i/>
            <w:strike w:val="0"/>
            <w:noProof w:val="0"/>
            <w:color w:val="0077CC"/>
            <w:position w:val="0"/>
            <w:sz w:val="20"/>
            <w:u w:val="single"/>
            <w:vertAlign w:val="baseline"/>
          </w:rPr>
          <w:t>28 U.S.C. § 2680(h)</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Section 2680(h)</w:t>
        </w:r>
      </w:hyperlink>
      <w:r>
        <w:rPr>
          <w:rFonts w:ascii="arial" w:eastAsia="arial" w:hAnsi="arial" w:cs="arial"/>
          <w:b w:val="0"/>
          <w:i w:val="0"/>
          <w:strike w:val="0"/>
          <w:noProof w:val="0"/>
          <w:color w:val="000000"/>
          <w:position w:val="0"/>
          <w:sz w:val="20"/>
          <w:u w:val="none"/>
          <w:vertAlign w:val="baseline"/>
        </w:rPr>
        <w:t xml:space="preserve"> further defines "investigative or law enforcement officer" as an officer empowered "to execute searches, to seize evidence, or to make arrests for violations of Federal law"; this definition unquestionably includes CBP officers.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6 U.S.C. § 211</w:t>
        </w:r>
      </w:hyperlink>
      <w:r>
        <w:rPr>
          <w:rFonts w:ascii="arial" w:eastAsia="arial" w:hAnsi="arial" w:cs="arial"/>
          <w:b w:val="0"/>
          <w:i w:val="0"/>
          <w:strike w:val="0"/>
          <w:noProof w:val="0"/>
          <w:color w:val="000000"/>
          <w:position w:val="0"/>
          <w:sz w:val="20"/>
          <w:u w:val="none"/>
          <w:vertAlign w:val="baseline"/>
        </w:rPr>
        <w:t xml:space="preserve"> (describing the duties of CBP).</w:t>
      </w:r>
    </w:p>
    <w:p>
      <w:pPr>
        <w:keepNext w:val="0"/>
        <w:spacing w:before="240" w:after="0" w:line="260" w:lineRule="atLeast"/>
        <w:ind w:left="0" w:right="0" w:firstLine="0"/>
        <w:jc w:val="both"/>
      </w:pPr>
      <w:bookmarkStart w:id="28" w:name="Bookmark_para_15"/>
      <w:bookmarkEnd w:id="28"/>
      <w:r>
        <w:rPr>
          <w:rFonts w:ascii="arial" w:eastAsia="arial" w:hAnsi="arial" w:cs="arial"/>
          <w:b w:val="0"/>
          <w:i w:val="0"/>
          <w:strike w:val="0"/>
          <w:noProof w:val="0"/>
          <w:color w:val="000000"/>
          <w:position w:val="0"/>
          <w:sz w:val="20"/>
          <w:u w:val="none"/>
          <w:vertAlign w:val="baseline"/>
        </w:rPr>
        <w:t xml:space="preserve">Under New York law, false arrest and false imprisonment are one and the same. </w:t>
      </w:r>
      <w:hyperlink r:id="rId33" w:history="1">
        <w:r>
          <w:rPr>
            <w:rFonts w:ascii="arial" w:eastAsia="arial" w:hAnsi="arial" w:cs="arial"/>
            <w:b w:val="0"/>
            <w:i/>
            <w:strike w:val="0"/>
            <w:noProof w:val="0"/>
            <w:color w:val="0077CC"/>
            <w:position w:val="0"/>
            <w:sz w:val="20"/>
            <w:u w:val="single"/>
            <w:vertAlign w:val="baseline"/>
          </w:rPr>
          <w:t xml:space="preserve">Posr v. </w:t>
        </w:r>
      </w:hyperlink>
      <w:hyperlink r:id="rId33" w:history="1">
        <w:r>
          <w:rPr>
            <w:rFonts w:ascii="arial" w:eastAsia="arial" w:hAnsi="arial" w:cs="arial"/>
            <w:b w:val="0"/>
            <w:i/>
            <w:strike w:val="0"/>
            <w:noProof w:val="0"/>
            <w:color w:val="0077CC"/>
            <w:position w:val="0"/>
            <w:sz w:val="20"/>
            <w:u w:val="single"/>
            <w:vertAlign w:val="baseline"/>
          </w:rPr>
          <w:t>Doherty</w:t>
        </w:r>
      </w:hyperlink>
      <w:hyperlink r:id="rId33" w:history="1">
        <w:r>
          <w:rPr>
            <w:rFonts w:ascii="arial" w:eastAsia="arial" w:hAnsi="arial" w:cs="arial"/>
            <w:b w:val="0"/>
            <w:i/>
            <w:strike w:val="0"/>
            <w:noProof w:val="0"/>
            <w:color w:val="0077CC"/>
            <w:position w:val="0"/>
            <w:sz w:val="20"/>
            <w:u w:val="single"/>
            <w:vertAlign w:val="baseline"/>
          </w:rPr>
          <w:t>, 944 F.2d 91, 96 (2d Cir. 1991)</w:t>
        </w:r>
      </w:hyperlink>
      <w:r>
        <w:rPr>
          <w:rFonts w:ascii="arial" w:eastAsia="arial" w:hAnsi="arial" w:cs="arial"/>
          <w:b w:val="0"/>
          <w:i w:val="0"/>
          <w:strike w:val="0"/>
          <w:noProof w:val="0"/>
          <w:color w:val="000000"/>
          <w:position w:val="0"/>
          <w:sz w:val="20"/>
          <w:u w:val="none"/>
          <w:vertAlign w:val="baseline"/>
        </w:rPr>
        <w:t xml:space="preserve"> (citing </w:t>
      </w:r>
      <w:hyperlink r:id="rId34" w:history="1">
        <w:r>
          <w:rPr>
            <w:rFonts w:ascii="arial" w:eastAsia="arial" w:hAnsi="arial" w:cs="arial"/>
            <w:b w:val="0"/>
            <w:i/>
            <w:strike w:val="0"/>
            <w:noProof w:val="0"/>
            <w:color w:val="0077CC"/>
            <w:position w:val="0"/>
            <w:sz w:val="20"/>
            <w:u w:val="single"/>
            <w:vertAlign w:val="baseline"/>
          </w:rPr>
          <w:t>Jacques v. Sears, Roebuck &amp; Co.</w:t>
        </w:r>
      </w:hyperlink>
      <w:hyperlink r:id="rId34" w:history="1">
        <w:r>
          <w:rPr>
            <w:rFonts w:ascii="arial" w:eastAsia="arial" w:hAnsi="arial" w:cs="arial"/>
            <w:b w:val="0"/>
            <w:i/>
            <w:strike w:val="0"/>
            <w:noProof w:val="0"/>
            <w:color w:val="0077CC"/>
            <w:position w:val="0"/>
            <w:sz w:val="20"/>
            <w:u w:val="single"/>
            <w:vertAlign w:val="baseline"/>
          </w:rPr>
          <w:t>, 285 N.E.2d 871, 877 (N.Y. 1972)</w:t>
        </w:r>
      </w:hyperlink>
      <w:r>
        <w:rPr>
          <w:rFonts w:ascii="arial" w:eastAsia="arial" w:hAnsi="arial" w:cs="arial"/>
          <w:b w:val="0"/>
          <w:i w:val="0"/>
          <w:strike w:val="0"/>
          <w:noProof w:val="0"/>
          <w:color w:val="000000"/>
          <w:position w:val="0"/>
          <w:sz w:val="20"/>
          <w:u w:val="none"/>
          <w:vertAlign w:val="baseline"/>
        </w:rPr>
        <w:t>). To establish a cause of action for false arrest, a plaintiff must show that: "(1) the defendant intended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confine [the plaintiff], (2) the plaintiff was conscious of the confinement, (3) the plaintiff did not consent to the confinement, and (4) the confinement was not otherwise privileged." </w:t>
      </w:r>
      <w:hyperlink r:id="rId33"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(quoting </w:t>
      </w:r>
      <w:hyperlink r:id="rId35" w:history="1">
        <w:r>
          <w:rPr>
            <w:rFonts w:ascii="arial" w:eastAsia="arial" w:hAnsi="arial" w:cs="arial"/>
            <w:b w:val="0"/>
            <w:i/>
            <w:strike w:val="0"/>
            <w:noProof w:val="0"/>
            <w:color w:val="0077CC"/>
            <w:position w:val="0"/>
            <w:sz w:val="20"/>
            <w:u w:val="single"/>
            <w:vertAlign w:val="baseline"/>
          </w:rPr>
          <w:t>Broughton v. State</w:t>
        </w:r>
      </w:hyperlink>
      <w:hyperlink r:id="rId35" w:history="1">
        <w:r>
          <w:rPr>
            <w:rFonts w:ascii="arial" w:eastAsia="arial" w:hAnsi="arial" w:cs="arial"/>
            <w:b w:val="0"/>
            <w:i/>
            <w:strike w:val="0"/>
            <w:noProof w:val="0"/>
            <w:color w:val="0077CC"/>
            <w:position w:val="0"/>
            <w:sz w:val="20"/>
            <w:u w:val="single"/>
            <w:vertAlign w:val="baseline"/>
          </w:rPr>
          <w:t>, 37 N.Y.2d 451, 335 N.E.2d 310, 314, 373 N.Y.S.2d 87 (N.Y.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16"/>
      <w:bookmarkEnd w:id="29"/>
      <w:bookmarkStart w:id="30" w:name="Bookmark_I68YJWJ92N1RMM0020000400"/>
      <w:bookmarkEnd w:id="30"/>
      <w:r>
        <w:rPr>
          <w:rFonts w:ascii="arial" w:eastAsia="arial" w:hAnsi="arial" w:cs="arial"/>
          <w:b w:val="0"/>
          <w:i w:val="0"/>
          <w:strike w:val="0"/>
          <w:noProof w:val="0"/>
          <w:color w:val="000000"/>
          <w:position w:val="0"/>
          <w:sz w:val="20"/>
          <w:u w:val="none"/>
          <w:vertAlign w:val="baseline"/>
        </w:rPr>
        <w:t>Morales's false-arrest claim fails on the fourth element because CBP's detention of him was "otherwise privileged."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To be privileged, "the actions of the immigration officer must be reasonable[,] and the detention must be conducted in accordance with federal standards." </w:t>
      </w:r>
      <w:bookmarkStart w:id="32" w:name="Bookmark_I68YJWJ92N1RMM0010000400"/>
      <w:bookmarkEnd w:id="32"/>
      <w:hyperlink r:id="rId36" w:history="1">
        <w:r>
          <w:rPr>
            <w:rFonts w:ascii="arial" w:eastAsia="arial" w:hAnsi="arial" w:cs="arial"/>
            <w:b w:val="0"/>
            <w:i/>
            <w:strike w:val="0"/>
            <w:noProof w:val="0"/>
            <w:color w:val="0077CC"/>
            <w:position w:val="0"/>
            <w:sz w:val="20"/>
            <w:u w:val="single"/>
            <w:vertAlign w:val="baseline"/>
          </w:rPr>
          <w:t>Polanco v. United States</w:t>
        </w:r>
      </w:hyperlink>
      <w:hyperlink r:id="rId36" w:history="1">
        <w:r>
          <w:rPr>
            <w:rFonts w:ascii="arial" w:eastAsia="arial" w:hAnsi="arial" w:cs="arial"/>
            <w:b w:val="0"/>
            <w:i/>
            <w:strike w:val="0"/>
            <w:noProof w:val="0"/>
            <w:color w:val="0077CC"/>
            <w:position w:val="0"/>
            <w:sz w:val="20"/>
            <w:u w:val="single"/>
            <w:vertAlign w:val="baseline"/>
          </w:rPr>
          <w:t>, No. 10-cv-1705 (SJ) (RLM), 2014 U.S. Dist. LEXIS 25502, 2014 WL 795659, at *4 (E.D.N.Y. Feb. 27, 2014)</w:t>
        </w:r>
      </w:hyperlink>
      <w:r>
        <w:rPr>
          <w:rFonts w:ascii="arial" w:eastAsia="arial" w:hAnsi="arial" w:cs="arial"/>
          <w:b w:val="0"/>
          <w:i w:val="0"/>
          <w:strike w:val="0"/>
          <w:noProof w:val="0"/>
          <w:color w:val="000000"/>
          <w:position w:val="0"/>
          <w:sz w:val="20"/>
          <w:u w:val="none"/>
          <w:vertAlign w:val="baseline"/>
        </w:rPr>
        <w:t xml:space="preserve">. In this case, Morales's detention took place at JFK, an international border. </w:t>
      </w:r>
      <w:r>
        <w:rPr>
          <w:rFonts w:ascii="arial" w:eastAsia="arial" w:hAnsi="arial" w:cs="arial"/>
          <w:b w:val="0"/>
          <w:i w:val="0"/>
          <w:strike w:val="0"/>
          <w:noProof w:val="0"/>
          <w:color w:val="000000"/>
          <w:position w:val="0"/>
          <w:sz w:val="20"/>
          <w:u w:val="singl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FNU LNU</w:t>
        </w:r>
      </w:hyperlink>
      <w:hyperlink r:id="rId37" w:history="1">
        <w:r>
          <w:rPr>
            <w:rFonts w:ascii="arial" w:eastAsia="arial" w:hAnsi="arial" w:cs="arial"/>
            <w:b w:val="0"/>
            <w:i/>
            <w:strike w:val="0"/>
            <w:noProof w:val="0"/>
            <w:color w:val="0077CC"/>
            <w:position w:val="0"/>
            <w:sz w:val="20"/>
            <w:u w:val="single"/>
            <w:vertAlign w:val="baseline"/>
          </w:rPr>
          <w:t>, 653 F.3d at 148 n.3</w:t>
        </w:r>
      </w:hyperlink>
      <w:r>
        <w:rPr>
          <w:rFonts w:ascii="arial" w:eastAsia="arial" w:hAnsi="arial" w:cs="arial"/>
          <w:b w:val="0"/>
          <w:i w:val="0"/>
          <w:strike w:val="0"/>
          <w:noProof w:val="0"/>
          <w:color w:val="000000"/>
          <w:position w:val="0"/>
          <w:sz w:val="20"/>
          <w:u w:val="none"/>
          <w:vertAlign w:val="baseline"/>
        </w:rPr>
        <w:t xml:space="preserve"> ("The international arrivals section and Customs area of a U.S. airport undisputedly constitute the 'border' for constitutional purposes." (citing </w:t>
      </w:r>
      <w:hyperlink r:id="rId38" w:history="1">
        <w:r>
          <w:rPr>
            <w:rFonts w:ascii="arial" w:eastAsia="arial" w:hAnsi="arial" w:cs="arial"/>
            <w:b w:val="0"/>
            <w:i/>
            <w:strike w:val="0"/>
            <w:noProof w:val="0"/>
            <w:color w:val="0077CC"/>
            <w:position w:val="0"/>
            <w:sz w:val="20"/>
            <w:u w:val="single"/>
            <w:vertAlign w:val="baseline"/>
          </w:rPr>
          <w:t>Almeida-Sanchez v. United States</w:t>
        </w:r>
      </w:hyperlink>
      <w:hyperlink r:id="rId38" w:history="1">
        <w:r>
          <w:rPr>
            <w:rFonts w:ascii="arial" w:eastAsia="arial" w:hAnsi="arial" w:cs="arial"/>
            <w:b w:val="0"/>
            <w:i/>
            <w:strike w:val="0"/>
            <w:noProof w:val="0"/>
            <w:color w:val="0077CC"/>
            <w:position w:val="0"/>
            <w:sz w:val="20"/>
            <w:u w:val="single"/>
            <w:vertAlign w:val="baseline"/>
          </w:rPr>
          <w:t>, 413 U.S. 266, 273, 93 S. Ct. 2535, 37 L. Ed. 2d 596 (1973)</w:t>
        </w:r>
      </w:hyperlink>
      <w:r>
        <w:rPr>
          <w:rFonts w:ascii="arial" w:eastAsia="arial" w:hAnsi="arial" w:cs="arial"/>
          <w:b w:val="0"/>
          <w:i w:val="0"/>
          <w:strike w:val="0"/>
          <w:noProof w:val="0"/>
          <w:color w:val="000000"/>
          <w:position w:val="0"/>
          <w:sz w:val="20"/>
          <w:u w:val="none"/>
          <w:vertAlign w:val="baseline"/>
        </w:rPr>
        <w:t xml:space="preserve">)). The Supreme Court has long recognized that the "[g]overnment's interest in preventing the entry of unwanted persons and effects is at its zenith at the international border." </w:t>
      </w:r>
      <w:hyperlink r:id="rId39" w:history="1">
        <w:r>
          <w:rPr>
            <w:rFonts w:ascii="arial" w:eastAsia="arial" w:hAnsi="arial" w:cs="arial"/>
            <w:b w:val="0"/>
            <w:i/>
            <w:strike w:val="0"/>
            <w:noProof w:val="0"/>
            <w:color w:val="0077CC"/>
            <w:position w:val="0"/>
            <w:sz w:val="20"/>
            <w:u w:val="single"/>
            <w:vertAlign w:val="baseline"/>
          </w:rPr>
          <w:t>United States v. Flores-Montano</w:t>
        </w:r>
      </w:hyperlink>
      <w:hyperlink r:id="rId39" w:history="1">
        <w:r>
          <w:rPr>
            <w:rFonts w:ascii="arial" w:eastAsia="arial" w:hAnsi="arial" w:cs="arial"/>
            <w:b w:val="0"/>
            <w:i/>
            <w:strike w:val="0"/>
            <w:noProof w:val="0"/>
            <w:color w:val="0077CC"/>
            <w:position w:val="0"/>
            <w:sz w:val="20"/>
            <w:u w:val="single"/>
            <w:vertAlign w:val="baseline"/>
          </w:rPr>
          <w:t>, 541 U.S. 149, 152, 124 S. Ct. 1582, 158 L. Ed. 2d 311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40" w:history="1">
        <w:r>
          <w:rPr>
            <w:rFonts w:ascii="arial" w:eastAsia="arial" w:hAnsi="arial" w:cs="arial"/>
            <w:b w:val="0"/>
            <w:i/>
            <w:strike w:val="0"/>
            <w:noProof w:val="0"/>
            <w:color w:val="0077CC"/>
            <w:position w:val="0"/>
            <w:sz w:val="20"/>
            <w:u w:val="single"/>
            <w:vertAlign w:val="baseline"/>
          </w:rPr>
          <w:t>United States v. Montoya de Hernandez</w:t>
        </w:r>
      </w:hyperlink>
      <w:hyperlink r:id="rId40" w:history="1">
        <w:r>
          <w:rPr>
            <w:rFonts w:ascii="arial" w:eastAsia="arial" w:hAnsi="arial" w:cs="arial"/>
            <w:b w:val="0"/>
            <w:i/>
            <w:strike w:val="0"/>
            <w:noProof w:val="0"/>
            <w:color w:val="0077CC"/>
            <w:position w:val="0"/>
            <w:sz w:val="20"/>
            <w:u w:val="single"/>
            <w:vertAlign w:val="baseline"/>
          </w:rPr>
          <w:t>, 473 U.S. 531, 537, 105 S. Ct. 3304, 87 L. Ed. 2d 381 (1985)</w:t>
        </w:r>
      </w:hyperlink>
      <w:r>
        <w:rPr>
          <w:rFonts w:ascii="arial" w:eastAsia="arial" w:hAnsi="arial" w:cs="arial"/>
          <w:b w:val="0"/>
          <w:i w:val="0"/>
          <w:strike w:val="0"/>
          <w:noProof w:val="0"/>
          <w:color w:val="000000"/>
          <w:position w:val="0"/>
          <w:sz w:val="20"/>
          <w:u w:val="none"/>
          <w:vertAlign w:val="baseline"/>
        </w:rPr>
        <w:t xml:space="preserve"> ("Since the founding of our Republic, Congress has granted the Executive plenary authority to conduct routine searches and seizures at the border . . . ."). Accordingly, in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 the Supreme Court has held that border agents may temporarily detain and search arriving travelers under the border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search doctrine. </w:t>
      </w:r>
      <w:hyperlink r:id="rId40" w:history="1">
        <w:r>
          <w:rPr>
            <w:rFonts w:ascii="arial" w:eastAsia="arial" w:hAnsi="arial" w:cs="arial"/>
            <w:b w:val="0"/>
            <w:i/>
            <w:strike w:val="0"/>
            <w:noProof w:val="0"/>
            <w:color w:val="0077CC"/>
            <w:position w:val="0"/>
            <w:sz w:val="20"/>
            <w:u w:val="single"/>
            <w:vertAlign w:val="baseline"/>
          </w:rPr>
          <w:t>Montoya de Hernandez</w:t>
        </w:r>
      </w:hyperlink>
      <w:hyperlink r:id="rId40" w:history="1">
        <w:r>
          <w:rPr>
            <w:rFonts w:ascii="arial" w:eastAsia="arial" w:hAnsi="arial" w:cs="arial"/>
            <w:b w:val="0"/>
            <w:i/>
            <w:strike w:val="0"/>
            <w:noProof w:val="0"/>
            <w:color w:val="0077CC"/>
            <w:position w:val="0"/>
            <w:sz w:val="20"/>
            <w:u w:val="single"/>
            <w:vertAlign w:val="baseline"/>
          </w:rPr>
          <w:t>, 473 U.S. at 537-38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41" w:history="1">
        <w:r>
          <w:rPr>
            <w:rFonts w:ascii="arial" w:eastAsia="arial" w:hAnsi="arial" w:cs="arial"/>
            <w:b w:val="0"/>
            <w:i/>
            <w:strike w:val="0"/>
            <w:noProof w:val="0"/>
            <w:color w:val="0077CC"/>
            <w:position w:val="0"/>
            <w:sz w:val="20"/>
            <w:u w:val="single"/>
            <w:vertAlign w:val="baseline"/>
          </w:rPr>
          <w:t>Caban v. United States</w:t>
        </w:r>
      </w:hyperlink>
      <w:hyperlink r:id="rId41" w:history="1">
        <w:r>
          <w:rPr>
            <w:rFonts w:ascii="arial" w:eastAsia="arial" w:hAnsi="arial" w:cs="arial"/>
            <w:b w:val="0"/>
            <w:i/>
            <w:strike w:val="0"/>
            <w:noProof w:val="0"/>
            <w:color w:val="0077CC"/>
            <w:position w:val="0"/>
            <w:sz w:val="20"/>
            <w:u w:val="single"/>
            <w:vertAlign w:val="baseline"/>
          </w:rPr>
          <w:t>, 728 F.2d 68, 73 (2d Cir. 1984)</w:t>
        </w:r>
      </w:hyperlink>
      <w:r>
        <w:rPr>
          <w:rFonts w:ascii="arial" w:eastAsia="arial" w:hAnsi="arial" w:cs="arial"/>
          <w:b w:val="0"/>
          <w:i w:val="0"/>
          <w:strike w:val="0"/>
          <w:noProof w:val="0"/>
          <w:color w:val="000000"/>
          <w:position w:val="0"/>
          <w:sz w:val="20"/>
          <w:u w:val="none"/>
          <w:vertAlign w:val="baseline"/>
        </w:rPr>
        <w:t xml:space="preserve"> (holding that, because "[t]he United States has a privilege to protect its borders against unlawful entry[,] . . . . a person seeking entry into the United States has substantially less right to avoid detention than does a person already lawfully within the United States . . . ."). In </w:t>
      </w:r>
      <w:hyperlink r:id="rId40" w:history="1">
        <w:r>
          <w:rPr>
            <w:rFonts w:ascii="arial" w:eastAsia="arial" w:hAnsi="arial" w:cs="arial"/>
            <w:b w:val="0"/>
            <w:i/>
            <w:strike w:val="0"/>
            <w:noProof w:val="0"/>
            <w:color w:val="0077CC"/>
            <w:position w:val="0"/>
            <w:sz w:val="20"/>
            <w:u w:val="single"/>
            <w:vertAlign w:val="baseline"/>
          </w:rPr>
          <w:t>Montoya de Hernandez</w:t>
        </w:r>
      </w:hyperlink>
      <w:r>
        <w:rPr>
          <w:rFonts w:ascii="arial" w:eastAsia="arial" w:hAnsi="arial" w:cs="arial"/>
          <w:b w:val="0"/>
          <w:i w:val="0"/>
          <w:strike w:val="0"/>
          <w:noProof w:val="0"/>
          <w:color w:val="000000"/>
          <w:position w:val="0"/>
          <w:sz w:val="20"/>
          <w:u w:val="none"/>
          <w:vertAlign w:val="baseline"/>
        </w:rPr>
        <w:t xml:space="preserve">, the Supreme Court identified two types of border searches: whereas a "routine" border search requires no suspicion at all, a "non-routine" border search requires "reasonable suspicion" under the totality of the circumstances. </w:t>
      </w:r>
      <w:hyperlink r:id="rId40" w:history="1">
        <w:r>
          <w:rPr>
            <w:rFonts w:ascii="arial" w:eastAsia="arial" w:hAnsi="arial" w:cs="arial"/>
            <w:b w:val="0"/>
            <w:i/>
            <w:strike w:val="0"/>
            <w:noProof w:val="0"/>
            <w:color w:val="0077CC"/>
            <w:position w:val="0"/>
            <w:sz w:val="20"/>
            <w:u w:val="single"/>
            <w:vertAlign w:val="baseline"/>
          </w:rPr>
          <w:t>473 U.S. at 537-41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42" w:history="1">
        <w:r>
          <w:rPr>
            <w:rFonts w:ascii="arial" w:eastAsia="arial" w:hAnsi="arial" w:cs="arial"/>
            <w:b w:val="0"/>
            <w:i/>
            <w:strike w:val="0"/>
            <w:noProof w:val="0"/>
            <w:color w:val="0077CC"/>
            <w:position w:val="0"/>
            <w:sz w:val="20"/>
            <w:u w:val="single"/>
            <w:vertAlign w:val="baseline"/>
          </w:rPr>
          <w:t>United States v. Irving</w:t>
        </w:r>
      </w:hyperlink>
      <w:hyperlink r:id="rId42" w:history="1">
        <w:r>
          <w:rPr>
            <w:rFonts w:ascii="arial" w:eastAsia="arial" w:hAnsi="arial" w:cs="arial"/>
            <w:b w:val="0"/>
            <w:i/>
            <w:strike w:val="0"/>
            <w:noProof w:val="0"/>
            <w:color w:val="0077CC"/>
            <w:position w:val="0"/>
            <w:sz w:val="20"/>
            <w:u w:val="single"/>
            <w:vertAlign w:val="baseline"/>
          </w:rPr>
          <w:t>, 452 F.3d 110, 124 (2d Cir. 2006)</w:t>
        </w:r>
      </w:hyperlink>
      <w:r>
        <w:rPr>
          <w:rFonts w:ascii="arial" w:eastAsia="arial" w:hAnsi="arial" w:cs="arial"/>
          <w:b w:val="0"/>
          <w:i w:val="0"/>
          <w:strike w:val="0"/>
          <w:noProof w:val="0"/>
          <w:color w:val="000000"/>
          <w:position w:val="0"/>
          <w:sz w:val="20"/>
          <w:u w:val="none"/>
          <w:vertAlign w:val="baseline"/>
        </w:rPr>
        <w:t xml:space="preserve"> ("Secondary searches [at airports] following initial Customs inspection are, like the initial inspection, valid border searches which, if routine, do not require reasonable suspicion.").</w:t>
      </w:r>
    </w:p>
    <w:p>
      <w:pPr>
        <w:keepNext w:val="0"/>
        <w:spacing w:before="240" w:after="0" w:line="260" w:lineRule="atLeast"/>
        <w:ind w:left="0" w:right="0" w:firstLine="0"/>
        <w:jc w:val="both"/>
      </w:pPr>
      <w:bookmarkStart w:id="33" w:name="Bookmark_para_17"/>
      <w:bookmarkEnd w:id="33"/>
      <w:r>
        <w:rPr>
          <w:rFonts w:ascii="arial" w:eastAsia="arial" w:hAnsi="arial" w:cs="arial"/>
          <w:b w:val="0"/>
          <w:i w:val="0"/>
          <w:strike w:val="0"/>
          <w:noProof w:val="0"/>
          <w:color w:val="000000"/>
          <w:position w:val="0"/>
          <w:sz w:val="20"/>
          <w:u w:val="none"/>
          <w:vertAlign w:val="baseline"/>
        </w:rPr>
        <w:t xml:space="preserve">Under Second Circuit precedent, the distinction between a "routine" and a "non-routine" search and seizure depends on "the level of intrusion into a person's privacy," considering both the individual elements of a particular case and their cumulative effect. </w:t>
      </w:r>
      <w:hyperlink r:id="rId43" w:history="1">
        <w:r>
          <w:rPr>
            <w:rFonts w:ascii="arial" w:eastAsia="arial" w:hAnsi="arial" w:cs="arial"/>
            <w:b w:val="0"/>
            <w:i/>
            <w:strike w:val="0"/>
            <w:noProof w:val="0"/>
            <w:color w:val="0077CC"/>
            <w:position w:val="0"/>
            <w:sz w:val="20"/>
            <w:u w:val="single"/>
            <w:vertAlign w:val="baseline"/>
          </w:rPr>
          <w:t>Tabbaa v. Chertoff</w:t>
        </w:r>
      </w:hyperlink>
      <w:hyperlink r:id="rId43" w:history="1">
        <w:r>
          <w:rPr>
            <w:rFonts w:ascii="arial" w:eastAsia="arial" w:hAnsi="arial" w:cs="arial"/>
            <w:b w:val="0"/>
            <w:i/>
            <w:strike w:val="0"/>
            <w:noProof w:val="0"/>
            <w:color w:val="0077CC"/>
            <w:position w:val="0"/>
            <w:sz w:val="20"/>
            <w:u w:val="single"/>
            <w:vertAlign w:val="baseline"/>
          </w:rPr>
          <w:t>, 509 F.3d 89, 98-99 (2d Cir. 2007)</w:t>
        </w:r>
      </w:hyperlink>
      <w:r>
        <w:rPr>
          <w:rFonts w:ascii="arial" w:eastAsia="arial" w:hAnsi="arial" w:cs="arial"/>
          <w:b w:val="0"/>
          <w:i w:val="0"/>
          <w:strike w:val="0"/>
          <w:noProof w:val="0"/>
          <w:color w:val="000000"/>
          <w:position w:val="0"/>
          <w:sz w:val="20"/>
          <w:u w:val="none"/>
          <w:vertAlign w:val="baseline"/>
        </w:rPr>
        <w:t xml:space="preserve"> (quoting </w:t>
      </w:r>
      <w:hyperlink r:id="rId42" w:history="1">
        <w:r>
          <w:rPr>
            <w:rFonts w:ascii="arial" w:eastAsia="arial" w:hAnsi="arial" w:cs="arial"/>
            <w:b w:val="0"/>
            <w:i/>
            <w:strike w:val="0"/>
            <w:noProof w:val="0"/>
            <w:color w:val="0077CC"/>
            <w:position w:val="0"/>
            <w:sz w:val="20"/>
            <w:u w:val="single"/>
            <w:vertAlign w:val="baseline"/>
          </w:rPr>
          <w:t>Irving</w:t>
        </w:r>
      </w:hyperlink>
      <w:hyperlink r:id="rId42" w:history="1">
        <w:r>
          <w:rPr>
            <w:rFonts w:ascii="arial" w:eastAsia="arial" w:hAnsi="arial" w:cs="arial"/>
            <w:b w:val="0"/>
            <w:i/>
            <w:strike w:val="0"/>
            <w:noProof w:val="0"/>
            <w:color w:val="0077CC"/>
            <w:position w:val="0"/>
            <w:sz w:val="20"/>
            <w:u w:val="single"/>
            <w:vertAlign w:val="baseline"/>
          </w:rPr>
          <w:t>, 452 F.3d at 123</w:t>
        </w:r>
      </w:hyperlink>
      <w:r>
        <w:rPr>
          <w:rFonts w:ascii="arial" w:eastAsia="arial" w:hAnsi="arial" w:cs="arial"/>
          <w:b w:val="0"/>
          <w:i w:val="0"/>
          <w:strike w:val="0"/>
          <w:noProof w:val="0"/>
          <w:color w:val="000000"/>
          <w:position w:val="0"/>
          <w:sz w:val="20"/>
          <w:u w:val="none"/>
          <w:vertAlign w:val="baseline"/>
        </w:rPr>
        <w:t>) (concluding that "each of the individual elements of the searches was routine" while "leav[ing] open the possibility that in some circumstances the cumulative effect of several routine search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methods could render an overall search non-routine"). In this case, the facts undisputedly support the finding that Morales's detention was routine, including the referring of Morales from Primary to Secondary upon an NCIC hit, the search of his luggage, the requirement of fingerprinting, and a duration of two hours spent with CBP. </w:t>
      </w:r>
      <w:r>
        <w:rPr>
          <w:rFonts w:ascii="arial" w:eastAsia="arial" w:hAnsi="arial" w:cs="arial"/>
          <w:b w:val="0"/>
          <w:i w:val="0"/>
          <w:strike w:val="0"/>
          <w:noProof w:val="0"/>
          <w:color w:val="000000"/>
          <w:position w:val="0"/>
          <w:sz w:val="20"/>
          <w:u w:val="single"/>
          <w:vertAlign w:val="baseline"/>
        </w:rPr>
        <w:t xml:space="preserve">See </w:t>
      </w:r>
      <w:hyperlink r:id="rId43" w:history="1">
        <w:r>
          <w:rPr>
            <w:rFonts w:ascii="arial" w:eastAsia="arial" w:hAnsi="arial" w:cs="arial"/>
            <w:b w:val="0"/>
            <w:i/>
            <w:strike w:val="0"/>
            <w:noProof w:val="0"/>
            <w:color w:val="0077CC"/>
            <w:position w:val="0"/>
            <w:sz w:val="20"/>
            <w:u w:val="single"/>
            <w:vertAlign w:val="baseline"/>
          </w:rPr>
          <w:t>Tabbaa</w:t>
        </w:r>
      </w:hyperlink>
      <w:hyperlink r:id="rId43" w:history="1">
        <w:r>
          <w:rPr>
            <w:rFonts w:ascii="arial" w:eastAsia="arial" w:hAnsi="arial" w:cs="arial"/>
            <w:b w:val="0"/>
            <w:i/>
            <w:strike w:val="0"/>
            <w:noProof w:val="0"/>
            <w:color w:val="0077CC"/>
            <w:position w:val="0"/>
            <w:sz w:val="20"/>
            <w:u w:val="single"/>
            <w:vertAlign w:val="baseline"/>
          </w:rPr>
          <w:t>, 509 F.3d at 98-99</w:t>
        </w:r>
      </w:hyperlink>
      <w:r>
        <w:rPr>
          <w:rFonts w:ascii="arial" w:eastAsia="arial" w:hAnsi="arial" w:cs="arial"/>
          <w:b w:val="0"/>
          <w:i w:val="0"/>
          <w:strike w:val="0"/>
          <w:noProof w:val="0"/>
          <w:color w:val="000000"/>
          <w:position w:val="0"/>
          <w:sz w:val="20"/>
          <w:u w:val="none"/>
          <w:vertAlign w:val="baseline"/>
        </w:rPr>
        <w:t xml:space="preserve"> (noting that "routine searches include those searches of . . . luggage" and that, in the context of a border search, "being fingerprinted (even forcibly) . . . is not particularly invasive"); </w:t>
      </w:r>
      <w:hyperlink r:id="rId43" w:history="1">
        <w:r>
          <w:rPr>
            <w:rFonts w:ascii="arial" w:eastAsia="arial" w:hAnsi="arial" w:cs="arial"/>
            <w:b w:val="0"/>
            <w:i/>
            <w:strike w:val="0"/>
            <w:noProof w:val="0"/>
            <w:color w:val="0077CC"/>
            <w:position w:val="0"/>
            <w:sz w:val="20"/>
            <w:u w:val="single"/>
            <w:vertAlign w:val="baseline"/>
          </w:rPr>
          <w:t>id. at 100</w:t>
        </w:r>
      </w:hyperlink>
      <w:r>
        <w:rPr>
          <w:rFonts w:ascii="arial" w:eastAsia="arial" w:hAnsi="arial" w:cs="arial"/>
          <w:b w:val="0"/>
          <w:i w:val="0"/>
          <w:strike w:val="0"/>
          <w:noProof w:val="0"/>
          <w:color w:val="000000"/>
          <w:position w:val="0"/>
          <w:sz w:val="20"/>
          <w:u w:val="none"/>
          <w:vertAlign w:val="baseline"/>
        </w:rPr>
        <w:t xml:space="preserve"> (concluding that a detention of four to six hours was not "an unexpected level of intrusion into a person's privacy" (internal quotation marks and citation omitted)); </w:t>
      </w:r>
      <w:hyperlink r:id="rId39" w:history="1">
        <w:r>
          <w:rPr>
            <w:rFonts w:ascii="arial" w:eastAsia="arial" w:hAnsi="arial" w:cs="arial"/>
            <w:b w:val="0"/>
            <w:i/>
            <w:strike w:val="0"/>
            <w:noProof w:val="0"/>
            <w:color w:val="0077CC"/>
            <w:position w:val="0"/>
            <w:sz w:val="20"/>
            <w:u w:val="single"/>
            <w:vertAlign w:val="baseline"/>
          </w:rPr>
          <w:t>Flores-Montano</w:t>
        </w:r>
      </w:hyperlink>
      <w:hyperlink r:id="rId39" w:history="1">
        <w:r>
          <w:rPr>
            <w:rFonts w:ascii="arial" w:eastAsia="arial" w:hAnsi="arial" w:cs="arial"/>
            <w:b w:val="0"/>
            <w:i/>
            <w:strike w:val="0"/>
            <w:noProof w:val="0"/>
            <w:color w:val="0077CC"/>
            <w:position w:val="0"/>
            <w:sz w:val="20"/>
            <w:u w:val="single"/>
            <w:vertAlign w:val="baseline"/>
          </w:rPr>
          <w:t>, 541 U.S. at 155 n.3</w:t>
        </w:r>
      </w:hyperlink>
      <w:r>
        <w:rPr>
          <w:rFonts w:ascii="arial" w:eastAsia="arial" w:hAnsi="arial" w:cs="arial"/>
          <w:b w:val="0"/>
          <w:i w:val="0"/>
          <w:strike w:val="0"/>
          <w:noProof w:val="0"/>
          <w:color w:val="000000"/>
          <w:position w:val="0"/>
          <w:sz w:val="20"/>
          <w:u w:val="none"/>
          <w:vertAlign w:val="baseline"/>
        </w:rPr>
        <w:t xml:space="preserve"> (noting that delays of "one to two hours at international borders are to be expected"); cf. </w:t>
      </w:r>
      <w:hyperlink r:id="rId40" w:history="1">
        <w:r>
          <w:rPr>
            <w:rFonts w:ascii="arial" w:eastAsia="arial" w:hAnsi="arial" w:cs="arial"/>
            <w:b w:val="0"/>
            <w:i/>
            <w:strike w:val="0"/>
            <w:noProof w:val="0"/>
            <w:color w:val="0077CC"/>
            <w:position w:val="0"/>
            <w:sz w:val="20"/>
            <w:u w:val="single"/>
            <w:vertAlign w:val="baseline"/>
          </w:rPr>
          <w:t>Montoya de Hernandez</w:t>
        </w:r>
      </w:hyperlink>
      <w:hyperlink r:id="rId40" w:history="1">
        <w:r>
          <w:rPr>
            <w:rFonts w:ascii="arial" w:eastAsia="arial" w:hAnsi="arial" w:cs="arial"/>
            <w:b w:val="0"/>
            <w:i/>
            <w:strike w:val="0"/>
            <w:noProof w:val="0"/>
            <w:color w:val="0077CC"/>
            <w:position w:val="0"/>
            <w:sz w:val="20"/>
            <w:u w:val="single"/>
            <w:vertAlign w:val="baseline"/>
          </w:rPr>
          <w:t>, 473 U.S. at 542-44</w:t>
        </w:r>
      </w:hyperlink>
      <w:r>
        <w:rPr>
          <w:rFonts w:ascii="arial" w:eastAsia="arial" w:hAnsi="arial" w:cs="arial"/>
          <w:b w:val="0"/>
          <w:i w:val="0"/>
          <w:strike w:val="0"/>
          <w:noProof w:val="0"/>
          <w:color w:val="000000"/>
          <w:position w:val="0"/>
          <w:sz w:val="20"/>
          <w:u w:val="none"/>
          <w:vertAlign w:val="baseline"/>
        </w:rPr>
        <w:t xml:space="preserve"> (suggesting that a detention of sixteen hours may be non-routine and applying the "reasonable suspicion" test).</w:t>
      </w:r>
    </w:p>
    <w:p>
      <w:pPr>
        <w:keepNext w:val="0"/>
        <w:spacing w:before="240" w:after="0" w:line="260" w:lineRule="atLeast"/>
        <w:ind w:left="0" w:right="0" w:firstLine="0"/>
        <w:jc w:val="both"/>
      </w:pPr>
      <w:bookmarkStart w:id="34" w:name="Bookmark_para_18"/>
      <w:bookmarkEnd w:id="34"/>
      <w:r>
        <w:rPr>
          <w:rFonts w:ascii="arial" w:eastAsia="arial" w:hAnsi="arial" w:cs="arial"/>
          <w:b w:val="0"/>
          <w:i w:val="0"/>
          <w:strike w:val="0"/>
          <w:noProof w:val="0"/>
          <w:color w:val="000000"/>
          <w:position w:val="0"/>
          <w:sz w:val="20"/>
          <w:u w:val="none"/>
          <w:vertAlign w:val="baseline"/>
        </w:rPr>
        <w:t xml:space="preserve">Arguably the most intrusive element of Morales's detention was the three-minute search of his cellphone. </w:t>
      </w:r>
      <w:bookmarkStart w:id="35" w:name="Bookmark_I68YJWJ92N1RMM0040000400"/>
      <w:bookmarkEnd w:id="35"/>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Defs. 56.1 Statement ¶ 64.) The Second Circuit has not yet addressed the issue of border searches of electronic devices, and district courts of this Circuit to have considered the issue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have avoided articulating a specific standard. </w:t>
      </w:r>
      <w:r>
        <w:rPr>
          <w:rFonts w:ascii="arial" w:eastAsia="arial" w:hAnsi="arial" w:cs="arial"/>
          <w:b w:val="0"/>
          <w:i w:val="0"/>
          <w:strike w:val="0"/>
          <w:noProof w:val="0"/>
          <w:color w:val="000000"/>
          <w:position w:val="0"/>
          <w:sz w:val="20"/>
          <w:u w:val="single"/>
          <w:vertAlign w:val="baseline"/>
        </w:rPr>
        <w:t xml:space="preserve">See, e.g., </w:t>
      </w:r>
      <w:bookmarkStart w:id="36" w:name="Bookmark_I68YJWJ92N1RMM0030000400"/>
      <w:bookmarkEnd w:id="36"/>
      <w:hyperlink r:id="rId44" w:history="1">
        <w:r>
          <w:rPr>
            <w:rFonts w:ascii="arial" w:eastAsia="arial" w:hAnsi="arial" w:cs="arial"/>
            <w:b w:val="0"/>
            <w:i/>
            <w:strike w:val="0"/>
            <w:noProof w:val="0"/>
            <w:color w:val="0077CC"/>
            <w:position w:val="0"/>
            <w:sz w:val="20"/>
            <w:u w:val="single"/>
            <w:vertAlign w:val="baseline"/>
          </w:rPr>
          <w:t>United States v. Kamaldoss</w:t>
        </w:r>
      </w:hyperlink>
      <w:hyperlink r:id="rId44" w:history="1">
        <w:r>
          <w:rPr>
            <w:rFonts w:ascii="arial" w:eastAsia="arial" w:hAnsi="arial" w:cs="arial"/>
            <w:b w:val="0"/>
            <w:i/>
            <w:strike w:val="0"/>
            <w:noProof w:val="0"/>
            <w:color w:val="0077CC"/>
            <w:position w:val="0"/>
            <w:sz w:val="20"/>
            <w:u w:val="single"/>
            <w:vertAlign w:val="baseline"/>
          </w:rPr>
          <w:t>, No. 19-cr-543 (ARR), 2022 U.S. Dist. LEXIS 73897, 2022 WL 1200776, at *11-12 (E.D.N.Y. Apr. 22, 2022)</w:t>
        </w:r>
      </w:hyperlink>
      <w:r>
        <w:rPr>
          <w:rFonts w:ascii="arial" w:eastAsia="arial" w:hAnsi="arial" w:cs="arial"/>
          <w:b w:val="0"/>
          <w:i w:val="0"/>
          <w:strike w:val="0"/>
          <w:noProof w:val="0"/>
          <w:color w:val="000000"/>
          <w:position w:val="0"/>
          <w:sz w:val="20"/>
          <w:u w:val="none"/>
          <w:vertAlign w:val="baseline"/>
        </w:rPr>
        <w:t xml:space="preserve"> (declining to decide the proper standard for determining the validity of a cellphone search at the border but finding that CBP in that case had reasonable suspicion to search the traveler's cellphone); </w:t>
      </w:r>
      <w:bookmarkStart w:id="37" w:name="Bookmark_I67NJDJY28T46B0040000400"/>
      <w:bookmarkEnd w:id="37"/>
      <w:hyperlink r:id="rId45" w:history="1">
        <w:r>
          <w:rPr>
            <w:rFonts w:ascii="arial" w:eastAsia="arial" w:hAnsi="arial" w:cs="arial"/>
            <w:b w:val="0"/>
            <w:i/>
            <w:strike w:val="0"/>
            <w:noProof w:val="0"/>
            <w:color w:val="0077CC"/>
            <w:position w:val="0"/>
            <w:sz w:val="20"/>
            <w:u w:val="single"/>
            <w:vertAlign w:val="baseline"/>
          </w:rPr>
          <w:t>Abidor v. Napolitano</w:t>
        </w:r>
      </w:hyperlink>
      <w:hyperlink r:id="rId45" w:history="1">
        <w:r>
          <w:rPr>
            <w:rFonts w:ascii="arial" w:eastAsia="arial" w:hAnsi="arial" w:cs="arial"/>
            <w:b w:val="0"/>
            <w:i/>
            <w:strike w:val="0"/>
            <w:noProof w:val="0"/>
            <w:color w:val="0077CC"/>
            <w:position w:val="0"/>
            <w:sz w:val="20"/>
            <w:u w:val="single"/>
            <w:vertAlign w:val="baseline"/>
          </w:rPr>
          <w:t>, 990 F. Supp. 2d 260, 281-82 (E.D.N.Y. 2013)</w:t>
        </w:r>
      </w:hyperlink>
      <w:r>
        <w:rPr>
          <w:rFonts w:ascii="arial" w:eastAsia="arial" w:hAnsi="arial" w:cs="arial"/>
          <w:b w:val="0"/>
          <w:i w:val="0"/>
          <w:strike w:val="0"/>
          <w:noProof w:val="0"/>
          <w:color w:val="000000"/>
          <w:position w:val="0"/>
          <w:sz w:val="20"/>
          <w:u w:val="none"/>
          <w:vertAlign w:val="baseline"/>
        </w:rPr>
        <w:t xml:space="preserve"> (collecting cases on a circuit split that has developed on this question).</w:t>
      </w:r>
    </w:p>
    <w:p>
      <w:pPr>
        <w:keepNext w:val="0"/>
        <w:spacing w:before="240" w:after="0" w:line="260" w:lineRule="atLeast"/>
        <w:ind w:left="0" w:right="0" w:firstLine="0"/>
        <w:jc w:val="both"/>
      </w:pPr>
      <w:bookmarkStart w:id="38" w:name="Bookmark_para_19"/>
      <w:bookmarkEnd w:id="38"/>
      <w:r>
        <w:rPr>
          <w:rFonts w:ascii="arial" w:eastAsia="arial" w:hAnsi="arial" w:cs="arial"/>
          <w:b w:val="0"/>
          <w:i w:val="0"/>
          <w:strike w:val="0"/>
          <w:noProof w:val="0"/>
          <w:color w:val="000000"/>
          <w:position w:val="0"/>
          <w:sz w:val="20"/>
          <w:u w:val="none"/>
          <w:vertAlign w:val="baseline"/>
        </w:rPr>
        <w:t xml:space="preserve">In this case, I need not decide whether the search of Morales's cellphone renders his search non-routine, because I find that CBP had "reasonable suspicion" to detain, question, and search him. A reasonable suspicion inquiry "considers, after taking into account all the facts of a particular case, whether the border official had a reasonable basis on which to conduct the search." </w:t>
      </w:r>
      <w:hyperlink r:id="rId42" w:history="1">
        <w:r>
          <w:rPr>
            <w:rFonts w:ascii="arial" w:eastAsia="arial" w:hAnsi="arial" w:cs="arial"/>
            <w:b w:val="0"/>
            <w:i/>
            <w:strike w:val="0"/>
            <w:noProof w:val="0"/>
            <w:color w:val="0077CC"/>
            <w:position w:val="0"/>
            <w:sz w:val="20"/>
            <w:u w:val="single"/>
            <w:vertAlign w:val="baseline"/>
          </w:rPr>
          <w:t>Irving</w:t>
        </w:r>
      </w:hyperlink>
      <w:hyperlink r:id="rId42" w:history="1">
        <w:r>
          <w:rPr>
            <w:rFonts w:ascii="arial" w:eastAsia="arial" w:hAnsi="arial" w:cs="arial"/>
            <w:b w:val="0"/>
            <w:i/>
            <w:strike w:val="0"/>
            <w:noProof w:val="0"/>
            <w:color w:val="0077CC"/>
            <w:position w:val="0"/>
            <w:sz w:val="20"/>
            <w:u w:val="single"/>
            <w:vertAlign w:val="baseline"/>
          </w:rPr>
          <w:t>, 452 F.3d at 124</w:t>
        </w:r>
      </w:hyperlink>
      <w:r>
        <w:rPr>
          <w:rFonts w:ascii="arial" w:eastAsia="arial" w:hAnsi="arial" w:cs="arial"/>
          <w:b w:val="0"/>
          <w:i w:val="0"/>
          <w:strike w:val="0"/>
          <w:noProof w:val="0"/>
          <w:color w:val="000000"/>
          <w:position w:val="0"/>
          <w:sz w:val="20"/>
          <w:u w:val="none"/>
          <w:vertAlign w:val="baseline"/>
        </w:rPr>
        <w:t xml:space="preserve"> (internal quotation marks, alteration, and citation omitted); </w:t>
      </w:r>
      <w:r>
        <w:rPr>
          <w:rFonts w:ascii="arial" w:eastAsia="arial" w:hAnsi="arial" w:cs="arial"/>
          <w:b w:val="0"/>
          <w:i w:val="0"/>
          <w:strike w:val="0"/>
          <w:noProof w:val="0"/>
          <w:color w:val="000000"/>
          <w:position w:val="0"/>
          <w:sz w:val="20"/>
          <w:u w:val="single"/>
          <w:vertAlign w:val="baseline"/>
        </w:rPr>
        <w:t xml:space="preserve">see also </w:t>
      </w:r>
      <w:hyperlink r:id="rId40" w:history="1">
        <w:r>
          <w:rPr>
            <w:rFonts w:ascii="arial" w:eastAsia="arial" w:hAnsi="arial" w:cs="arial"/>
            <w:b w:val="0"/>
            <w:i/>
            <w:strike w:val="0"/>
            <w:noProof w:val="0"/>
            <w:color w:val="0077CC"/>
            <w:position w:val="0"/>
            <w:sz w:val="20"/>
            <w:u w:val="single"/>
            <w:vertAlign w:val="baseline"/>
          </w:rPr>
          <w:t>Montoya de Hernandez</w:t>
        </w:r>
      </w:hyperlink>
      <w:hyperlink r:id="rId40" w:history="1">
        <w:r>
          <w:rPr>
            <w:rFonts w:ascii="arial" w:eastAsia="arial" w:hAnsi="arial" w:cs="arial"/>
            <w:b w:val="0"/>
            <w:i/>
            <w:strike w:val="0"/>
            <w:noProof w:val="0"/>
            <w:color w:val="0077CC"/>
            <w:position w:val="0"/>
            <w:sz w:val="20"/>
            <w:u w:val="single"/>
            <w:vertAlign w:val="baseline"/>
          </w:rPr>
          <w:t>, 473 U.S. at 541</w:t>
        </w:r>
      </w:hyperlink>
      <w:r>
        <w:rPr>
          <w:rFonts w:ascii="arial" w:eastAsia="arial" w:hAnsi="arial" w:cs="arial"/>
          <w:b w:val="0"/>
          <w:i w:val="0"/>
          <w:strike w:val="0"/>
          <w:noProof w:val="0"/>
          <w:color w:val="000000"/>
          <w:position w:val="0"/>
          <w:sz w:val="20"/>
          <w:u w:val="none"/>
          <w:vertAlign w:val="baseline"/>
        </w:rPr>
        <w:t xml:space="preserve"> (holding that reasonable suspicion requires the border officials to have a "particularized and objective basis for suspecting the particular person [of criminal activity]" (citation omitted)). Here, multiple facts support a finding of reasonable suspicion of drug trafficking, including Morales's failure to board several prior flights, his traveling from a drug source country, and the fact that he was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subject of a criminal investigation. (Defs. 56.1 Statement ¶¶ 39, 45, 67; Hernandez Dep. 157:25-158:9); </w:t>
      </w:r>
      <w:r>
        <w:rPr>
          <w:rFonts w:ascii="arial" w:eastAsia="arial" w:hAnsi="arial" w:cs="arial"/>
          <w:b w:val="0"/>
          <w:i w:val="0"/>
          <w:strike w:val="0"/>
          <w:noProof w:val="0"/>
          <w:color w:val="000000"/>
          <w:position w:val="0"/>
          <w:sz w:val="20"/>
          <w:u w:val="single"/>
          <w:vertAlign w:val="baseline"/>
        </w:rPr>
        <w:t xml:space="preserve">see also </w:t>
      </w:r>
      <w:hyperlink r:id="rId42" w:history="1">
        <w:r>
          <w:rPr>
            <w:rFonts w:ascii="arial" w:eastAsia="arial" w:hAnsi="arial" w:cs="arial"/>
            <w:b w:val="0"/>
            <w:i/>
            <w:strike w:val="0"/>
            <w:noProof w:val="0"/>
            <w:color w:val="0077CC"/>
            <w:position w:val="0"/>
            <w:sz w:val="20"/>
            <w:u w:val="single"/>
            <w:vertAlign w:val="baseline"/>
          </w:rPr>
          <w:t>Irving</w:t>
        </w:r>
      </w:hyperlink>
      <w:hyperlink r:id="rId42" w:history="1">
        <w:r>
          <w:rPr>
            <w:rFonts w:ascii="arial" w:eastAsia="arial" w:hAnsi="arial" w:cs="arial"/>
            <w:b w:val="0"/>
            <w:i/>
            <w:strike w:val="0"/>
            <w:noProof w:val="0"/>
            <w:color w:val="0077CC"/>
            <w:position w:val="0"/>
            <w:sz w:val="20"/>
            <w:u w:val="single"/>
            <w:vertAlign w:val="baseline"/>
          </w:rPr>
          <w:t>, 452 F.3d at 124</w:t>
        </w:r>
      </w:hyperlink>
      <w:r>
        <w:rPr>
          <w:rFonts w:ascii="arial" w:eastAsia="arial" w:hAnsi="arial" w:cs="arial"/>
          <w:b w:val="0"/>
          <w:i w:val="0"/>
          <w:strike w:val="0"/>
          <w:noProof w:val="0"/>
          <w:color w:val="000000"/>
          <w:position w:val="0"/>
          <w:sz w:val="20"/>
          <w:u w:val="none"/>
          <w:vertAlign w:val="baseline"/>
        </w:rPr>
        <w:t xml:space="preserve"> (describing a "suspicious itinerary" and a traveler being the "subject of [a] criminal investigation" as factors supporting a finding of reasonable suspicion). </w:t>
      </w:r>
      <w:bookmarkStart w:id="39" w:name="Bookmark_I68YJWJ92D6NTH0010000400"/>
      <w:bookmarkEnd w:id="39"/>
      <w:r>
        <w:rPr>
          <w:rFonts w:ascii="arial" w:eastAsia="arial" w:hAnsi="arial" w:cs="arial"/>
          <w:b w:val="0"/>
          <w:i w:val="0"/>
          <w:strike w:val="0"/>
          <w:noProof w:val="0"/>
          <w:color w:val="000000"/>
          <w:position w:val="0"/>
          <w:sz w:val="20"/>
          <w:u w:val="none"/>
          <w:vertAlign w:val="baseline"/>
        </w:rPr>
        <w:t xml:space="preserve">CBP's suspicion provided the basis for the three-minute search of Morales's phone to "see if there were any messages regarding drug trafficking." (Hernandez Dep. 159:13-160:3.) The duration of the search of Morales's cellphone is also shorter and less intrusive than that of similar searches of electronic devices by border agents from prior cases. </w:t>
      </w:r>
      <w:r>
        <w:rPr>
          <w:rFonts w:ascii="arial" w:eastAsia="arial" w:hAnsi="arial" w:cs="arial"/>
          <w:b w:val="0"/>
          <w:i w:val="0"/>
          <w:strike w:val="0"/>
          <w:noProof w:val="0"/>
          <w:color w:val="000000"/>
          <w:position w:val="0"/>
          <w:sz w:val="20"/>
          <w:u w:val="single"/>
          <w:vertAlign w:val="baseline"/>
        </w:rPr>
        <w:t xml:space="preserve">See. e.g., </w:t>
      </w:r>
      <w:bookmarkStart w:id="40" w:name="Bookmark_I68YJWJ92N1RMM0050000400"/>
      <w:bookmarkEnd w:id="40"/>
      <w:hyperlink r:id="rId44" w:history="1">
        <w:r>
          <w:rPr>
            <w:rFonts w:ascii="arial" w:eastAsia="arial" w:hAnsi="arial" w:cs="arial"/>
            <w:b w:val="0"/>
            <w:i/>
            <w:strike w:val="0"/>
            <w:noProof w:val="0"/>
            <w:color w:val="0077CC"/>
            <w:position w:val="0"/>
            <w:sz w:val="20"/>
            <w:u w:val="single"/>
            <w:vertAlign w:val="baseline"/>
          </w:rPr>
          <w:t>Kamaldoss</w:t>
        </w:r>
      </w:hyperlink>
      <w:hyperlink r:id="rId44" w:history="1">
        <w:r>
          <w:rPr>
            <w:rFonts w:ascii="arial" w:eastAsia="arial" w:hAnsi="arial" w:cs="arial"/>
            <w:b w:val="0"/>
            <w:i/>
            <w:strike w:val="0"/>
            <w:noProof w:val="0"/>
            <w:color w:val="0077CC"/>
            <w:position w:val="0"/>
            <w:sz w:val="20"/>
            <w:u w:val="single"/>
            <w:vertAlign w:val="baseline"/>
          </w:rPr>
          <w:t>, 2022 U.S. Dist. LEXIS 73897, 2022 WL 1200776, at *5-6, 11-12</w:t>
        </w:r>
      </w:hyperlink>
      <w:r>
        <w:rPr>
          <w:rFonts w:ascii="arial" w:eastAsia="arial" w:hAnsi="arial" w:cs="arial"/>
          <w:b w:val="0"/>
          <w:i w:val="0"/>
          <w:strike w:val="0"/>
          <w:noProof w:val="0"/>
          <w:color w:val="000000"/>
          <w:position w:val="0"/>
          <w:sz w:val="20"/>
          <w:u w:val="none"/>
          <w:vertAlign w:val="baseline"/>
        </w:rPr>
        <w:t xml:space="preserve"> (upholding CBP's use of software to extract data from a traveler's iPhone based on reasonable suspicion); </w:t>
      </w:r>
      <w:bookmarkStart w:id="41" w:name="Bookmark_I67NJDK02SF7S90040000400"/>
      <w:bookmarkEnd w:id="41"/>
      <w:hyperlink r:id="rId45" w:history="1">
        <w:r>
          <w:rPr>
            <w:rFonts w:ascii="arial" w:eastAsia="arial" w:hAnsi="arial" w:cs="arial"/>
            <w:b w:val="0"/>
            <w:i/>
            <w:strike w:val="0"/>
            <w:noProof w:val="0"/>
            <w:color w:val="0077CC"/>
            <w:position w:val="0"/>
            <w:sz w:val="20"/>
            <w:u w:val="single"/>
            <w:vertAlign w:val="baseline"/>
          </w:rPr>
          <w:t>Abidor</w:t>
        </w:r>
      </w:hyperlink>
      <w:hyperlink r:id="rId45" w:history="1">
        <w:r>
          <w:rPr>
            <w:rFonts w:ascii="arial" w:eastAsia="arial" w:hAnsi="arial" w:cs="arial"/>
            <w:b w:val="0"/>
            <w:i/>
            <w:strike w:val="0"/>
            <w:noProof w:val="0"/>
            <w:color w:val="0077CC"/>
            <w:position w:val="0"/>
            <w:sz w:val="20"/>
            <w:u w:val="single"/>
            <w:vertAlign w:val="baseline"/>
          </w:rPr>
          <w:t>, 990 F. Supp. 2d at 268, 282-83</w:t>
        </w:r>
      </w:hyperlink>
      <w:r>
        <w:rPr>
          <w:rFonts w:ascii="arial" w:eastAsia="arial" w:hAnsi="arial" w:cs="arial"/>
          <w:b w:val="0"/>
          <w:i w:val="0"/>
          <w:strike w:val="0"/>
          <w:noProof w:val="0"/>
          <w:color w:val="000000"/>
          <w:position w:val="0"/>
          <w:sz w:val="20"/>
          <w:u w:val="none"/>
          <w:vertAlign w:val="baseline"/>
        </w:rPr>
        <w:t xml:space="preserve"> (upholding CBP's five-hour search of the traveler's laptop and other electronic devices based on reasonable suspicion). Therefore, considering that reasonable suspicion is a "relatively low standard" and "afford[ing due] deference to [CBP officers'] training and experience," I find that Defendants here sufficiently articulated a reasonable suspicion for detaining, questioning, and searching Morales. </w:t>
      </w:r>
      <w:hyperlink r:id="rId45" w:history="1">
        <w:r>
          <w:rPr>
            <w:rFonts w:ascii="arial" w:eastAsia="arial" w:hAnsi="arial" w:cs="arial"/>
            <w:b w:val="0"/>
            <w:i/>
            <w:strike w:val="0"/>
            <w:noProof w:val="0"/>
            <w:color w:val="0077CC"/>
            <w:position w:val="0"/>
            <w:sz w:val="20"/>
            <w:u w:val="single"/>
            <w:vertAlign w:val="baseline"/>
          </w:rPr>
          <w:t>Abidor</w:t>
        </w:r>
      </w:hyperlink>
      <w:hyperlink r:id="rId45" w:history="1">
        <w:r>
          <w:rPr>
            <w:rFonts w:ascii="arial" w:eastAsia="arial" w:hAnsi="arial" w:cs="arial"/>
            <w:b w:val="0"/>
            <w:i/>
            <w:strike w:val="0"/>
            <w:noProof w:val="0"/>
            <w:color w:val="0077CC"/>
            <w:position w:val="0"/>
            <w:sz w:val="20"/>
            <w:u w:val="single"/>
            <w:vertAlign w:val="baseline"/>
          </w:rPr>
          <w:t>, 990 F. Supp. 2d at 282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20"/>
      <w:bookmarkEnd w:id="42"/>
      <w:bookmarkStart w:id="43" w:name="Bookmark_I68YJWJ92D6NTH0030000400"/>
      <w:bookmarkEnd w:id="43"/>
      <w:r>
        <w:rPr>
          <w:rFonts w:ascii="arial" w:eastAsia="arial" w:hAnsi="arial" w:cs="arial"/>
          <w:b w:val="0"/>
          <w:i w:val="0"/>
          <w:strike w:val="0"/>
          <w:noProof w:val="0"/>
          <w:color w:val="000000"/>
          <w:position w:val="0"/>
          <w:sz w:val="20"/>
          <w:u w:val="none"/>
          <w:vertAlign w:val="baseline"/>
        </w:rPr>
        <w:t>In opposition, Morales argues that his detention was invalid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because (i) he did not feel free to leave the room in Secondary and believed that he was being subjected to more than a temporary detention,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Morales Dep. 69:6-16.), (ii) CBP's rationale for detaining him was mere pretext for questioning him about the non-CBP related investigation into burglary,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Pl. Opp'n 19; and (iii) the Unidentified CBP Officer who questioned Morales at Secondary allegedly lied to him about the existence of a warrant for his arrest, (</w:t>
      </w:r>
      <w:r>
        <w:rPr>
          <w:rFonts w:ascii="arial" w:eastAsia="arial" w:hAnsi="arial" w:cs="arial"/>
          <w:b w:val="0"/>
          <w:i w:val="0"/>
          <w:strike w:val="0"/>
          <w:noProof w:val="0"/>
          <w:color w:val="000000"/>
          <w:position w:val="0"/>
          <w:sz w:val="20"/>
          <w:u w:val="single"/>
          <w:vertAlign w:val="baseline"/>
        </w:rPr>
        <w:t>see, e.g., id.</w:t>
      </w:r>
      <w:r>
        <w:rPr>
          <w:rFonts w:ascii="arial" w:eastAsia="arial" w:hAnsi="arial" w:cs="arial"/>
          <w:b w:val="0"/>
          <w:i w:val="0"/>
          <w:strike w:val="0"/>
          <w:noProof w:val="0"/>
          <w:color w:val="000000"/>
          <w:position w:val="0"/>
          <w:sz w:val="20"/>
          <w:u w:val="none"/>
          <w:vertAlign w:val="baseline"/>
        </w:rPr>
        <w:t xml:space="preserve"> at 20).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 Opp'n 18-20.) All three arguments fail. Morales's own perception that he could not leave does not mean that he was "subjected to restraints comparable to those associated with a formal arrest." </w:t>
      </w:r>
      <w:bookmarkStart w:id="44" w:name="Bookmark_I68YJWJ92D6NTH0020000400"/>
      <w:bookmarkEnd w:id="44"/>
      <w:hyperlink r:id="rId44" w:history="1">
        <w:r>
          <w:rPr>
            <w:rFonts w:ascii="arial" w:eastAsia="arial" w:hAnsi="arial" w:cs="arial"/>
            <w:b w:val="0"/>
            <w:i/>
            <w:strike w:val="0"/>
            <w:noProof w:val="0"/>
            <w:color w:val="0077CC"/>
            <w:position w:val="0"/>
            <w:sz w:val="20"/>
            <w:u w:val="single"/>
            <w:vertAlign w:val="baseline"/>
          </w:rPr>
          <w:t>Kamaldoss</w:t>
        </w:r>
      </w:hyperlink>
      <w:hyperlink r:id="rId44" w:history="1">
        <w:r>
          <w:rPr>
            <w:rFonts w:ascii="arial" w:eastAsia="arial" w:hAnsi="arial" w:cs="arial"/>
            <w:b w:val="0"/>
            <w:i/>
            <w:strike w:val="0"/>
            <w:noProof w:val="0"/>
            <w:color w:val="0077CC"/>
            <w:position w:val="0"/>
            <w:sz w:val="20"/>
            <w:u w:val="single"/>
            <w:vertAlign w:val="baseline"/>
          </w:rPr>
          <w:t>, 2022 U.S. Dist. LEXIS 73897, 2022 WL 1200776, at *8</w:t>
        </w:r>
      </w:hyperlink>
      <w:r>
        <w:rPr>
          <w:rFonts w:ascii="arial" w:eastAsia="arial" w:hAnsi="arial" w:cs="arial"/>
          <w:b w:val="0"/>
          <w:i w:val="0"/>
          <w:strike w:val="0"/>
          <w:noProof w:val="0"/>
          <w:color w:val="000000"/>
          <w:position w:val="0"/>
          <w:sz w:val="20"/>
          <w:u w:val="none"/>
          <w:vertAlign w:val="baseline"/>
        </w:rPr>
        <w:t xml:space="preserve"> (quoting </w:t>
      </w:r>
      <w:bookmarkStart w:id="45" w:name="Bookmark_I67NJDK028T46J0050000400"/>
      <w:bookmarkEnd w:id="45"/>
      <w:hyperlink r:id="rId37" w:history="1">
        <w:r>
          <w:rPr>
            <w:rFonts w:ascii="arial" w:eastAsia="arial" w:hAnsi="arial" w:cs="arial"/>
            <w:b w:val="0"/>
            <w:i/>
            <w:strike w:val="0"/>
            <w:noProof w:val="0"/>
            <w:color w:val="0077CC"/>
            <w:position w:val="0"/>
            <w:sz w:val="20"/>
            <w:u w:val="single"/>
            <w:vertAlign w:val="baseline"/>
          </w:rPr>
          <w:t>FNU LNU</w:t>
        </w:r>
      </w:hyperlink>
      <w:hyperlink r:id="rId37" w:history="1">
        <w:r>
          <w:rPr>
            <w:rFonts w:ascii="arial" w:eastAsia="arial" w:hAnsi="arial" w:cs="arial"/>
            <w:b w:val="0"/>
            <w:i/>
            <w:strike w:val="0"/>
            <w:noProof w:val="0"/>
            <w:color w:val="0077CC"/>
            <w:position w:val="0"/>
            <w:sz w:val="20"/>
            <w:u w:val="single"/>
            <w:vertAlign w:val="baseline"/>
          </w:rPr>
          <w:t>, 653 F.3d at 153</w:t>
        </w:r>
      </w:hyperlink>
      <w:r>
        <w:rPr>
          <w:rFonts w:ascii="arial" w:eastAsia="arial" w:hAnsi="arial" w:cs="arial"/>
          <w:b w:val="0"/>
          <w:i w:val="0"/>
          <w:strike w:val="0"/>
          <w:noProof w:val="0"/>
          <w:color w:val="000000"/>
          <w:position w:val="0"/>
          <w:sz w:val="20"/>
          <w:u w:val="none"/>
          <w:vertAlign w:val="baseline"/>
        </w:rPr>
        <w:t xml:space="preserve">). </w:t>
      </w:r>
      <w:bookmarkStart w:id="46" w:name="Bookmark_I68YJWJ92D6NTH0050000400"/>
      <w:bookmarkEnd w:id="46"/>
      <w:r>
        <w:rPr>
          <w:rFonts w:ascii="arial" w:eastAsia="arial" w:hAnsi="arial" w:cs="arial"/>
          <w:b w:val="0"/>
          <w:i w:val="0"/>
          <w:strike w:val="0"/>
          <w:noProof w:val="0"/>
          <w:color w:val="000000"/>
          <w:position w:val="0"/>
          <w:sz w:val="20"/>
          <w:u w:val="none"/>
          <w:vertAlign w:val="baseline"/>
        </w:rPr>
        <w:t>Indeed, at that moment in time, Morales was still undergoing admission into the United States and in fact could not have left. As noted above, the more relevant inquiry is the degree of intrusion into Morales's privacy, rather than his subjective belief regarding the detention. Regarding pretext, the Second Circuit has already held "the validity of a border search does not depend on whether it is prompted by a criminal investigative motive," but instead on "the level of intrusion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into a person's privacy." </w:t>
      </w:r>
      <w:hyperlink r:id="rId42" w:history="1">
        <w:r>
          <w:rPr>
            <w:rFonts w:ascii="arial" w:eastAsia="arial" w:hAnsi="arial" w:cs="arial"/>
            <w:b w:val="0"/>
            <w:i/>
            <w:strike w:val="0"/>
            <w:noProof w:val="0"/>
            <w:color w:val="0077CC"/>
            <w:position w:val="0"/>
            <w:sz w:val="20"/>
            <w:u w:val="single"/>
            <w:vertAlign w:val="baseline"/>
          </w:rPr>
          <w:t>Irving</w:t>
        </w:r>
      </w:hyperlink>
      <w:hyperlink r:id="rId42" w:history="1">
        <w:r>
          <w:rPr>
            <w:rFonts w:ascii="arial" w:eastAsia="arial" w:hAnsi="arial" w:cs="arial"/>
            <w:b w:val="0"/>
            <w:i/>
            <w:strike w:val="0"/>
            <w:noProof w:val="0"/>
            <w:color w:val="0077CC"/>
            <w:position w:val="0"/>
            <w:sz w:val="20"/>
            <w:u w:val="single"/>
            <w:vertAlign w:val="baseline"/>
          </w:rPr>
          <w:t>, 452 F.3d at 123</w:t>
        </w:r>
      </w:hyperlink>
      <w:r>
        <w:rPr>
          <w:rFonts w:ascii="arial" w:eastAsia="arial" w:hAnsi="arial" w:cs="arial"/>
          <w:b w:val="0"/>
          <w:i w:val="0"/>
          <w:strike w:val="0"/>
          <w:noProof w:val="0"/>
          <w:color w:val="000000"/>
          <w:position w:val="0"/>
          <w:sz w:val="20"/>
          <w:u w:val="none"/>
          <w:vertAlign w:val="baseline"/>
        </w:rPr>
        <w:t xml:space="preserve">. Stated differently, CBP's authority to detain, question, and search Morales is not invalid simply because these actions occurred in the context of "a criminal investigation rather than [by] random occurrence." </w:t>
      </w:r>
      <w:bookmarkStart w:id="47" w:name="Bookmark_I68YJWJ92D6NTH0040000400"/>
      <w:bookmarkEnd w:id="47"/>
      <w:hyperlink r:id="rId46" w:history="1">
        <w:r>
          <w:rPr>
            <w:rFonts w:ascii="arial" w:eastAsia="arial" w:hAnsi="arial" w:cs="arial"/>
            <w:b w:val="0"/>
            <w:i/>
            <w:strike w:val="0"/>
            <w:noProof w:val="0"/>
            <w:color w:val="0077CC"/>
            <w:position w:val="0"/>
            <w:sz w:val="20"/>
            <w:u w:val="single"/>
            <w:vertAlign w:val="baseline"/>
          </w:rPr>
          <w:t>United States v. Singh</w:t>
        </w:r>
      </w:hyperlink>
      <w:hyperlink r:id="rId46" w:history="1">
        <w:r>
          <w:rPr>
            <w:rFonts w:ascii="arial" w:eastAsia="arial" w:hAnsi="arial" w:cs="arial"/>
            <w:b w:val="0"/>
            <w:i/>
            <w:strike w:val="0"/>
            <w:noProof w:val="0"/>
            <w:color w:val="0077CC"/>
            <w:position w:val="0"/>
            <w:sz w:val="20"/>
            <w:u w:val="single"/>
            <w:vertAlign w:val="baseline"/>
          </w:rPr>
          <w:t>, No. 12-cr-121 (DLI), 2012 U.S. Dist. LEXIS 89413, 2012 WL 2501032, at *3 (E.D.N.Y. June 27, 2012)</w:t>
        </w:r>
      </w:hyperlink>
      <w:r>
        <w:rPr>
          <w:rFonts w:ascii="arial" w:eastAsia="arial" w:hAnsi="arial" w:cs="arial"/>
          <w:b w:val="0"/>
          <w:i w:val="0"/>
          <w:strike w:val="0"/>
          <w:noProof w:val="0"/>
          <w:color w:val="000000"/>
          <w:position w:val="0"/>
          <w:sz w:val="20"/>
          <w:u w:val="none"/>
          <w:vertAlign w:val="baseline"/>
        </w:rPr>
        <w:t xml:space="preserve">. Finally, regarding the warrant, Morales's argument appears to be that CBP's alleged lie about having an arrest warrant renders his detention false and invalid. In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 courts have held that the use of deception by law enforcement could invalidate an individual's consent and render the search unconstitutional. </w:t>
      </w:r>
      <w:r>
        <w:rPr>
          <w:rFonts w:ascii="arial" w:eastAsia="arial" w:hAnsi="arial" w:cs="arial"/>
          <w:b w:val="0"/>
          <w:i w:val="0"/>
          <w:strike w:val="0"/>
          <w:noProof w:val="0"/>
          <w:color w:val="000000"/>
          <w:position w:val="0"/>
          <w:sz w:val="20"/>
          <w:u w:val="single"/>
          <w:vertAlign w:val="baseline"/>
        </w:rPr>
        <w:t xml:space="preserve">See e.g., </w:t>
      </w:r>
      <w:hyperlink r:id="rId47" w:history="1">
        <w:r>
          <w:rPr>
            <w:rFonts w:ascii="arial" w:eastAsia="arial" w:hAnsi="arial" w:cs="arial"/>
            <w:b w:val="0"/>
            <w:i/>
            <w:strike w:val="0"/>
            <w:noProof w:val="0"/>
            <w:color w:val="0077CC"/>
            <w:position w:val="0"/>
            <w:sz w:val="20"/>
            <w:u w:val="single"/>
            <w:vertAlign w:val="baseline"/>
          </w:rPr>
          <w:t>Bumper v. North Carolina</w:t>
        </w:r>
      </w:hyperlink>
      <w:hyperlink r:id="rId47" w:history="1">
        <w:r>
          <w:rPr>
            <w:rFonts w:ascii="arial" w:eastAsia="arial" w:hAnsi="arial" w:cs="arial"/>
            <w:b w:val="0"/>
            <w:i/>
            <w:strike w:val="0"/>
            <w:noProof w:val="0"/>
            <w:color w:val="0077CC"/>
            <w:position w:val="0"/>
            <w:sz w:val="20"/>
            <w:u w:val="single"/>
            <w:vertAlign w:val="baseline"/>
          </w:rPr>
          <w:t>, 391 U.S. 543, 548-50, 88 S. Ct. 1788, 20 L. Ed. 2d 797 (1968)</w:t>
        </w:r>
      </w:hyperlink>
      <w:r>
        <w:rPr>
          <w:rFonts w:ascii="arial" w:eastAsia="arial" w:hAnsi="arial" w:cs="arial"/>
          <w:b w:val="0"/>
          <w:i w:val="0"/>
          <w:strike w:val="0"/>
          <w:noProof w:val="0"/>
          <w:color w:val="000000"/>
          <w:position w:val="0"/>
          <w:sz w:val="20"/>
          <w:u w:val="none"/>
          <w:vertAlign w:val="baseline"/>
        </w:rPr>
        <w:t xml:space="preserve"> (holding that a search is invalid when officers obtained consent to search by lying about having a warrant); </w:t>
      </w:r>
      <w:hyperlink r:id="rId48" w:history="1">
        <w:r>
          <w:rPr>
            <w:rFonts w:ascii="arial" w:eastAsia="arial" w:hAnsi="arial" w:cs="arial"/>
            <w:b w:val="0"/>
            <w:i/>
            <w:strike w:val="0"/>
            <w:noProof w:val="0"/>
            <w:color w:val="0077CC"/>
            <w:position w:val="0"/>
            <w:sz w:val="20"/>
            <w:u w:val="single"/>
            <w:vertAlign w:val="baseline"/>
          </w:rPr>
          <w:t>United States v. Montes-Reyes</w:t>
        </w:r>
      </w:hyperlink>
      <w:hyperlink r:id="rId48" w:history="1">
        <w:r>
          <w:rPr>
            <w:rFonts w:ascii="arial" w:eastAsia="arial" w:hAnsi="arial" w:cs="arial"/>
            <w:b w:val="0"/>
            <w:i/>
            <w:strike w:val="0"/>
            <w:noProof w:val="0"/>
            <w:color w:val="0077CC"/>
            <w:position w:val="0"/>
            <w:sz w:val="20"/>
            <w:u w:val="single"/>
            <w:vertAlign w:val="baseline"/>
          </w:rPr>
          <w:t>, 547 F. Supp. 2d 281, 286-87 (S.D.N.Y. 2008)</w:t>
        </w:r>
      </w:hyperlink>
      <w:r>
        <w:rPr>
          <w:rFonts w:ascii="arial" w:eastAsia="arial" w:hAnsi="arial" w:cs="arial"/>
          <w:b w:val="0"/>
          <w:i w:val="0"/>
          <w:strike w:val="0"/>
          <w:noProof w:val="0"/>
          <w:color w:val="000000"/>
          <w:position w:val="0"/>
          <w:sz w:val="20"/>
          <w:u w:val="none"/>
          <w:vertAlign w:val="baseline"/>
        </w:rPr>
        <w:t xml:space="preserve"> (summarizing the caselaw regarding deception and consent). This precedent is unhelpful to Morales, because the legal basis for his detention was not consent, but CBP's privilege to detain him pursuant to either a routine or a non-routine border search; the fact of the lie about the arrest warrant is immaterial to his false-arrest claim. Accordingly, I find that Morales has failed to state a claim of false arrest and false imprisonment under New York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Second and Third Causes of Action: Assault and Battery</w:t>
      </w:r>
    </w:p>
    <w:p>
      <w:pPr>
        <w:keepNext w:val="0"/>
        <w:spacing w:before="240" w:after="0" w:line="260" w:lineRule="atLeast"/>
        <w:ind w:left="0" w:right="0" w:firstLine="0"/>
        <w:jc w:val="both"/>
      </w:pPr>
      <w:bookmarkStart w:id="48" w:name="Bookmark_para_21"/>
      <w:bookmarkEnd w:id="48"/>
      <w:r>
        <w:rPr>
          <w:rFonts w:ascii="arial" w:eastAsia="arial" w:hAnsi="arial" w:cs="arial"/>
          <w:b w:val="0"/>
          <w:i w:val="0"/>
          <w:strike w:val="0"/>
          <w:noProof w:val="0"/>
          <w:color w:val="000000"/>
          <w:position w:val="0"/>
          <w:sz w:val="20"/>
          <w:u w:val="none"/>
          <w:vertAlign w:val="baseline"/>
        </w:rPr>
        <w:t>Morale's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second and third causes of action allege claims of assault and battery. The FTCA expressly permits the claims of assault and battery under </w:t>
      </w:r>
      <w:hyperlink r:id="rId31" w:history="1">
        <w:r>
          <w:rPr>
            <w:rFonts w:ascii="arial" w:eastAsia="arial" w:hAnsi="arial" w:cs="arial"/>
            <w:b w:val="0"/>
            <w:i/>
            <w:strike w:val="0"/>
            <w:noProof w:val="0"/>
            <w:color w:val="0077CC"/>
            <w:position w:val="0"/>
            <w:sz w:val="20"/>
            <w:u w:val="single"/>
            <w:vertAlign w:val="baseline"/>
          </w:rPr>
          <w:t>28 U.S.C. § 2680(h)</w:t>
        </w:r>
      </w:hyperlink>
      <w:r>
        <w:rPr>
          <w:rFonts w:ascii="arial" w:eastAsia="arial" w:hAnsi="arial" w:cs="arial"/>
          <w:b w:val="0"/>
          <w:i w:val="0"/>
          <w:strike w:val="0"/>
          <w:noProof w:val="0"/>
          <w:color w:val="000000"/>
          <w:position w:val="0"/>
          <w:sz w:val="20"/>
          <w:u w:val="none"/>
          <w:vertAlign w:val="baseline"/>
        </w:rPr>
        <w:t xml:space="preserve">. Under New York law, an "assault" is "an intentional placing of another person in fear of imminent harmful or offensive conduct"; a "battery" is "an intentional wrongful physical contact with another person without consent." </w:t>
      </w:r>
      <w:hyperlink r:id="rId49" w:history="1">
        <w:r>
          <w:rPr>
            <w:rFonts w:ascii="arial" w:eastAsia="arial" w:hAnsi="arial" w:cs="arial"/>
            <w:b w:val="0"/>
            <w:i/>
            <w:strike w:val="0"/>
            <w:noProof w:val="0"/>
            <w:color w:val="0077CC"/>
            <w:position w:val="0"/>
            <w:sz w:val="20"/>
            <w:u w:val="single"/>
            <w:vertAlign w:val="baseline"/>
          </w:rPr>
          <w:t>Cunningham v. United States</w:t>
        </w:r>
      </w:hyperlink>
      <w:hyperlink r:id="rId49" w:history="1">
        <w:r>
          <w:rPr>
            <w:rFonts w:ascii="arial" w:eastAsia="arial" w:hAnsi="arial" w:cs="arial"/>
            <w:b w:val="0"/>
            <w:i/>
            <w:strike w:val="0"/>
            <w:noProof w:val="0"/>
            <w:color w:val="0077CC"/>
            <w:position w:val="0"/>
            <w:sz w:val="20"/>
            <w:u w:val="single"/>
            <w:vertAlign w:val="baseline"/>
          </w:rPr>
          <w:t>, 472 F. Supp. 2d 366, 380 (E.D.N.Y. 2007)</w:t>
        </w:r>
      </w:hyperlink>
      <w:r>
        <w:rPr>
          <w:rFonts w:ascii="arial" w:eastAsia="arial" w:hAnsi="arial" w:cs="arial"/>
          <w:b w:val="0"/>
          <w:i w:val="0"/>
          <w:strike w:val="0"/>
          <w:noProof w:val="0"/>
          <w:color w:val="000000"/>
          <w:position w:val="0"/>
          <w:sz w:val="20"/>
          <w:u w:val="none"/>
          <w:vertAlign w:val="baseline"/>
        </w:rPr>
        <w:t xml:space="preserve"> (quoting </w:t>
      </w:r>
      <w:hyperlink r:id="rId50" w:history="1">
        <w:r>
          <w:rPr>
            <w:rFonts w:ascii="arial" w:eastAsia="arial" w:hAnsi="arial" w:cs="arial"/>
            <w:b w:val="0"/>
            <w:i/>
            <w:strike w:val="0"/>
            <w:noProof w:val="0"/>
            <w:color w:val="0077CC"/>
            <w:position w:val="0"/>
            <w:sz w:val="20"/>
            <w:u w:val="single"/>
            <w:vertAlign w:val="baseline"/>
          </w:rPr>
          <w:t>Girden v. Sandals Int'l</w:t>
        </w:r>
      </w:hyperlink>
      <w:hyperlink r:id="rId50" w:history="1">
        <w:r>
          <w:rPr>
            <w:rFonts w:ascii="arial" w:eastAsia="arial" w:hAnsi="arial" w:cs="arial"/>
            <w:b w:val="0"/>
            <w:i/>
            <w:strike w:val="0"/>
            <w:noProof w:val="0"/>
            <w:color w:val="0077CC"/>
            <w:position w:val="0"/>
            <w:sz w:val="20"/>
            <w:u w:val="single"/>
            <w:vertAlign w:val="baseline"/>
          </w:rPr>
          <w:t>, 262 F.3d 195, 203 (2d Cir. 2001)</w:t>
        </w:r>
      </w:hyperlink>
      <w:r>
        <w:rPr>
          <w:rFonts w:ascii="arial" w:eastAsia="arial" w:hAnsi="arial" w:cs="arial"/>
          <w:b w:val="0"/>
          <w:i w:val="0"/>
          <w:strike w:val="0"/>
          <w:noProof w:val="0"/>
          <w:color w:val="000000"/>
          <w:position w:val="0"/>
          <w:sz w:val="20"/>
          <w:u w:val="none"/>
          <w:vertAlign w:val="baseline"/>
        </w:rPr>
        <w:t xml:space="preserve">). Although a plaintiff asserting a claim of assault need not show actual physical contact, there must be "some manifestation that creates reasonable apprehension of harmful physical contact."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1" w:history="1">
        <w:r>
          <w:rPr>
            <w:rFonts w:ascii="arial" w:eastAsia="arial" w:hAnsi="arial" w:cs="arial"/>
            <w:b w:val="0"/>
            <w:i/>
            <w:strike w:val="0"/>
            <w:noProof w:val="0"/>
            <w:color w:val="0077CC"/>
            <w:position w:val="0"/>
            <w:sz w:val="20"/>
            <w:u w:val="single"/>
            <w:vertAlign w:val="baseline"/>
          </w:rPr>
          <w:t>Collom v. Incorporated Village of Freeport</w:t>
        </w:r>
      </w:hyperlink>
      <w:hyperlink r:id="rId51" w:history="1">
        <w:r>
          <w:rPr>
            <w:rFonts w:ascii="arial" w:eastAsia="arial" w:hAnsi="arial" w:cs="arial"/>
            <w:b w:val="0"/>
            <w:i/>
            <w:strike w:val="0"/>
            <w:noProof w:val="0"/>
            <w:color w:val="0077CC"/>
            <w:position w:val="0"/>
            <w:sz w:val="20"/>
            <w:u w:val="single"/>
            <w:vertAlign w:val="baseline"/>
          </w:rPr>
          <w:t>, 691 F. Supp. 637, 641 (E.D.N.Y. 1988)</w:t>
        </w:r>
      </w:hyperlink>
      <w:r>
        <w:rPr>
          <w:rFonts w:ascii="arial" w:eastAsia="arial" w:hAnsi="arial" w:cs="arial"/>
          <w:b w:val="0"/>
          <w:i w:val="0"/>
          <w:strike w:val="0"/>
          <w:noProof w:val="0"/>
          <w:color w:val="000000"/>
          <w:position w:val="0"/>
          <w:sz w:val="20"/>
          <w:u w:val="none"/>
          <w:vertAlign w:val="baseline"/>
        </w:rPr>
        <w:t xml:space="preserve">). In contrast, a battery requires a showing that the defendant intentionally made a harmful or offensive contact.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52" w:history="1">
        <w:r>
          <w:rPr>
            <w:rFonts w:ascii="arial" w:eastAsia="arial" w:hAnsi="arial" w:cs="arial"/>
            <w:b w:val="0"/>
            <w:i/>
            <w:strike w:val="0"/>
            <w:noProof w:val="0"/>
            <w:color w:val="0077CC"/>
            <w:position w:val="0"/>
            <w:sz w:val="20"/>
            <w:u w:val="single"/>
            <w:vertAlign w:val="baseline"/>
          </w:rPr>
          <w:t>Merzon v. County of Suffolk</w:t>
        </w:r>
      </w:hyperlink>
      <w:hyperlink r:id="rId52" w:history="1">
        <w:r>
          <w:rPr>
            <w:rFonts w:ascii="arial" w:eastAsia="arial" w:hAnsi="arial" w:cs="arial"/>
            <w:b w:val="0"/>
            <w:i/>
            <w:strike w:val="0"/>
            <w:noProof w:val="0"/>
            <w:color w:val="0077CC"/>
            <w:position w:val="0"/>
            <w:sz w:val="20"/>
            <w:u w:val="single"/>
            <w:vertAlign w:val="baseline"/>
          </w:rPr>
          <w:t>, 767 F. Supp. 432, 448 (E.D.N.Y.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22"/>
      <w:bookmarkEnd w:id="49"/>
      <w:bookmarkStart w:id="50" w:name="Bookmark_I67NJDK22HM62S0040000400"/>
      <w:bookmarkEnd w:id="50"/>
      <w:r>
        <w:rPr>
          <w:rFonts w:ascii="arial" w:eastAsia="arial" w:hAnsi="arial" w:cs="arial"/>
          <w:b w:val="0"/>
          <w:i w:val="0"/>
          <w:strike w:val="0"/>
          <w:noProof w:val="0"/>
          <w:color w:val="000000"/>
          <w:position w:val="0"/>
          <w:sz w:val="20"/>
          <w:u w:val="none"/>
          <w:vertAlign w:val="baseline"/>
        </w:rPr>
        <w:t xml:space="preserve">As Morales conceded at oral argument, the record does not support either claim. </w:t>
      </w:r>
      <w:bookmarkStart w:id="51" w:name="Bookmark_I68YJWJ92SF8610040000400"/>
      <w:bookmarkEnd w:id="51"/>
      <w:r>
        <w:rPr>
          <w:rFonts w:ascii="arial" w:eastAsia="arial" w:hAnsi="arial" w:cs="arial"/>
          <w:b w:val="0"/>
          <w:i w:val="0"/>
          <w:strike w:val="0"/>
          <w:noProof w:val="0"/>
          <w:color w:val="000000"/>
          <w:position w:val="0"/>
          <w:sz w:val="20"/>
          <w:u w:val="none"/>
          <w:vertAlign w:val="baseline"/>
        </w:rPr>
        <w:t>Regarding assault, Morales bases his claim primarily on the nature of CBP's verbal questioning,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 Opp'n 22-23 (quoting Morales's deposition testimony at length and arguing that CBP's "intimidation and manipulation [of Morales during the Secondary questioning] . . . is classic assault and battery")); however, under New York law, "words, without some menacing gesture or act accompanying them, ordinarily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will not be sufficient to state a cause of action alleging assault." </w:t>
      </w:r>
      <w:bookmarkStart w:id="52" w:name="Bookmark_I67NJDK22HM62S0030000400"/>
      <w:bookmarkEnd w:id="52"/>
      <w:hyperlink r:id="rId53" w:history="1">
        <w:r>
          <w:rPr>
            <w:rFonts w:ascii="arial" w:eastAsia="arial" w:hAnsi="arial" w:cs="arial"/>
            <w:b w:val="0"/>
            <w:i/>
            <w:strike w:val="0"/>
            <w:noProof w:val="0"/>
            <w:color w:val="0077CC"/>
            <w:position w:val="0"/>
            <w:sz w:val="20"/>
            <w:u w:val="single"/>
            <w:vertAlign w:val="baseline"/>
          </w:rPr>
          <w:t>Gould v. Rempel</w:t>
        </w:r>
      </w:hyperlink>
      <w:hyperlink r:id="rId53" w:history="1">
        <w:r>
          <w:rPr>
            <w:rFonts w:ascii="arial" w:eastAsia="arial" w:hAnsi="arial" w:cs="arial"/>
            <w:b w:val="0"/>
            <w:i/>
            <w:strike w:val="0"/>
            <w:noProof w:val="0"/>
            <w:color w:val="0077CC"/>
            <w:position w:val="0"/>
            <w:sz w:val="20"/>
            <w:u w:val="single"/>
            <w:vertAlign w:val="baseline"/>
          </w:rPr>
          <w:t>, 99 A.D.3d 759, 951 N.Y.S.2d 677, 678 (App. Div. 2012)</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cf. </w:t>
      </w:r>
      <w:bookmarkStart w:id="53" w:name="Bookmark_I68YJWJ92SF8610010000400"/>
      <w:bookmarkEnd w:id="53"/>
      <w:hyperlink r:id="rId54" w:history="1">
        <w:r>
          <w:rPr>
            <w:rFonts w:ascii="arial" w:eastAsia="arial" w:hAnsi="arial" w:cs="arial"/>
            <w:b w:val="0"/>
            <w:i/>
            <w:strike w:val="0"/>
            <w:noProof w:val="0"/>
            <w:color w:val="0077CC"/>
            <w:position w:val="0"/>
            <w:sz w:val="20"/>
            <w:u w:val="single"/>
            <w:vertAlign w:val="baseline"/>
          </w:rPr>
          <w:t>Rothman v. City of New York</w:t>
        </w:r>
      </w:hyperlink>
      <w:hyperlink r:id="rId54" w:history="1">
        <w:r>
          <w:rPr>
            <w:rFonts w:ascii="arial" w:eastAsia="arial" w:hAnsi="arial" w:cs="arial"/>
            <w:b w:val="0"/>
            <w:i/>
            <w:strike w:val="0"/>
            <w:noProof w:val="0"/>
            <w:color w:val="0077CC"/>
            <w:position w:val="0"/>
            <w:sz w:val="20"/>
            <w:u w:val="single"/>
            <w:vertAlign w:val="baseline"/>
          </w:rPr>
          <w:t>, No. 19-cv-225 (CM), 2019 U.S. Dist. LEXIS 131472, 2019 WL 3571051, at *2, 17 (S.D.N.Y. Aug. 5, 2019)</w:t>
        </w:r>
      </w:hyperlink>
      <w:r>
        <w:rPr>
          <w:rFonts w:ascii="arial" w:eastAsia="arial" w:hAnsi="arial" w:cs="arial"/>
          <w:b w:val="0"/>
          <w:i w:val="0"/>
          <w:strike w:val="0"/>
          <w:noProof w:val="0"/>
          <w:color w:val="000000"/>
          <w:position w:val="0"/>
          <w:sz w:val="20"/>
          <w:u w:val="none"/>
          <w:vertAlign w:val="baseline"/>
        </w:rPr>
        <w:t xml:space="preserve"> (concluding that plaintiff stated a claim of assault when one government officer "grabbed [plaintiff's] pen out of his hand" while another officer "aggressively . . . [and] violently threw [documents] at [him]" (second alteration in original)). </w:t>
      </w:r>
      <w:bookmarkStart w:id="54" w:name="Bookmark_I68YJWJ92SF8610040000400_2"/>
      <w:bookmarkEnd w:id="54"/>
      <w:r>
        <w:rPr>
          <w:rFonts w:ascii="arial" w:eastAsia="arial" w:hAnsi="arial" w:cs="arial"/>
          <w:b w:val="0"/>
          <w:i w:val="0"/>
          <w:strike w:val="0"/>
          <w:noProof w:val="0"/>
          <w:color w:val="000000"/>
          <w:position w:val="0"/>
          <w:sz w:val="20"/>
          <w:u w:val="none"/>
          <w:vertAlign w:val="baseline"/>
        </w:rPr>
        <w:t xml:space="preserve">Regarding battery, Morales had a single physical contact with CBP when he was "grabbed" en route to the fingerprinting machine; however, under New York law, an officer may "use sufficient force [that he or she] reasonably believe[s] necessary to accomplish that law enforcement goal without being subject to civil . . . battery claims." </w:t>
      </w:r>
      <w:bookmarkStart w:id="55" w:name="Bookmark_I68YJWJ92SF8610030000400"/>
      <w:bookmarkEnd w:id="55"/>
      <w:hyperlink r:id="rId54" w:history="1">
        <w:r>
          <w:rPr>
            <w:rFonts w:ascii="arial" w:eastAsia="arial" w:hAnsi="arial" w:cs="arial"/>
            <w:b w:val="0"/>
            <w:i/>
            <w:strike w:val="0"/>
            <w:noProof w:val="0"/>
            <w:color w:val="0077CC"/>
            <w:position w:val="0"/>
            <w:sz w:val="20"/>
            <w:u w:val="single"/>
            <w:vertAlign w:val="baseline"/>
          </w:rPr>
          <w:t>Rothman</w:t>
        </w:r>
      </w:hyperlink>
      <w:hyperlink r:id="rId54" w:history="1">
        <w:r>
          <w:rPr>
            <w:rFonts w:ascii="arial" w:eastAsia="arial" w:hAnsi="arial" w:cs="arial"/>
            <w:b w:val="0"/>
            <w:i/>
            <w:strike w:val="0"/>
            <w:noProof w:val="0"/>
            <w:color w:val="0077CC"/>
            <w:position w:val="0"/>
            <w:sz w:val="20"/>
            <w:u w:val="single"/>
            <w:vertAlign w:val="baseline"/>
          </w:rPr>
          <w:t>, 2019 U.S. Dist. LEXIS 131472, 2019 WL 3571051, at *16</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cf. </w:t>
      </w:r>
      <w:bookmarkStart w:id="56" w:name="Bookmark_I67NJDK22HM62W0040000400"/>
      <w:bookmarkEnd w:id="56"/>
      <w:hyperlink r:id="rId43" w:history="1">
        <w:r>
          <w:rPr>
            <w:rFonts w:ascii="arial" w:eastAsia="arial" w:hAnsi="arial" w:cs="arial"/>
            <w:b w:val="0"/>
            <w:i/>
            <w:strike w:val="0"/>
            <w:noProof w:val="0"/>
            <w:color w:val="0077CC"/>
            <w:position w:val="0"/>
            <w:sz w:val="20"/>
            <w:u w:val="single"/>
            <w:vertAlign w:val="baseline"/>
          </w:rPr>
          <w:t>Tabbaa</w:t>
        </w:r>
      </w:hyperlink>
      <w:hyperlink r:id="rId43" w:history="1">
        <w:r>
          <w:rPr>
            <w:rFonts w:ascii="arial" w:eastAsia="arial" w:hAnsi="arial" w:cs="arial"/>
            <w:b w:val="0"/>
            <w:i/>
            <w:strike w:val="0"/>
            <w:noProof w:val="0"/>
            <w:color w:val="0077CC"/>
            <w:position w:val="0"/>
            <w:sz w:val="20"/>
            <w:u w:val="single"/>
            <w:vertAlign w:val="baseline"/>
          </w:rPr>
          <w:t>, 509 F.3d at 99</w:t>
        </w:r>
      </w:hyperlink>
      <w:r>
        <w:rPr>
          <w:rFonts w:ascii="arial" w:eastAsia="arial" w:hAnsi="arial" w:cs="arial"/>
          <w:b w:val="0"/>
          <w:i w:val="0"/>
          <w:strike w:val="0"/>
          <w:noProof w:val="0"/>
          <w:color w:val="000000"/>
          <w:position w:val="0"/>
          <w:sz w:val="20"/>
          <w:u w:val="none"/>
          <w:vertAlign w:val="baseline"/>
        </w:rPr>
        <w:t xml:space="preserve"> (noting that "being fingerprinted (even forcibly) . . . is not particularly invasive" in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 Further, Morales testified that his contact with CBP did not cause any actual injuries and that he walked out of JFK unharmed. (Morales Dep. 101:25-102:5, 141:13-17.) Accordingly, Morales's second and third claims are dismissed.</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Fourth Cause of Action: Negligence</w:t>
      </w:r>
    </w:p>
    <w:p>
      <w:pPr>
        <w:keepNext w:val="0"/>
        <w:spacing w:before="200" w:after="0" w:line="260" w:lineRule="atLeast"/>
        <w:ind w:left="0" w:right="0" w:firstLine="0"/>
        <w:jc w:val="both"/>
      </w:pPr>
      <w:bookmarkStart w:id="58" w:name="Bookmark_para_23"/>
      <w:bookmarkEnd w:id="58"/>
      <w:r>
        <w:rPr>
          <w:rFonts w:ascii="arial" w:eastAsia="arial" w:hAnsi="arial" w:cs="arial"/>
          <w:b w:val="0"/>
          <w:i w:val="0"/>
          <w:strike w:val="0"/>
          <w:noProof w:val="0"/>
          <w:color w:val="000000"/>
          <w:position w:val="0"/>
          <w:sz w:val="20"/>
          <w:u w:val="none"/>
          <w:vertAlign w:val="baseline"/>
        </w:rPr>
        <w:t>Morales's fourth cause of action alleges a claim of negligence. Morales argues that his mistaken arrest and imprisonment by NCPD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could have been avoided had CBP officers taken a closer look at his travel records. (Pl. Opp'n 16.) In essence, Morales asserts a claim of negligent investigation, either based on CBP's own failure to investigate Morales, or CBP's failure to confirm NCPD's allegedly negligent investigation of Morales.</w:t>
      </w:r>
    </w:p>
    <w:p>
      <w:pPr>
        <w:keepNext w:val="0"/>
        <w:spacing w:before="240" w:after="0" w:line="260" w:lineRule="atLeast"/>
        <w:ind w:left="0" w:right="0" w:firstLine="0"/>
        <w:jc w:val="both"/>
      </w:pPr>
      <w:bookmarkStart w:id="59" w:name="Bookmark_para_24"/>
      <w:bookmarkEnd w:id="59"/>
      <w:r>
        <w:rPr>
          <w:rFonts w:ascii="arial" w:eastAsia="arial" w:hAnsi="arial" w:cs="arial"/>
          <w:b w:val="0"/>
          <w:i w:val="0"/>
          <w:strike w:val="0"/>
          <w:noProof w:val="0"/>
          <w:color w:val="000000"/>
          <w:position w:val="0"/>
          <w:sz w:val="20"/>
          <w:u w:val="none"/>
          <w:vertAlign w:val="baseline"/>
        </w:rPr>
        <w:t xml:space="preserve">New York does not recognize such a claim of negligence. In any negligence claim, the threshold question is whether Defendants owe Morales a duty of care, which is a question of law. </w:t>
      </w:r>
      <w:hyperlink r:id="rId24" w:history="1">
        <w:r>
          <w:rPr>
            <w:rFonts w:ascii="arial" w:eastAsia="arial" w:hAnsi="arial" w:cs="arial"/>
            <w:b w:val="0"/>
            <w:i/>
            <w:strike w:val="0"/>
            <w:noProof w:val="0"/>
            <w:color w:val="0077CC"/>
            <w:position w:val="0"/>
            <w:sz w:val="20"/>
            <w:u w:val="single"/>
            <w:vertAlign w:val="baseline"/>
          </w:rPr>
          <w:t>Selvam</w:t>
        </w:r>
      </w:hyperlink>
      <w:hyperlink r:id="rId24" w:history="1">
        <w:r>
          <w:rPr>
            <w:rFonts w:ascii="arial" w:eastAsia="arial" w:hAnsi="arial" w:cs="arial"/>
            <w:b w:val="0"/>
            <w:i/>
            <w:strike w:val="0"/>
            <w:noProof w:val="0"/>
            <w:color w:val="0077CC"/>
            <w:position w:val="0"/>
            <w:sz w:val="20"/>
            <w:u w:val="single"/>
            <w:vertAlign w:val="baseline"/>
          </w:rPr>
          <w:t>, 570 F. Supp. 3d at 52</w:t>
        </w:r>
      </w:hyperlink>
      <w:r>
        <w:rPr>
          <w:rFonts w:ascii="arial" w:eastAsia="arial" w:hAnsi="arial" w:cs="arial"/>
          <w:b w:val="0"/>
          <w:i w:val="0"/>
          <w:strike w:val="0"/>
          <w:noProof w:val="0"/>
          <w:color w:val="000000"/>
          <w:position w:val="0"/>
          <w:sz w:val="20"/>
          <w:u w:val="none"/>
          <w:vertAlign w:val="baseline"/>
        </w:rPr>
        <w:t xml:space="preserve">. New York does not impose such a duty on law enforcement officers. Under New York law, a plaintiff who has been the victim of a negligent investigation "may not recover under general negligence principles for a claim that law enforcement officers failed to exercise the appropriate degree of care in effecting an arrest or initiating a prosecution." </w:t>
      </w:r>
      <w:hyperlink r:id="rId55" w:history="1">
        <w:r>
          <w:rPr>
            <w:rFonts w:ascii="arial" w:eastAsia="arial" w:hAnsi="arial" w:cs="arial"/>
            <w:b w:val="0"/>
            <w:i/>
            <w:strike w:val="0"/>
            <w:noProof w:val="0"/>
            <w:color w:val="0077CC"/>
            <w:position w:val="0"/>
            <w:sz w:val="20"/>
            <w:u w:val="single"/>
            <w:vertAlign w:val="baseline"/>
          </w:rPr>
          <w:t>Bernard v. United States</w:t>
        </w:r>
      </w:hyperlink>
      <w:hyperlink r:id="rId55" w:history="1">
        <w:r>
          <w:rPr>
            <w:rFonts w:ascii="arial" w:eastAsia="arial" w:hAnsi="arial" w:cs="arial"/>
            <w:b w:val="0"/>
            <w:i/>
            <w:strike w:val="0"/>
            <w:noProof w:val="0"/>
            <w:color w:val="0077CC"/>
            <w:position w:val="0"/>
            <w:sz w:val="20"/>
            <w:u w:val="single"/>
            <w:vertAlign w:val="baseline"/>
          </w:rPr>
          <w:t>, 25 F.3d 98, 102 (2d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56" w:history="1">
        <w:r>
          <w:rPr>
            <w:rFonts w:ascii="arial" w:eastAsia="arial" w:hAnsi="arial" w:cs="arial"/>
            <w:b w:val="0"/>
            <w:i/>
            <w:strike w:val="0"/>
            <w:noProof w:val="0"/>
            <w:color w:val="0077CC"/>
            <w:position w:val="0"/>
            <w:sz w:val="20"/>
            <w:u w:val="single"/>
            <w:vertAlign w:val="baseline"/>
          </w:rPr>
          <w:t>Boose v. City of Rochester</w:t>
        </w:r>
      </w:hyperlink>
      <w:hyperlink r:id="rId56" w:history="1">
        <w:r>
          <w:rPr>
            <w:rFonts w:ascii="arial" w:eastAsia="arial" w:hAnsi="arial" w:cs="arial"/>
            <w:b w:val="0"/>
            <w:i/>
            <w:strike w:val="0"/>
            <w:noProof w:val="0"/>
            <w:color w:val="0077CC"/>
            <w:position w:val="0"/>
            <w:sz w:val="20"/>
            <w:u w:val="single"/>
            <w:vertAlign w:val="baseline"/>
          </w:rPr>
          <w:t>, 71 A.D.2d 59, 421 N.Y.S.2d 740, 744 (App. Div. 1979)</w:t>
        </w:r>
      </w:hyperlink>
      <w:r>
        <w:rPr>
          <w:rFonts w:ascii="arial" w:eastAsia="arial" w:hAnsi="arial" w:cs="arial"/>
          <w:b w:val="0"/>
          <w:i w:val="0"/>
          <w:strike w:val="0"/>
          <w:noProof w:val="0"/>
          <w:color w:val="000000"/>
          <w:position w:val="0"/>
          <w:sz w:val="20"/>
          <w:u w:val="none"/>
          <w:vertAlign w:val="baseline"/>
        </w:rPr>
        <w:t xml:space="preserve"> ("Plaintiff may not recover under broad general principles of negligence, . . . but must proceed by way of the traditional remedies of false arrest and imprisonment and malicious prosecution."). Accordingly, Morales's negligence claim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Fifth and Sixth Causes of Action: Negligent Training and Negligent Hiring</w:t>
      </w:r>
    </w:p>
    <w:p>
      <w:pPr>
        <w:keepNext w:val="0"/>
        <w:spacing w:before="240" w:after="0" w:line="260" w:lineRule="atLeast"/>
        <w:ind w:left="0" w:right="0" w:firstLine="0"/>
        <w:jc w:val="both"/>
      </w:pPr>
      <w:bookmarkStart w:id="60" w:name="Bookmark_para_25"/>
      <w:bookmarkEnd w:id="60"/>
      <w:r>
        <w:rPr>
          <w:rFonts w:ascii="arial" w:eastAsia="arial" w:hAnsi="arial" w:cs="arial"/>
          <w:b w:val="0"/>
          <w:i w:val="0"/>
          <w:strike w:val="0"/>
          <w:noProof w:val="0"/>
          <w:color w:val="000000"/>
          <w:position w:val="0"/>
          <w:sz w:val="20"/>
          <w:u w:val="none"/>
          <w:vertAlign w:val="baseline"/>
        </w:rPr>
        <w:t>Morales's fifth and sixth causes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action allege claims of negligent training and negligent hiring. Morales argues that the United States failed to train and supervise its employees on various law enforcement techniques, was negligent in hiring the Individual CBP Officers, and was negligent in placing these officers in positions of consequence. (Pl. Opp'n 11-12.) Defendants argue that the "discretionary function exception" ("DFE") under </w:t>
      </w:r>
      <w:hyperlink r:id="rId31"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 xml:space="preserve"> bars Morales's claims. (D.E. # 77-2 ("Defs. Mem.") 12-14);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xml:space="preserve"> ("The provisions of . . . [the FTCA under] </w:t>
      </w:r>
      <w:hyperlink r:id="rId11" w:history="1">
        <w:r>
          <w:rPr>
            <w:rFonts w:ascii="arial" w:eastAsia="arial" w:hAnsi="arial" w:cs="arial"/>
            <w:b w:val="0"/>
            <w:i/>
            <w:strike w:val="0"/>
            <w:noProof w:val="0"/>
            <w:color w:val="0077CC"/>
            <w:position w:val="0"/>
            <w:sz w:val="20"/>
            <w:u w:val="single"/>
            <w:vertAlign w:val="baseline"/>
          </w:rPr>
          <w:t>section 1346(b)</w:t>
        </w:r>
      </w:hyperlink>
      <w:r>
        <w:rPr>
          <w:rFonts w:ascii="arial" w:eastAsia="arial" w:hAnsi="arial" w:cs="arial"/>
          <w:b w:val="0"/>
          <w:i w:val="0"/>
          <w:strike w:val="0"/>
          <w:noProof w:val="0"/>
          <w:color w:val="000000"/>
          <w:position w:val="0"/>
          <w:sz w:val="20"/>
          <w:u w:val="none"/>
          <w:vertAlign w:val="baseline"/>
        </w:rPr>
        <w:t xml:space="preserve"> of this title shall not apply to . . . [a]ny claim based upon . . . the exercise or performance or the failure to exercise or perform a discretionary function or duty . . . .").</w:t>
      </w:r>
    </w:p>
    <w:p>
      <w:pPr>
        <w:keepNext w:val="0"/>
        <w:spacing w:before="200" w:after="0" w:line="260" w:lineRule="atLeast"/>
        <w:ind w:left="0" w:right="0" w:firstLine="0"/>
        <w:jc w:val="both"/>
      </w:pPr>
      <w:bookmarkStart w:id="61" w:name="Bookmark_para_26"/>
      <w:bookmarkEnd w:id="61"/>
      <w:bookmarkStart w:id="62" w:name="Bookmark_I68YJWJB28T4B40010000400"/>
      <w:bookmarkEnd w:id="62"/>
      <w:r>
        <w:rPr>
          <w:rFonts w:ascii="arial" w:eastAsia="arial" w:hAnsi="arial" w:cs="arial"/>
          <w:b w:val="0"/>
          <w:i w:val="0"/>
          <w:strike w:val="0"/>
          <w:noProof w:val="0"/>
          <w:color w:val="000000"/>
          <w:position w:val="0"/>
          <w:sz w:val="20"/>
          <w:u w:val="none"/>
          <w:vertAlign w:val="baseline"/>
        </w:rPr>
        <w:t xml:space="preserve">I need not decide whether the DFE applies, because "New York law precludes a claim for negligent training or negligent supervision against an employer for acts taken within the scope of the employee's employment." </w:t>
      </w:r>
      <w:bookmarkStart w:id="63" w:name="Bookmark_I68YJWJ92SF8610050000400"/>
      <w:bookmarkEnd w:id="63"/>
      <w:hyperlink r:id="rId57" w:history="1">
        <w:r>
          <w:rPr>
            <w:rFonts w:ascii="arial" w:eastAsia="arial" w:hAnsi="arial" w:cs="arial"/>
            <w:b w:val="0"/>
            <w:i/>
            <w:strike w:val="0"/>
            <w:noProof w:val="0"/>
            <w:color w:val="0077CC"/>
            <w:position w:val="0"/>
            <w:sz w:val="20"/>
            <w:u w:val="single"/>
            <w:vertAlign w:val="baseline"/>
          </w:rPr>
          <w:t>Salamone v. United States</w:t>
        </w:r>
      </w:hyperlink>
      <w:hyperlink r:id="rId57" w:history="1">
        <w:r>
          <w:rPr>
            <w:rFonts w:ascii="arial" w:eastAsia="arial" w:hAnsi="arial" w:cs="arial"/>
            <w:b w:val="0"/>
            <w:i/>
            <w:strike w:val="0"/>
            <w:noProof w:val="0"/>
            <w:color w:val="0077CC"/>
            <w:position w:val="0"/>
            <w:sz w:val="20"/>
            <w:u w:val="single"/>
            <w:vertAlign w:val="baseline"/>
          </w:rPr>
          <w:t>, No. 21-cv-4528 (JGK), 618 F. Supp. 3d 146, 2022 U.S. Dist. LEXIS 136716, 2022 WL 3043456, at *4 (S.D.N.Y. Aug. 1, 2022)</w:t>
        </w:r>
      </w:hyperlink>
      <w:r>
        <w:rPr>
          <w:rFonts w:ascii="arial" w:eastAsia="arial" w:hAnsi="arial" w:cs="arial"/>
          <w:b w:val="0"/>
          <w:i w:val="0"/>
          <w:strike w:val="0"/>
          <w:noProof w:val="0"/>
          <w:color w:val="000000"/>
          <w:position w:val="0"/>
          <w:sz w:val="20"/>
          <w:u w:val="none"/>
          <w:vertAlign w:val="baseline"/>
        </w:rPr>
        <w:t xml:space="preserve"> (citing </w:t>
      </w:r>
      <w:bookmarkStart w:id="64" w:name="Bookmark_I67NJDK42SF7TD0040000400"/>
      <w:bookmarkEnd w:id="64"/>
      <w:hyperlink r:id="rId58" w:history="1">
        <w:r>
          <w:rPr>
            <w:rFonts w:ascii="arial" w:eastAsia="arial" w:hAnsi="arial" w:cs="arial"/>
            <w:b w:val="0"/>
            <w:i/>
            <w:strike w:val="0"/>
            <w:noProof w:val="0"/>
            <w:color w:val="0077CC"/>
            <w:position w:val="0"/>
            <w:sz w:val="20"/>
            <w:u w:val="single"/>
            <w:vertAlign w:val="baseline"/>
          </w:rPr>
          <w:t>Velez v. City of New York</w:t>
        </w:r>
      </w:hyperlink>
      <w:hyperlink r:id="rId58" w:history="1">
        <w:r>
          <w:rPr>
            <w:rFonts w:ascii="arial" w:eastAsia="arial" w:hAnsi="arial" w:cs="arial"/>
            <w:b w:val="0"/>
            <w:i/>
            <w:strike w:val="0"/>
            <w:noProof w:val="0"/>
            <w:color w:val="0077CC"/>
            <w:position w:val="0"/>
            <w:sz w:val="20"/>
            <w:u w:val="single"/>
            <w:vertAlign w:val="baseline"/>
          </w:rPr>
          <w:t>, 730 F.3d 128, 136-37 (2d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65" w:name="Bookmark_I67NJDK52SF7TJ0010000400"/>
      <w:bookmarkEnd w:id="65"/>
      <w:hyperlink r:id="rId59" w:history="1">
        <w:r>
          <w:rPr>
            <w:rFonts w:ascii="arial" w:eastAsia="arial" w:hAnsi="arial" w:cs="arial"/>
            <w:b w:val="0"/>
            <w:i/>
            <w:strike w:val="0"/>
            <w:noProof w:val="0"/>
            <w:color w:val="0077CC"/>
            <w:position w:val="0"/>
            <w:sz w:val="20"/>
            <w:u w:val="single"/>
            <w:vertAlign w:val="baseline"/>
          </w:rPr>
          <w:t>Ben v. United States</w:t>
        </w:r>
      </w:hyperlink>
      <w:hyperlink r:id="rId59" w:history="1">
        <w:r>
          <w:rPr>
            <w:rFonts w:ascii="arial" w:eastAsia="arial" w:hAnsi="arial" w:cs="arial"/>
            <w:b w:val="0"/>
            <w:i/>
            <w:strike w:val="0"/>
            <w:noProof w:val="0"/>
            <w:color w:val="0077CC"/>
            <w:position w:val="0"/>
            <w:sz w:val="20"/>
            <w:u w:val="single"/>
            <w:vertAlign w:val="baseline"/>
          </w:rPr>
          <w:t>, 160 F. Supp. 3d 460, 472-77 (N.D.N.Y. 2016)</w:t>
        </w:r>
      </w:hyperlink>
      <w:r>
        <w:rPr>
          <w:rFonts w:ascii="arial" w:eastAsia="arial" w:hAnsi="arial" w:cs="arial"/>
          <w:b w:val="0"/>
          <w:i w:val="0"/>
          <w:strike w:val="0"/>
          <w:noProof w:val="0"/>
          <w:color w:val="000000"/>
          <w:position w:val="0"/>
          <w:sz w:val="20"/>
          <w:u w:val="none"/>
          <w:vertAlign w:val="baseline"/>
        </w:rPr>
        <w:t xml:space="preserve"> (concluding that, even though the DFE did not apply to bar plaintiff's negligent training and supervision claims, those claims are barred under New York law); </w:t>
      </w:r>
      <w:bookmarkStart w:id="66" w:name="Bookmark_I68YJWJB28T4B40020000400"/>
      <w:bookmarkEnd w:id="66"/>
      <w:hyperlink r:id="rId60" w:history="1">
        <w:r>
          <w:rPr>
            <w:rFonts w:ascii="arial" w:eastAsia="arial" w:hAnsi="arial" w:cs="arial"/>
            <w:b w:val="0"/>
            <w:i/>
            <w:strike w:val="0"/>
            <w:noProof w:val="0"/>
            <w:color w:val="0077CC"/>
            <w:position w:val="0"/>
            <w:sz w:val="20"/>
            <w:u w:val="single"/>
            <w:vertAlign w:val="baseline"/>
          </w:rPr>
          <w:t>Lassic v United States</w:t>
        </w:r>
      </w:hyperlink>
      <w:hyperlink r:id="rId60" w:history="1">
        <w:r>
          <w:rPr>
            <w:rFonts w:ascii="arial" w:eastAsia="arial" w:hAnsi="arial" w:cs="arial"/>
            <w:b w:val="0"/>
            <w:i/>
            <w:strike w:val="0"/>
            <w:noProof w:val="0"/>
            <w:color w:val="0077CC"/>
            <w:position w:val="0"/>
            <w:sz w:val="20"/>
            <w:u w:val="single"/>
            <w:vertAlign w:val="baseline"/>
          </w:rPr>
          <w:t>, No. 14-cv-9959 (KBF), 2015 U.S. Dist. LEXIS 123780, 2015 WL 5472946, at *4 (S.D.N.Y. Sept. 16, 2015)</w:t>
        </w:r>
      </w:hyperlink>
      <w:r>
        <w:rPr>
          <w:rFonts w:ascii="arial" w:eastAsia="arial" w:hAnsi="arial" w:cs="arial"/>
          <w:b w:val="0"/>
          <w:i w:val="0"/>
          <w:strike w:val="0"/>
          <w:noProof w:val="0"/>
          <w:color w:val="000000"/>
          <w:position w:val="0"/>
          <w:sz w:val="20"/>
          <w:u w:val="none"/>
          <w:vertAlign w:val="baseline"/>
        </w:rPr>
        <w:t xml:space="preserve"> ("Plaintiff also cannot succeed on her claim for negligent hiring because this court does not have jurisdiction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over an FTCA action based on a legal claim that is unavailable in the state where the act occurred." (citing </w:t>
      </w:r>
      <w:hyperlink r:id="rId11"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 Here, the parties do not dispute that the conduct of the Individual CBP Officers at issue occurred within their scope of employment—</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inside the FIS and during CBP's border inspection. Therefore, Morales's fifth and sixth claims are also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Seventh and Eighth Causes of Action: Intentional Infliction of Emotional Distress and Negligent Infliction of Emotional Distress</w:t>
      </w:r>
    </w:p>
    <w:p>
      <w:pPr>
        <w:keepNext w:val="0"/>
        <w:spacing w:before="240" w:after="0" w:line="260" w:lineRule="atLeast"/>
        <w:ind w:left="0" w:right="0" w:firstLine="0"/>
        <w:jc w:val="both"/>
      </w:pPr>
      <w:bookmarkStart w:id="67" w:name="Bookmark_para_27"/>
      <w:bookmarkEnd w:id="67"/>
      <w:r>
        <w:rPr>
          <w:rFonts w:ascii="arial" w:eastAsia="arial" w:hAnsi="arial" w:cs="arial"/>
          <w:b w:val="0"/>
          <w:i w:val="0"/>
          <w:strike w:val="0"/>
          <w:noProof w:val="0"/>
          <w:color w:val="000000"/>
          <w:position w:val="0"/>
          <w:sz w:val="20"/>
          <w:u w:val="none"/>
          <w:vertAlign w:val="baseline"/>
        </w:rPr>
        <w:t xml:space="preserve">Morales's seventh and eighth causes of action allege claims of intentional infliction of emotional distress ("IIED") and negligent infliction of emotional distress ("NIED"). In his opposition briefing, Morales does not address any of the arguments raised by Defendants, and I therefore consider those arguments unopposed. However, a party does not automatically win an unopposed argument. </w:t>
      </w:r>
      <w:r>
        <w:rPr>
          <w:rFonts w:ascii="arial" w:eastAsia="arial" w:hAnsi="arial" w:cs="arial"/>
          <w:b w:val="0"/>
          <w:i w:val="0"/>
          <w:strike w:val="0"/>
          <w:noProof w:val="0"/>
          <w:color w:val="000000"/>
          <w:position w:val="0"/>
          <w:sz w:val="20"/>
          <w:u w:val="single"/>
          <w:vertAlign w:val="baseline"/>
        </w:rPr>
        <w:t xml:space="preserve">See </w:t>
      </w:r>
      <w:hyperlink r:id="rId61" w:history="1">
        <w:r>
          <w:rPr>
            <w:rFonts w:ascii="arial" w:eastAsia="arial" w:hAnsi="arial" w:cs="arial"/>
            <w:b w:val="0"/>
            <w:i/>
            <w:strike w:val="0"/>
            <w:noProof w:val="0"/>
            <w:color w:val="0077CC"/>
            <w:position w:val="0"/>
            <w:sz w:val="20"/>
            <w:u w:val="single"/>
            <w:vertAlign w:val="baseline"/>
          </w:rPr>
          <w:t>Champion v. Artuz</w:t>
        </w:r>
      </w:hyperlink>
      <w:hyperlink r:id="rId61" w:history="1">
        <w:r>
          <w:rPr>
            <w:rFonts w:ascii="arial" w:eastAsia="arial" w:hAnsi="arial" w:cs="arial"/>
            <w:b w:val="0"/>
            <w:i/>
            <w:strike w:val="0"/>
            <w:noProof w:val="0"/>
            <w:color w:val="0077CC"/>
            <w:position w:val="0"/>
            <w:sz w:val="20"/>
            <w:u w:val="single"/>
            <w:vertAlign w:val="baseline"/>
          </w:rPr>
          <w:t>, 76 F.3d 483, 486 (2d Cir. 1996)</w:t>
        </w:r>
      </w:hyperlink>
      <w:r>
        <w:rPr>
          <w:rFonts w:ascii="arial" w:eastAsia="arial" w:hAnsi="arial" w:cs="arial"/>
          <w:b w:val="0"/>
          <w:i w:val="0"/>
          <w:strike w:val="0"/>
          <w:noProof w:val="0"/>
          <w:color w:val="000000"/>
          <w:position w:val="0"/>
          <w:sz w:val="20"/>
          <w:u w:val="none"/>
          <w:vertAlign w:val="baseline"/>
        </w:rPr>
        <w:t xml:space="preserve"> (per curiam). "[E]ven when a nonmoving party chooses the perilous path of failing to submit a response to a summary judgment motion, the district court . . . [must still] examin[e] the moving party's submission to determine if it has met its burden of demonstrating that no material issue of fact remains for trial."</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Amaker v. Foley</w:t>
        </w:r>
      </w:hyperlink>
      <w:hyperlink r:id="rId62" w:history="1">
        <w:r>
          <w:rPr>
            <w:rFonts w:ascii="arial" w:eastAsia="arial" w:hAnsi="arial" w:cs="arial"/>
            <w:b w:val="0"/>
            <w:i/>
            <w:strike w:val="0"/>
            <w:noProof w:val="0"/>
            <w:color w:val="0077CC"/>
            <w:position w:val="0"/>
            <w:sz w:val="20"/>
            <w:u w:val="single"/>
            <w:vertAlign w:val="baseline"/>
          </w:rPr>
          <w:t>, 274 F.3d 677, 681 (2d Cir. 2001)</w:t>
        </w:r>
      </w:hyperlink>
      <w:r>
        <w:rPr>
          <w:rFonts w:ascii="arial" w:eastAsia="arial" w:hAnsi="arial" w:cs="arial"/>
          <w:b w:val="0"/>
          <w:i w:val="0"/>
          <w:strike w:val="0"/>
          <w:noProof w:val="0"/>
          <w:color w:val="000000"/>
          <w:position w:val="0"/>
          <w:sz w:val="20"/>
          <w:u w:val="none"/>
          <w:vertAlign w:val="baseline"/>
        </w:rPr>
        <w:t xml:space="preserve">. Because New York treats IIED and NIED differently, I take each claim in turn. </w:t>
      </w:r>
      <w:r>
        <w:rPr>
          <w:rFonts w:ascii="arial" w:eastAsia="arial" w:hAnsi="arial" w:cs="arial"/>
          <w:b w:val="0"/>
          <w:i w:val="0"/>
          <w:strike w:val="0"/>
          <w:noProof w:val="0"/>
          <w:color w:val="000000"/>
          <w:position w:val="0"/>
          <w:sz w:val="20"/>
          <w:u w:val="single"/>
          <w:vertAlign w:val="baseline"/>
        </w:rPr>
        <w:t xml:space="preserve">See </w:t>
      </w:r>
      <w:hyperlink r:id="rId63" w:history="1">
        <w:r>
          <w:rPr>
            <w:rFonts w:ascii="arial" w:eastAsia="arial" w:hAnsi="arial" w:cs="arial"/>
            <w:b w:val="0"/>
            <w:i/>
            <w:strike w:val="0"/>
            <w:noProof w:val="0"/>
            <w:color w:val="0077CC"/>
            <w:position w:val="0"/>
            <w:sz w:val="20"/>
            <w:u w:val="single"/>
            <w:vertAlign w:val="baseline"/>
          </w:rPr>
          <w:t>Tigano v. United States</w:t>
        </w:r>
      </w:hyperlink>
      <w:hyperlink r:id="rId63" w:history="1">
        <w:r>
          <w:rPr>
            <w:rFonts w:ascii="arial" w:eastAsia="arial" w:hAnsi="arial" w:cs="arial"/>
            <w:b w:val="0"/>
            <w:i/>
            <w:strike w:val="0"/>
            <w:noProof w:val="0"/>
            <w:color w:val="0077CC"/>
            <w:position w:val="0"/>
            <w:sz w:val="20"/>
            <w:u w:val="single"/>
            <w:vertAlign w:val="baseline"/>
          </w:rPr>
          <w:t>, 527 F. Supp. 3d 232, 249 (E.D.N.Y. 2021)</w:t>
        </w:r>
      </w:hyperlink>
      <w:r>
        <w:rPr>
          <w:rFonts w:ascii="arial" w:eastAsia="arial" w:hAnsi="arial" w:cs="arial"/>
          <w:b w:val="0"/>
          <w:i w:val="0"/>
          <w:strike w:val="0"/>
          <w:noProof w:val="0"/>
          <w:color w:val="000000"/>
          <w:position w:val="0"/>
          <w:sz w:val="20"/>
          <w:u w:val="none"/>
          <w:vertAlign w:val="baseline"/>
        </w:rPr>
        <w:t xml:space="preserve"> (describing the difference in the elements of the two claims).</w:t>
      </w:r>
    </w:p>
    <w:p>
      <w:pPr>
        <w:keepNext w:val="0"/>
        <w:spacing w:before="240" w:after="0" w:line="260" w:lineRule="atLeast"/>
        <w:ind w:left="0" w:right="0" w:firstLine="0"/>
        <w:jc w:val="both"/>
      </w:pPr>
      <w:bookmarkStart w:id="68" w:name="Bookmark_para_28"/>
      <w:bookmarkEnd w:id="68"/>
      <w:r>
        <w:rPr>
          <w:rFonts w:ascii="arial" w:eastAsia="arial" w:hAnsi="arial" w:cs="arial"/>
          <w:b w:val="0"/>
          <w:i w:val="0"/>
          <w:strike w:val="0"/>
          <w:noProof w:val="0"/>
          <w:color w:val="000000"/>
          <w:position w:val="0"/>
          <w:sz w:val="20"/>
          <w:u w:val="none"/>
          <w:vertAlign w:val="baseline"/>
        </w:rPr>
        <w:t xml:space="preserve">New York treats IIED as "a theory of recovery . . . to be invoked only as a last resort" and precludes such a claim "where the offending conduct is embraced by a traditional tort remedy." </w:t>
      </w:r>
      <w:hyperlink r:id="rId64" w:history="1">
        <w:r>
          <w:rPr>
            <w:rFonts w:ascii="arial" w:eastAsia="arial" w:hAnsi="arial" w:cs="arial"/>
            <w:b w:val="0"/>
            <w:i/>
            <w:strike w:val="0"/>
            <w:noProof w:val="0"/>
            <w:color w:val="0077CC"/>
            <w:position w:val="0"/>
            <w:sz w:val="20"/>
            <w:u w:val="single"/>
            <w:vertAlign w:val="baseline"/>
          </w:rPr>
          <w:t>Equal Emp. Opportunity Comm'n v. Die Fliedermaus</w:t>
        </w:r>
      </w:hyperlink>
      <w:hyperlink r:id="rId64" w:history="1">
        <w:r>
          <w:rPr>
            <w:rFonts w:ascii="arial" w:eastAsia="arial" w:hAnsi="arial" w:cs="arial"/>
            <w:b w:val="0"/>
            <w:i/>
            <w:strike w:val="0"/>
            <w:noProof w:val="0"/>
            <w:color w:val="0077CC"/>
            <w:position w:val="0"/>
            <w:sz w:val="20"/>
            <w:u w:val="single"/>
            <w:vertAlign w:val="baseline"/>
          </w:rPr>
          <w:t>, 77 F. Supp. 2d 460, 472 (S.D.N.Y. 1999)</w:t>
        </w:r>
      </w:hyperlink>
      <w:r>
        <w:rPr>
          <w:rFonts w:ascii="arial" w:eastAsia="arial" w:hAnsi="arial" w:cs="arial"/>
          <w:b w:val="0"/>
          <w:i w:val="0"/>
          <w:strike w:val="0"/>
          <w:noProof w:val="0"/>
          <w:color w:val="000000"/>
          <w:position w:val="0"/>
          <w:sz w:val="20"/>
          <w:u w:val="none"/>
          <w:vertAlign w:val="baseline"/>
        </w:rPr>
        <w:t xml:space="preserve"> (quoting </w:t>
      </w:r>
      <w:hyperlink r:id="rId65" w:history="1">
        <w:r>
          <w:rPr>
            <w:rFonts w:ascii="arial" w:eastAsia="arial" w:hAnsi="arial" w:cs="arial"/>
            <w:b w:val="0"/>
            <w:i/>
            <w:strike w:val="0"/>
            <w:noProof w:val="0"/>
            <w:color w:val="0077CC"/>
            <w:position w:val="0"/>
            <w:sz w:val="20"/>
            <w:u w:val="single"/>
            <w:vertAlign w:val="baseline"/>
          </w:rPr>
          <w:t>McIntyre v. Manhattan Ford, Lincoln-Mercury, Inc.</w:t>
        </w:r>
      </w:hyperlink>
      <w:hyperlink r:id="rId65" w:history="1">
        <w:r>
          <w:rPr>
            <w:rFonts w:ascii="arial" w:eastAsia="arial" w:hAnsi="arial" w:cs="arial"/>
            <w:b w:val="0"/>
            <w:i/>
            <w:strike w:val="0"/>
            <w:noProof w:val="0"/>
            <w:color w:val="0077CC"/>
            <w:position w:val="0"/>
            <w:sz w:val="20"/>
            <w:u w:val="single"/>
            <w:vertAlign w:val="baseline"/>
          </w:rPr>
          <w:t>, 256 A.D.2d 269, 682 N.Y.S.2d 167, 169 (App. Div. 1998)</w:t>
        </w:r>
      </w:hyperlink>
      <w:r>
        <w:rPr>
          <w:rFonts w:ascii="arial" w:eastAsia="arial" w:hAnsi="arial" w:cs="arial"/>
          <w:b w:val="0"/>
          <w:i w:val="0"/>
          <w:strike w:val="0"/>
          <w:noProof w:val="0"/>
          <w:color w:val="000000"/>
          <w:position w:val="0"/>
          <w:sz w:val="20"/>
          <w:u w:val="none"/>
          <w:vertAlign w:val="baseline"/>
        </w:rPr>
        <w:t xml:space="preserve">). Moreover, under New York law, "public policy bars claims sounding in [IIED] against a government entity." </w:t>
      </w:r>
      <w:hyperlink r:id="rId66" w:history="1">
        <w:r>
          <w:rPr>
            <w:rFonts w:ascii="arial" w:eastAsia="arial" w:hAnsi="arial" w:cs="arial"/>
            <w:b w:val="0"/>
            <w:i/>
            <w:strike w:val="0"/>
            <w:noProof w:val="0"/>
            <w:color w:val="0077CC"/>
            <w:position w:val="0"/>
            <w:sz w:val="20"/>
            <w:u w:val="single"/>
            <w:vertAlign w:val="baseline"/>
          </w:rPr>
          <w:t>Rivera v. City of New York</w:t>
        </w:r>
      </w:hyperlink>
      <w:hyperlink r:id="rId66" w:history="1">
        <w:r>
          <w:rPr>
            <w:rFonts w:ascii="arial" w:eastAsia="arial" w:hAnsi="arial" w:cs="arial"/>
            <w:b w:val="0"/>
            <w:i/>
            <w:strike w:val="0"/>
            <w:noProof w:val="0"/>
            <w:color w:val="0077CC"/>
            <w:position w:val="0"/>
            <w:sz w:val="20"/>
            <w:u w:val="single"/>
            <w:vertAlign w:val="baseline"/>
          </w:rPr>
          <w:t>, 392 F. Supp. 2d 644, 657 (S.D.N.Y. 2005)</w:t>
        </w:r>
      </w:hyperlink>
      <w:r>
        <w:rPr>
          <w:rFonts w:ascii="arial" w:eastAsia="arial" w:hAnsi="arial" w:cs="arial"/>
          <w:b w:val="0"/>
          <w:i w:val="0"/>
          <w:strike w:val="0"/>
          <w:noProof w:val="0"/>
          <w:color w:val="000000"/>
          <w:position w:val="0"/>
          <w:sz w:val="20"/>
          <w:u w:val="none"/>
          <w:vertAlign w:val="baseline"/>
        </w:rPr>
        <w:t xml:space="preserve"> (quoting </w:t>
      </w:r>
      <w:hyperlink r:id="rId67" w:history="1">
        <w:r>
          <w:rPr>
            <w:rFonts w:ascii="arial" w:eastAsia="arial" w:hAnsi="arial" w:cs="arial"/>
            <w:b w:val="0"/>
            <w:i/>
            <w:strike w:val="0"/>
            <w:noProof w:val="0"/>
            <w:color w:val="0077CC"/>
            <w:position w:val="0"/>
            <w:sz w:val="20"/>
            <w:u w:val="single"/>
            <w:vertAlign w:val="baseline"/>
          </w:rPr>
          <w:t>Lauer v. City of New York</w:t>
        </w:r>
      </w:hyperlink>
      <w:hyperlink r:id="rId67" w:history="1">
        <w:r>
          <w:rPr>
            <w:rFonts w:ascii="arial" w:eastAsia="arial" w:hAnsi="arial" w:cs="arial"/>
            <w:b w:val="0"/>
            <w:i/>
            <w:strike w:val="0"/>
            <w:noProof w:val="0"/>
            <w:color w:val="0077CC"/>
            <w:position w:val="0"/>
            <w:sz w:val="20"/>
            <w:u w:val="single"/>
            <w:vertAlign w:val="baseline"/>
          </w:rPr>
          <w:t>, 240 A.D.2d 543, 659 N.Y.S.2d 57, 58 (App. Div. 1997)</w:t>
        </w:r>
      </w:hyperlink>
      <w:r>
        <w:rPr>
          <w:rFonts w:ascii="arial" w:eastAsia="arial" w:hAnsi="arial" w:cs="arial"/>
          <w:b w:val="0"/>
          <w:i w:val="0"/>
          <w:strike w:val="0"/>
          <w:noProof w:val="0"/>
          <w:color w:val="000000"/>
          <w:position w:val="0"/>
          <w:sz w:val="20"/>
          <w:u w:val="none"/>
          <w:vertAlign w:val="baseline"/>
        </w:rPr>
        <w:t>). Therefore, the fact that Morales has already asserted other tort actions against the United States weighs against his ability to proceed with his IIED claim.</w:t>
      </w:r>
    </w:p>
    <w:p>
      <w:pPr>
        <w:keepNext w:val="0"/>
        <w:spacing w:before="240" w:after="0" w:line="260" w:lineRule="atLeast"/>
        <w:ind w:left="0" w:right="0" w:firstLine="0"/>
        <w:jc w:val="both"/>
      </w:pPr>
      <w:bookmarkStart w:id="69" w:name="Bookmark_para_29"/>
      <w:bookmarkEnd w:id="69"/>
      <w:r>
        <w:rPr>
          <w:rFonts w:ascii="arial" w:eastAsia="arial" w:hAnsi="arial" w:cs="arial"/>
          <w:b w:val="0"/>
          <w:i w:val="0"/>
          <w:strike w:val="0"/>
          <w:noProof w:val="0"/>
          <w:color w:val="000000"/>
          <w:position w:val="0"/>
          <w:sz w:val="20"/>
          <w:u w:val="none"/>
          <w:vertAlign w:val="baseline"/>
        </w:rPr>
        <w:t xml:space="preserve">Further, looking at the elements of the claim, I find that Morales insufficiently states a claim of IIED. Under New York law, a claim of IIED has four elements: "(i) extreme and outrageous conduct; (ii) intent to cause, or disregard of a substantial possibility of causing, severe emotional distress; (iii) a causal connection between the conduct and injury; and (iv) severe emotional distress." </w:t>
      </w:r>
      <w:hyperlink r:id="rId63" w:history="1">
        <w:r>
          <w:rPr>
            <w:rFonts w:ascii="arial" w:eastAsia="arial" w:hAnsi="arial" w:cs="arial"/>
            <w:b w:val="0"/>
            <w:i/>
            <w:strike w:val="0"/>
            <w:noProof w:val="0"/>
            <w:color w:val="0077CC"/>
            <w:position w:val="0"/>
            <w:sz w:val="20"/>
            <w:u w:val="single"/>
            <w:vertAlign w:val="baseline"/>
          </w:rPr>
          <w:t>Tigano</w:t>
        </w:r>
      </w:hyperlink>
      <w:hyperlink r:id="rId63" w:history="1">
        <w:r>
          <w:rPr>
            <w:rFonts w:ascii="arial" w:eastAsia="arial" w:hAnsi="arial" w:cs="arial"/>
            <w:b w:val="0"/>
            <w:i/>
            <w:strike w:val="0"/>
            <w:noProof w:val="0"/>
            <w:color w:val="0077CC"/>
            <w:position w:val="0"/>
            <w:sz w:val="20"/>
            <w:u w:val="single"/>
            <w:vertAlign w:val="baseline"/>
          </w:rPr>
          <w:t>, 527 F. Supp. 3d at 246</w:t>
        </w:r>
      </w:hyperlink>
      <w:r>
        <w:rPr>
          <w:rFonts w:ascii="arial" w:eastAsia="arial" w:hAnsi="arial" w:cs="arial"/>
          <w:b w:val="0"/>
          <w:i w:val="0"/>
          <w:strike w:val="0"/>
          <w:noProof w:val="0"/>
          <w:color w:val="000000"/>
          <w:position w:val="0"/>
          <w:sz w:val="20"/>
          <w:u w:val="none"/>
          <w:vertAlign w:val="baseline"/>
        </w:rPr>
        <w:t xml:space="preserve"> (quoting </w:t>
      </w:r>
      <w:hyperlink r:id="rId68" w:history="1">
        <w:r>
          <w:rPr>
            <w:rFonts w:ascii="arial" w:eastAsia="arial" w:hAnsi="arial" w:cs="arial"/>
            <w:b w:val="0"/>
            <w:i/>
            <w:strike w:val="0"/>
            <w:noProof w:val="0"/>
            <w:color w:val="0077CC"/>
            <w:position w:val="0"/>
            <w:sz w:val="20"/>
            <w:u w:val="single"/>
            <w:vertAlign w:val="baseline"/>
          </w:rPr>
          <w:t>Howell v. N.Y. Post Co.</w:t>
        </w:r>
      </w:hyperlink>
      <w:hyperlink r:id="rId68" w:history="1">
        <w:r>
          <w:rPr>
            <w:rFonts w:ascii="arial" w:eastAsia="arial" w:hAnsi="arial" w:cs="arial"/>
            <w:b w:val="0"/>
            <w:i/>
            <w:strike w:val="0"/>
            <w:noProof w:val="0"/>
            <w:color w:val="0077CC"/>
            <w:position w:val="0"/>
            <w:sz w:val="20"/>
            <w:u w:val="single"/>
            <w:vertAlign w:val="baseline"/>
          </w:rPr>
          <w:t>, 81 N.Y.2d 115, 612 N.E.2d 699, 702, 596 N.Y.S.2d 350 (N.Y. 1993)</w:t>
        </w:r>
      </w:hyperlink>
      <w:r>
        <w:rPr>
          <w:rFonts w:ascii="arial" w:eastAsia="arial" w:hAnsi="arial" w:cs="arial"/>
          <w:b w:val="0"/>
          <w:i w:val="0"/>
          <w:strike w:val="0"/>
          <w:noProof w:val="0"/>
          <w:color w:val="000000"/>
          <w:position w:val="0"/>
          <w:sz w:val="20"/>
          <w:u w:val="none"/>
          <w:vertAlign w:val="baseline"/>
        </w:rPr>
        <w:t xml:space="preserve">). </w:t>
      </w:r>
      <w:bookmarkStart w:id="70" w:name="Bookmark_I68YJWJB28T4B40050000400"/>
      <w:bookmarkEnd w:id="70"/>
      <w:r>
        <w:rPr>
          <w:rFonts w:ascii="arial" w:eastAsia="arial" w:hAnsi="arial" w:cs="arial"/>
          <w:b w:val="0"/>
          <w:i w:val="0"/>
          <w:strike w:val="0"/>
          <w:noProof w:val="0"/>
          <w:color w:val="000000"/>
          <w:position w:val="0"/>
          <w:sz w:val="20"/>
          <w:u w:val="none"/>
          <w:vertAlign w:val="baseline"/>
        </w:rPr>
        <w:t>Importantly, the first element is "difficult to satisfy" and applies only to conduct that is "so outrageous in character, and so extreme in degree as to go beyond all</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possible bounds of decency, and to be regarded as atrocious, and utterly intolerable in a civilized society." </w:t>
      </w:r>
      <w:hyperlink r:id="rId69" w:history="1">
        <w:r>
          <w:rPr>
            <w:rFonts w:ascii="arial" w:eastAsia="arial" w:hAnsi="arial" w:cs="arial"/>
            <w:b w:val="0"/>
            <w:i/>
            <w:strike w:val="0"/>
            <w:noProof w:val="0"/>
            <w:color w:val="0077CC"/>
            <w:position w:val="0"/>
            <w:sz w:val="20"/>
            <w:u w:val="single"/>
            <w:vertAlign w:val="baseline"/>
          </w:rPr>
          <w:t>Tebbenhoff v. Elec. Data Sys. Corp.</w:t>
        </w:r>
      </w:hyperlink>
      <w:hyperlink r:id="rId69" w:history="1">
        <w:r>
          <w:rPr>
            <w:rFonts w:ascii="arial" w:eastAsia="arial" w:hAnsi="arial" w:cs="arial"/>
            <w:b w:val="0"/>
            <w:i/>
            <w:strike w:val="0"/>
            <w:noProof w:val="0"/>
            <w:color w:val="0077CC"/>
            <w:position w:val="0"/>
            <w:sz w:val="20"/>
            <w:u w:val="single"/>
            <w:vertAlign w:val="baseline"/>
          </w:rPr>
          <w:t>, 244 F. App'x 382, 384 (2d Cir. 2007)</w:t>
        </w:r>
      </w:hyperlink>
      <w:r>
        <w:rPr>
          <w:rFonts w:ascii="arial" w:eastAsia="arial" w:hAnsi="arial" w:cs="arial"/>
          <w:b w:val="0"/>
          <w:i w:val="0"/>
          <w:strike w:val="0"/>
          <w:noProof w:val="0"/>
          <w:color w:val="000000"/>
          <w:position w:val="0"/>
          <w:sz w:val="20"/>
          <w:u w:val="none"/>
          <w:vertAlign w:val="baseline"/>
        </w:rPr>
        <w:t xml:space="preserve"> (summary order) (citations omitted). In his amended complaint, Morales does not point to any specific facts or circumstances to support an allegation of outrageous behavior. </w:t>
      </w:r>
      <w:r>
        <w:rPr>
          <w:rFonts w:ascii="arial" w:eastAsia="arial" w:hAnsi="arial" w:cs="arial"/>
          <w:b w:val="0"/>
          <w:i w:val="0"/>
          <w:strike w:val="0"/>
          <w:noProof w:val="0"/>
          <w:color w:val="000000"/>
          <w:position w:val="0"/>
          <w:sz w:val="20"/>
          <w:u w:val="single"/>
          <w:vertAlign w:val="baseline"/>
        </w:rPr>
        <w:t xml:space="preserve">See </w:t>
      </w:r>
      <w:bookmarkStart w:id="71" w:name="Bookmark_I68YJWJB28T4B40040000400"/>
      <w:bookmarkEnd w:id="71"/>
      <w:hyperlink r:id="rId70" w:history="1">
        <w:r>
          <w:rPr>
            <w:rFonts w:ascii="arial" w:eastAsia="arial" w:hAnsi="arial" w:cs="arial"/>
            <w:b w:val="0"/>
            <w:i/>
            <w:strike w:val="0"/>
            <w:noProof w:val="0"/>
            <w:color w:val="0077CC"/>
            <w:position w:val="0"/>
            <w:sz w:val="20"/>
            <w:u w:val="single"/>
            <w:vertAlign w:val="baseline"/>
          </w:rPr>
          <w:t>Ojo v. United States</w:t>
        </w:r>
      </w:hyperlink>
      <w:hyperlink r:id="rId70" w:history="1">
        <w:r>
          <w:rPr>
            <w:rFonts w:ascii="arial" w:eastAsia="arial" w:hAnsi="arial" w:cs="arial"/>
            <w:b w:val="0"/>
            <w:i/>
            <w:strike w:val="0"/>
            <w:noProof w:val="0"/>
            <w:color w:val="0077CC"/>
            <w:position w:val="0"/>
            <w:sz w:val="20"/>
            <w:u w:val="single"/>
            <w:vertAlign w:val="baseline"/>
          </w:rPr>
          <w:t>, No. 16-cv-4112 (MKB) (LB), 2019 U.S. Dist. LEXIS 139302, 2019 WL 3852391, at *9 (E.D.N.Y. Aug. 15, 2019)</w:t>
        </w:r>
      </w:hyperlink>
      <w:r>
        <w:rPr>
          <w:rFonts w:ascii="arial" w:eastAsia="arial" w:hAnsi="arial" w:cs="arial"/>
          <w:b w:val="0"/>
          <w:i w:val="0"/>
          <w:strike w:val="0"/>
          <w:noProof w:val="0"/>
          <w:color w:val="000000"/>
          <w:position w:val="0"/>
          <w:sz w:val="20"/>
          <w:u w:val="none"/>
          <w:vertAlign w:val="baseline"/>
        </w:rPr>
        <w:t xml:space="preserve"> (dismissing an IIED claim under Rule 12(b)(6) when the plaintiff "merely stat[ed] that the conduct is extreme and outrageous . . . without [citing] specific facts or circumstances to support [his] allegations" (internal quotation marks and citation omitted)). Instead, the evidentiary record shows that the CBP officers all carried out their duties per routine procedure, including referring Morales from Primary to Secondary based on the NCIC hit, questioning Morales, searching his luggage, and taking Morales's fingerprints. Because I find that CBP did not do anything out of the ordinary in their detention of Morales, I conclude that his IIED claim fails on the merits.</w:t>
      </w:r>
    </w:p>
    <w:p>
      <w:pPr>
        <w:keepNext w:val="0"/>
        <w:spacing w:before="200" w:after="0" w:line="260" w:lineRule="atLeast"/>
        <w:ind w:left="0" w:right="0" w:firstLine="0"/>
        <w:jc w:val="both"/>
      </w:pPr>
      <w:bookmarkStart w:id="72" w:name="Bookmark_para_30"/>
      <w:bookmarkEnd w:id="72"/>
      <w:r>
        <w:rPr>
          <w:rFonts w:ascii="arial" w:eastAsia="arial" w:hAnsi="arial" w:cs="arial"/>
          <w:b w:val="0"/>
          <w:i w:val="0"/>
          <w:strike w:val="0"/>
          <w:noProof w:val="0"/>
          <w:color w:val="000000"/>
          <w:position w:val="0"/>
          <w:sz w:val="20"/>
          <w:u w:val="none"/>
          <w:vertAlign w:val="baseline"/>
        </w:rPr>
        <w:t xml:space="preserve">The NIED claim likewise fails. New York recognizes different types of NIED claims, including a claim arising from the breach of a duty that "result[s] directly in emotional harm . . . even though no physical injury occurred." </w:t>
      </w:r>
      <w:hyperlink r:id="rId71" w:history="1">
        <w:r>
          <w:rPr>
            <w:rFonts w:ascii="arial" w:eastAsia="arial" w:hAnsi="arial" w:cs="arial"/>
            <w:b w:val="0"/>
            <w:i/>
            <w:strike w:val="0"/>
            <w:noProof w:val="0"/>
            <w:color w:val="0077CC"/>
            <w:position w:val="0"/>
            <w:sz w:val="20"/>
            <w:u w:val="single"/>
            <w:vertAlign w:val="baseline"/>
          </w:rPr>
          <w:t>Taggart v. Costabile</w:t>
        </w:r>
      </w:hyperlink>
      <w:hyperlink r:id="rId71" w:history="1">
        <w:r>
          <w:rPr>
            <w:rFonts w:ascii="arial" w:eastAsia="arial" w:hAnsi="arial" w:cs="arial"/>
            <w:b w:val="0"/>
            <w:i/>
            <w:strike w:val="0"/>
            <w:noProof w:val="0"/>
            <w:color w:val="0077CC"/>
            <w:position w:val="0"/>
            <w:sz w:val="20"/>
            <w:u w:val="single"/>
            <w:vertAlign w:val="baseline"/>
          </w:rPr>
          <w:t>, 131 A.D.3d 243, 14 N.Y.S.3d 388, 395-96 (App. Div. 2015)</w:t>
        </w:r>
      </w:hyperlink>
      <w:r>
        <w:rPr>
          <w:rFonts w:ascii="arial" w:eastAsia="arial" w:hAnsi="arial" w:cs="arial"/>
          <w:b w:val="0"/>
          <w:i w:val="0"/>
          <w:strike w:val="0"/>
          <w:noProof w:val="0"/>
          <w:color w:val="000000"/>
          <w:position w:val="0"/>
          <w:sz w:val="20"/>
          <w:u w:val="none"/>
          <w:vertAlign w:val="baseline"/>
        </w:rPr>
        <w:t xml:space="preserve"> (citations omitted). Although</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this type of NIED claim does not require a showing of outrageous conduct, a plaintiff must still demonstrate that the emotional harm is "a direct, rather than a consequential, result of the breach" and that the NIED claim "possess[es] some guarantee of genuineness." </w:t>
      </w:r>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396</w:t>
        </w:r>
      </w:hyperlink>
      <w:r>
        <w:rPr>
          <w:rFonts w:ascii="arial" w:eastAsia="arial" w:hAnsi="arial" w:cs="arial"/>
          <w:b w:val="0"/>
          <w:i w:val="0"/>
          <w:strike w:val="0"/>
          <w:noProof w:val="0"/>
          <w:color w:val="000000"/>
          <w:position w:val="0"/>
          <w:sz w:val="20"/>
          <w:u w:val="none"/>
          <w:vertAlign w:val="baseline"/>
        </w:rPr>
        <w:t xml:space="preserve"> (citations omitted). Importantly, to meet the "genuineness" requirement, a plaintiff must show either that (i) the claim falls within one of the specific circumstances, such as the delivery of false news regarding the death of a family member, or that (ii) "the breach of the duty owed directly to the injured party must have at least endangered the plaintiff's physical safety or caused the plaintiff to fear for his or her own physical safety."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(citations omitted). Morales made no showing that his case falls within one of the specified circumstances, and the evidentiary record does not support an inference that Morales's physical safety was at risk or that he was rendered more physically vulnerable as a result of the Individual CBP Officers' behavior. To the contrary, Morales testified that his interaction with CBP did not result in any physical harm.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Morales Dep. 101:25-102:5.) Therefore, Morales's NIED claim also</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Ninth, Tenth, and Eleventh Causes of Action: </w:t>
      </w:r>
      <w:r>
        <w:rPr>
          <w:rFonts w:ascii="arial" w:eastAsia="arial" w:hAnsi="arial" w:cs="arial"/>
          <w:b/>
          <w:i w:val="0"/>
          <w:strike w:val="0"/>
          <w:noProof w:val="0"/>
          <w:color w:val="000000"/>
          <w:position w:val="0"/>
          <w:sz w:val="20"/>
          <w:u w:val="single"/>
          <w:vertAlign w:val="baseline"/>
        </w:rPr>
        <w:t>Bivens</w:t>
      </w:r>
      <w:r>
        <w:rPr>
          <w:rFonts w:ascii="arial" w:eastAsia="arial" w:hAnsi="arial" w:cs="arial"/>
          <w:b/>
          <w:i w:val="0"/>
          <w:strike w:val="0"/>
          <w:noProof w:val="0"/>
          <w:color w:val="000000"/>
          <w:position w:val="0"/>
          <w:sz w:val="20"/>
          <w:u w:val="none"/>
          <w:vertAlign w:val="baseline"/>
        </w:rPr>
        <w:t xml:space="preserve"> Claims under the Fourth, Fifth, and </w:t>
      </w:r>
      <w:hyperlink r:id="rId15" w:history="1">
        <w:r>
          <w:rPr>
            <w:rFonts w:ascii="arial" w:eastAsia="arial" w:hAnsi="arial" w:cs="arial"/>
            <w:b/>
            <w:i/>
            <w:strike w:val="0"/>
            <w:noProof w:val="0"/>
            <w:color w:val="0077CC"/>
            <w:position w:val="0"/>
            <w:sz w:val="20"/>
            <w:u w:val="single"/>
            <w:vertAlign w:val="baseline"/>
          </w:rPr>
          <w:t>Sixth Amendments</w:t>
        </w:r>
      </w:hyperlink>
    </w:p>
    <w:p>
      <w:pPr>
        <w:keepNext w:val="0"/>
        <w:spacing w:before="240" w:after="0" w:line="260" w:lineRule="atLeast"/>
        <w:ind w:left="0" w:right="0" w:firstLine="0"/>
        <w:jc w:val="both"/>
      </w:pPr>
      <w:bookmarkStart w:id="73" w:name="Bookmark_para_31"/>
      <w:bookmarkEnd w:id="73"/>
      <w:r>
        <w:rPr>
          <w:rFonts w:ascii="arial" w:eastAsia="arial" w:hAnsi="arial" w:cs="arial"/>
          <w:b w:val="0"/>
          <w:i w:val="0"/>
          <w:strike w:val="0"/>
          <w:noProof w:val="0"/>
          <w:color w:val="000000"/>
          <w:position w:val="0"/>
          <w:sz w:val="20"/>
          <w:u w:val="none"/>
          <w:vertAlign w:val="baseline"/>
        </w:rPr>
        <w:t xml:space="preserve">In addition to his FTCA claims, Morales also raises three constitutional claims against the Individual CBP Officers under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Specifically, Morales raises a claim of unreasonable search and seizure under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 claim of deprivation of procedural due process under the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and a claim of violation of the right to counsel under the </w:t>
      </w:r>
      <w:hyperlink r:id="rId1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(Pl. Opp'n 25.)</w:t>
      </w:r>
    </w:p>
    <w:p>
      <w:pPr>
        <w:keepNext w:val="0"/>
        <w:spacing w:before="240" w:after="0" w:line="260" w:lineRule="atLeast"/>
        <w:ind w:left="0" w:right="0" w:firstLine="0"/>
        <w:jc w:val="both"/>
      </w:pPr>
      <w:bookmarkStart w:id="74" w:name="Bookmark_para_32"/>
      <w:bookmarkEnd w:id="74"/>
      <w:r>
        <w:rPr>
          <w:rFonts w:ascii="arial" w:eastAsia="arial" w:hAnsi="arial" w:cs="arial"/>
          <w:b w:val="0"/>
          <w:i w:val="0"/>
          <w:strike w:val="0"/>
          <w:noProof w:val="0"/>
          <w:color w:val="000000"/>
          <w:position w:val="0"/>
          <w:sz w:val="20"/>
          <w:u w:val="none"/>
          <w:vertAlign w:val="baseline"/>
        </w:rPr>
        <w:t xml:space="preserve">In a trio of cases beginning with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the Supreme Court authorized a very narrow damage action against federal officers for violations of specific constitutional rights, even when no statute exists to explicitly confer a cause of action. In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the Court permitted a victim of an unlawful search and seizure to bring a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against the responsible agents. </w:t>
      </w:r>
      <w:hyperlink r:id="rId12" w:history="1">
        <w:r>
          <w:rPr>
            <w:rFonts w:ascii="arial" w:eastAsia="arial" w:hAnsi="arial" w:cs="arial"/>
            <w:b w:val="0"/>
            <w:i/>
            <w:strike w:val="0"/>
            <w:noProof w:val="0"/>
            <w:color w:val="0077CC"/>
            <w:position w:val="0"/>
            <w:sz w:val="20"/>
            <w:u w:val="single"/>
            <w:vertAlign w:val="baseline"/>
          </w:rPr>
          <w:t>403 U.S. at 397</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Davis v. Passman</w:t>
      </w:r>
      <w:r>
        <w:rPr>
          <w:rFonts w:ascii="arial" w:eastAsia="arial" w:hAnsi="arial" w:cs="arial"/>
          <w:b w:val="0"/>
          <w:i w:val="0"/>
          <w:strike w:val="0"/>
          <w:noProof w:val="0"/>
          <w:color w:val="000000"/>
          <w:position w:val="0"/>
          <w:sz w:val="20"/>
          <w:u w:val="none"/>
          <w:vertAlign w:val="baseline"/>
        </w:rPr>
        <w:t xml:space="preserve">, the Court permitted a congressional staffer to bring a gender-discrimination claim under the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against a congressman. </w:t>
      </w:r>
      <w:hyperlink r:id="rId72" w:history="1">
        <w:r>
          <w:rPr>
            <w:rFonts w:ascii="arial" w:eastAsia="arial" w:hAnsi="arial" w:cs="arial"/>
            <w:b w:val="0"/>
            <w:i/>
            <w:strike w:val="0"/>
            <w:noProof w:val="0"/>
            <w:color w:val="0077CC"/>
            <w:position w:val="0"/>
            <w:sz w:val="20"/>
            <w:u w:val="single"/>
            <w:vertAlign w:val="baseline"/>
          </w:rPr>
          <w:t>442 U.S. 228, 248-49, 99 S. Ct. 2264, 60 L. Ed. 2d 846 (1979)</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Carlson v. Green</w:t>
      </w:r>
      <w:r>
        <w:rPr>
          <w:rFonts w:ascii="arial" w:eastAsia="arial" w:hAnsi="arial" w:cs="arial"/>
          <w:b w:val="0"/>
          <w:i w:val="0"/>
          <w:strike w:val="0"/>
          <w:noProof w:val="0"/>
          <w:color w:val="000000"/>
          <w:position w:val="0"/>
          <w:sz w:val="20"/>
          <w:u w:val="none"/>
          <w:vertAlign w:val="baseline"/>
        </w:rPr>
        <w:t xml:space="preserve">, the Court permitted a prisoner's estate to bring an </w:t>
      </w:r>
      <w:hyperlink r:id="rId7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federal prison officials. </w:t>
      </w:r>
      <w:hyperlink r:id="rId74" w:history="1">
        <w:r>
          <w:rPr>
            <w:rFonts w:ascii="arial" w:eastAsia="arial" w:hAnsi="arial" w:cs="arial"/>
            <w:b w:val="0"/>
            <w:i/>
            <w:strike w:val="0"/>
            <w:noProof w:val="0"/>
            <w:color w:val="0077CC"/>
            <w:position w:val="0"/>
            <w:sz w:val="20"/>
            <w:u w:val="single"/>
            <w:vertAlign w:val="baseline"/>
          </w:rPr>
          <w:t>446 U.S. 14, 19, 100 S. Ct. 1468, 64 L. Ed. 2d 15 (1980)</w:t>
        </w:r>
      </w:hyperlink>
      <w:r>
        <w:rPr>
          <w:rFonts w:ascii="arial" w:eastAsia="arial" w:hAnsi="arial" w:cs="arial"/>
          <w:b w:val="0"/>
          <w:i w:val="0"/>
          <w:strike w:val="0"/>
          <w:noProof w:val="0"/>
          <w:color w:val="000000"/>
          <w:position w:val="0"/>
          <w:sz w:val="20"/>
          <w:u w:val="none"/>
          <w:vertAlign w:val="baseline"/>
        </w:rPr>
        <w:t>. "These three cases—</w:t>
      </w:r>
      <w:r>
        <w:rPr>
          <w:rFonts w:ascii="arial" w:eastAsia="arial" w:hAnsi="arial" w:cs="arial"/>
          <w:b w:val="0"/>
          <w:i w:val="0"/>
          <w:strike w:val="0"/>
          <w:noProof w:val="0"/>
          <w:color w:val="000000"/>
          <w:position w:val="0"/>
          <w:sz w:val="20"/>
          <w:u w:val="single"/>
          <w:vertAlign w:val="baseline"/>
        </w:rPr>
        <w:t>Bivens, Davis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Carlson</w:t>
      </w:r>
      <w:r>
        <w:rPr>
          <w:rFonts w:ascii="arial" w:eastAsia="arial" w:hAnsi="arial" w:cs="arial"/>
          <w:b w:val="0"/>
          <w:i w:val="0"/>
          <w:strike w:val="0"/>
          <w:noProof w:val="0"/>
          <w:color w:val="000000"/>
          <w:position w:val="0"/>
          <w:sz w:val="20"/>
          <w:u w:val="none"/>
          <w:vertAlign w:val="baseline"/>
        </w:rPr>
        <w:t>—represent the only instances in which the [Supreme] Court has approved of an implied damages remedy under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Constitution itself." </w:t>
      </w:r>
      <w:hyperlink r:id="rId75" w:history="1">
        <w:r>
          <w:rPr>
            <w:rFonts w:ascii="arial" w:eastAsia="arial" w:hAnsi="arial" w:cs="arial"/>
            <w:b w:val="0"/>
            <w:i/>
            <w:strike w:val="0"/>
            <w:noProof w:val="0"/>
            <w:color w:val="0077CC"/>
            <w:position w:val="0"/>
            <w:sz w:val="20"/>
            <w:u w:val="single"/>
            <w:vertAlign w:val="baseline"/>
          </w:rPr>
          <w:t>Ziglar v. Abbasi</w:t>
        </w:r>
      </w:hyperlink>
      <w:hyperlink r:id="rId75" w:history="1">
        <w:r>
          <w:rPr>
            <w:rFonts w:ascii="arial" w:eastAsia="arial" w:hAnsi="arial" w:cs="arial"/>
            <w:b w:val="0"/>
            <w:i/>
            <w:strike w:val="0"/>
            <w:noProof w:val="0"/>
            <w:color w:val="0077CC"/>
            <w:position w:val="0"/>
            <w:sz w:val="20"/>
            <w:u w:val="single"/>
            <w:vertAlign w:val="baseline"/>
          </w:rPr>
          <w:t>, 582 U.S. 120, 137 S. Ct. 1843, 1855, 198 L. Ed. 2d 290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33"/>
      <w:bookmarkEnd w:id="75"/>
      <w:r>
        <w:rPr>
          <w:rFonts w:ascii="arial" w:eastAsia="arial" w:hAnsi="arial" w:cs="arial"/>
          <w:b w:val="0"/>
          <w:i w:val="0"/>
          <w:strike w:val="0"/>
          <w:noProof w:val="0"/>
          <w:color w:val="000000"/>
          <w:position w:val="0"/>
          <w:sz w:val="20"/>
          <w:u w:val="none"/>
          <w:vertAlign w:val="baseline"/>
        </w:rPr>
        <w:t xml:space="preserve">The Supreme Court has since narrowed its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jurisprudence, cautioning that extending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is "a disfavored judicial activity" and "declin[ing] 11 times to imply a similar cause of action for other alleged constitutional violations [over the past 48 years]." </w:t>
      </w:r>
      <w:hyperlink r:id="rId76" w:history="1">
        <w:r>
          <w:rPr>
            <w:rFonts w:ascii="arial" w:eastAsia="arial" w:hAnsi="arial" w:cs="arial"/>
            <w:b w:val="0"/>
            <w:i/>
            <w:strike w:val="0"/>
            <w:noProof w:val="0"/>
            <w:color w:val="0077CC"/>
            <w:position w:val="0"/>
            <w:sz w:val="20"/>
            <w:u w:val="single"/>
            <w:vertAlign w:val="baseline"/>
          </w:rPr>
          <w:t>Egbert v. Boule</w:t>
        </w:r>
      </w:hyperlink>
      <w:hyperlink r:id="rId76" w:history="1">
        <w:r>
          <w:rPr>
            <w:rFonts w:ascii="arial" w:eastAsia="arial" w:hAnsi="arial" w:cs="arial"/>
            <w:b w:val="0"/>
            <w:i/>
            <w:strike w:val="0"/>
            <w:noProof w:val="0"/>
            <w:color w:val="0077CC"/>
            <w:position w:val="0"/>
            <w:sz w:val="20"/>
            <w:u w:val="single"/>
            <w:vertAlign w:val="baseline"/>
          </w:rPr>
          <w:t>, 142 S. Ct. 1793, 1799, 1803, 213 L. Ed. 2d 54 (2022)</w:t>
        </w:r>
      </w:hyperlink>
      <w:r>
        <w:rPr>
          <w:rFonts w:ascii="arial" w:eastAsia="arial" w:hAnsi="arial" w:cs="arial"/>
          <w:b w:val="0"/>
          <w:i w:val="0"/>
          <w:strike w:val="0"/>
          <w:noProof w:val="0"/>
          <w:color w:val="000000"/>
          <w:position w:val="0"/>
          <w:sz w:val="20"/>
          <w:u w:val="none"/>
          <w:vertAlign w:val="baseline"/>
        </w:rPr>
        <w:t xml:space="preserve"> (collecting cases). Doctrinally, courts follow a two-step inquiry when deciding whether to extend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(i) whether the plaintiff's claim "arises in a 'new context,'" which is defined as a context that "differ[s] in a meaningful way from [the] previous [three]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cases"; and (ii) whether "any special factors [exist to counsel] hesitation about granting the extension." </w:t>
      </w:r>
      <w:hyperlink r:id="rId77" w:history="1">
        <w:r>
          <w:rPr>
            <w:rFonts w:ascii="arial" w:eastAsia="arial" w:hAnsi="arial" w:cs="arial"/>
            <w:b w:val="0"/>
            <w:i/>
            <w:strike w:val="0"/>
            <w:noProof w:val="0"/>
            <w:color w:val="0077CC"/>
            <w:position w:val="0"/>
            <w:sz w:val="20"/>
            <w:u w:val="single"/>
            <w:vertAlign w:val="baseline"/>
          </w:rPr>
          <w:t>Hernandez v. Mesa</w:t>
        </w:r>
      </w:hyperlink>
      <w:hyperlink r:id="rId77" w:history="1">
        <w:r>
          <w:rPr>
            <w:rFonts w:ascii="arial" w:eastAsia="arial" w:hAnsi="arial" w:cs="arial"/>
            <w:b w:val="0"/>
            <w:i/>
            <w:strike w:val="0"/>
            <w:noProof w:val="0"/>
            <w:color w:val="0077CC"/>
            <w:position w:val="0"/>
            <w:sz w:val="20"/>
            <w:u w:val="single"/>
            <w:vertAlign w:val="baseline"/>
          </w:rPr>
          <w:t>, 140 S. Ct. 735, 743, 206 L. Ed. 2d 29 (2020)</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The Supreme Court has avoided creating an exhaustive list of special factors, but it has emphasized that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should not be extended when a plaintiff already has an "alternative remedial structure" available and when such extension could create uncertain "systemwide consequences." </w:t>
      </w:r>
      <w:hyperlink r:id="rId76" w:history="1">
        <w:r>
          <w:rPr>
            <w:rFonts w:ascii="arial" w:eastAsia="arial" w:hAnsi="arial" w:cs="arial"/>
            <w:b w:val="0"/>
            <w:i/>
            <w:strike w:val="0"/>
            <w:noProof w:val="0"/>
            <w:color w:val="0077CC"/>
            <w:position w:val="0"/>
            <w:sz w:val="20"/>
            <w:u w:val="single"/>
            <w:vertAlign w:val="baseline"/>
          </w:rPr>
          <w:t>Egbert</w:t>
        </w:r>
      </w:hyperlink>
      <w:hyperlink r:id="rId76" w:history="1">
        <w:r>
          <w:rPr>
            <w:rFonts w:ascii="arial" w:eastAsia="arial" w:hAnsi="arial" w:cs="arial"/>
            <w:b w:val="0"/>
            <w:i/>
            <w:strike w:val="0"/>
            <w:noProof w:val="0"/>
            <w:color w:val="0077CC"/>
            <w:position w:val="0"/>
            <w:sz w:val="20"/>
            <w:u w:val="single"/>
            <w:vertAlign w:val="baseline"/>
          </w:rPr>
          <w:t>, 142 S. Ct. at 1803-04</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Given this standard, Morales cannot proceed on any of his three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3" w:history="1">
        <w:r>
          <w:rPr>
            <w:rFonts w:ascii="arial" w:eastAsia="arial" w:hAnsi="arial" w:cs="arial"/>
            <w:b/>
            <w:i/>
            <w:strike w:val="0"/>
            <w:noProof w:val="0"/>
            <w:color w:val="0077CC"/>
            <w:position w:val="0"/>
            <w:sz w:val="20"/>
            <w:u w:val="single"/>
            <w:vertAlign w:val="baseline"/>
          </w:rPr>
          <w:t>Fourth Amendment</w:t>
        </w:r>
      </w:hyperlink>
    </w:p>
    <w:p>
      <w:pPr>
        <w:keepNext w:val="0"/>
        <w:spacing w:before="240" w:after="0" w:line="260" w:lineRule="atLeast"/>
        <w:ind w:left="0" w:right="0" w:firstLine="0"/>
        <w:jc w:val="both"/>
      </w:pPr>
      <w:bookmarkStart w:id="76" w:name="Bookmark_para_34"/>
      <w:bookmarkEnd w:id="76"/>
      <w:r>
        <w:rPr>
          <w:rFonts w:ascii="arial" w:eastAsia="arial" w:hAnsi="arial" w:cs="arial"/>
          <w:b w:val="0"/>
          <w:i w:val="0"/>
          <w:strike w:val="0"/>
          <w:noProof w:val="0"/>
          <w:color w:val="000000"/>
          <w:position w:val="0"/>
          <w:sz w:val="20"/>
          <w:u w:val="none"/>
          <w:vertAlign w:val="baseline"/>
        </w:rPr>
        <w:t xml:space="preserve">The Supreme Court has twice declined to extend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to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filed against border agents. </w:t>
      </w:r>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1804-07</w:t>
        </w:r>
      </w:hyperlink>
      <w:r>
        <w:rPr>
          <w:rFonts w:ascii="arial" w:eastAsia="arial" w:hAnsi="arial" w:cs="arial"/>
          <w:b w:val="0"/>
          <w:i w:val="0"/>
          <w:strike w:val="0"/>
          <w:noProof w:val="0"/>
          <w:color w:val="000000"/>
          <w:position w:val="0"/>
          <w:sz w:val="20"/>
          <w:u w:val="none"/>
          <w:vertAlign w:val="baseline"/>
        </w:rPr>
        <w:t xml:space="preserve"> (declining to extend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to an excessive-force claim against a Border Patrol agent); </w:t>
      </w:r>
      <w:hyperlink r:id="rId77" w:history="1">
        <w:r>
          <w:rPr>
            <w:rFonts w:ascii="arial" w:eastAsia="arial" w:hAnsi="arial" w:cs="arial"/>
            <w:b w:val="0"/>
            <w:i/>
            <w:strike w:val="0"/>
            <w:noProof w:val="0"/>
            <w:color w:val="0077CC"/>
            <w:position w:val="0"/>
            <w:sz w:val="20"/>
            <w:u w:val="single"/>
            <w:vertAlign w:val="baseline"/>
          </w:rPr>
          <w:t>Hernandez</w:t>
        </w:r>
      </w:hyperlink>
      <w:hyperlink r:id="rId77" w:history="1">
        <w:r>
          <w:rPr>
            <w:rFonts w:ascii="arial" w:eastAsia="arial" w:hAnsi="arial" w:cs="arial"/>
            <w:b w:val="0"/>
            <w:i/>
            <w:strike w:val="0"/>
            <w:noProof w:val="0"/>
            <w:color w:val="0077CC"/>
            <w:position w:val="0"/>
            <w:sz w:val="20"/>
            <w:u w:val="single"/>
            <w:vertAlign w:val="baseline"/>
          </w:rPr>
          <w:t>, 140 S. Ct. at 747</w:t>
        </w:r>
      </w:hyperlink>
      <w:r>
        <w:rPr>
          <w:rFonts w:ascii="arial" w:eastAsia="arial" w:hAnsi="arial" w:cs="arial"/>
          <w:b w:val="0"/>
          <w:i w:val="0"/>
          <w:strike w:val="0"/>
          <w:noProof w:val="0"/>
          <w:color w:val="000000"/>
          <w:position w:val="0"/>
          <w:sz w:val="20"/>
          <w:u w:val="none"/>
          <w:vertAlign w:val="baseline"/>
        </w:rPr>
        <w:t xml:space="preserve"> (same). In its analysis, the Court cautioned against extending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into a context that involves the "regulating [of] the conduct of agents at the border," </w:t>
      </w:r>
      <w:hyperlink r:id="rId77" w:history="1">
        <w:r>
          <w:rPr>
            <w:rFonts w:ascii="arial" w:eastAsia="arial" w:hAnsi="arial" w:cs="arial"/>
            <w:b w:val="0"/>
            <w:i/>
            <w:strike w:val="0"/>
            <w:noProof w:val="0"/>
            <w:color w:val="0077CC"/>
            <w:position w:val="0"/>
            <w:sz w:val="20"/>
            <w:u w:val="single"/>
            <w:vertAlign w:val="baseline"/>
          </w:rPr>
          <w:t>Hernandez</w:t>
        </w:r>
      </w:hyperlink>
      <w:hyperlink r:id="rId77" w:history="1">
        <w:r>
          <w:rPr>
            <w:rFonts w:ascii="arial" w:eastAsia="arial" w:hAnsi="arial" w:cs="arial"/>
            <w:b w:val="0"/>
            <w:i/>
            <w:strike w:val="0"/>
            <w:noProof w:val="0"/>
            <w:color w:val="0077CC"/>
            <w:position w:val="0"/>
            <w:sz w:val="20"/>
            <w:u w:val="single"/>
            <w:vertAlign w:val="baseline"/>
          </w:rPr>
          <w:t>, 140 S. Ct. at 747</w:t>
        </w:r>
      </w:hyperlink>
      <w:r>
        <w:rPr>
          <w:rFonts w:ascii="arial" w:eastAsia="arial" w:hAnsi="arial" w:cs="arial"/>
          <w:b w:val="0"/>
          <w:i w:val="0"/>
          <w:strike w:val="0"/>
          <w:noProof w:val="0"/>
          <w:color w:val="000000"/>
          <w:position w:val="0"/>
          <w:sz w:val="20"/>
          <w:u w:val="none"/>
          <w:vertAlign w:val="baseline"/>
        </w:rPr>
        <w:t xml:space="preserve">, and emphasized that the existence of "alternative remedies for aggrieved parties . . . independently foreclose[s] a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action," </w:t>
      </w:r>
      <w:hyperlink r:id="rId76" w:history="1">
        <w:r>
          <w:rPr>
            <w:rFonts w:ascii="arial" w:eastAsia="arial" w:hAnsi="arial" w:cs="arial"/>
            <w:b w:val="0"/>
            <w:i/>
            <w:strike w:val="0"/>
            <w:noProof w:val="0"/>
            <w:color w:val="0077CC"/>
            <w:position w:val="0"/>
            <w:sz w:val="20"/>
            <w:u w:val="single"/>
            <w:vertAlign w:val="baseline"/>
          </w:rPr>
          <w:t>Egbert</w:t>
        </w:r>
      </w:hyperlink>
      <w:hyperlink r:id="rId76" w:history="1">
        <w:r>
          <w:rPr>
            <w:rFonts w:ascii="arial" w:eastAsia="arial" w:hAnsi="arial" w:cs="arial"/>
            <w:b w:val="0"/>
            <w:i/>
            <w:strike w:val="0"/>
            <w:noProof w:val="0"/>
            <w:color w:val="0077CC"/>
            <w:position w:val="0"/>
            <w:sz w:val="20"/>
            <w:u w:val="single"/>
            <w:vertAlign w:val="baseline"/>
          </w:rPr>
          <w:t>, 142 S. Ct. at 1806</w:t>
        </w:r>
      </w:hyperlink>
      <w:r>
        <w:rPr>
          <w:rFonts w:ascii="arial" w:eastAsia="arial" w:hAnsi="arial" w:cs="arial"/>
          <w:b w:val="0"/>
          <w:i w:val="0"/>
          <w:strike w:val="0"/>
          <w:noProof w:val="0"/>
          <w:color w:val="000000"/>
          <w:position w:val="0"/>
          <w:sz w:val="20"/>
          <w:u w:val="none"/>
          <w:vertAlign w:val="baseline"/>
        </w:rPr>
        <w:t xml:space="preserve">. Both circumstances apply here—Morales's interaction with CBP occurred at JFK, an international border, and he has available an alternative remedy through his FTCA claims discussed above. It does not matter here that Morales's FTCA claims have been dismissed or if the FTCA alone offers an inadequate remedy. As </w:t>
      </w:r>
      <w:hyperlink r:id="rId76" w:history="1">
        <w:r>
          <w:rPr>
            <w:rFonts w:ascii="arial" w:eastAsia="arial" w:hAnsi="arial" w:cs="arial"/>
            <w:b w:val="0"/>
            <w:i/>
            <w:strike w:val="0"/>
            <w:noProof w:val="0"/>
            <w:color w:val="0077CC"/>
            <w:position w:val="0"/>
            <w:sz w:val="20"/>
            <w:u w:val="single"/>
            <w:vertAlign w:val="baseline"/>
          </w:rPr>
          <w:t>Egbert</w:t>
        </w:r>
      </w:hyperlink>
      <w:r>
        <w:rPr>
          <w:rFonts w:ascii="arial" w:eastAsia="arial" w:hAnsi="arial" w:cs="arial"/>
          <w:b w:val="0"/>
          <w:i w:val="0"/>
          <w:strike w:val="0"/>
          <w:noProof w:val="0"/>
          <w:color w:val="000000"/>
          <w:position w:val="0"/>
          <w:sz w:val="20"/>
          <w:u w:val="none"/>
          <w:vertAlign w:val="baseline"/>
        </w:rPr>
        <w:t xml:space="preserve"> explained:</w:t>
      </w:r>
    </w:p>
    <w:p>
      <w:pPr>
        <w:keepNext w:val="0"/>
        <w:spacing w:before="240" w:after="0" w:line="260" w:lineRule="atLeast"/>
        <w:ind w:left="400" w:right="0" w:firstLine="0"/>
        <w:jc w:val="both"/>
      </w:pPr>
      <w:bookmarkStart w:id="77" w:name="Bookmark_para_35"/>
      <w:bookmarkEnd w:id="77"/>
      <w:r>
        <w:rPr>
          <w:rFonts w:ascii="arial" w:eastAsia="arial" w:hAnsi="arial" w:cs="arial"/>
          <w:b w:val="0"/>
          <w:i w:val="0"/>
          <w:strike w:val="0"/>
          <w:noProof w:val="0"/>
          <w:color w:val="000000"/>
          <w:position w:val="0"/>
          <w:sz w:val="20"/>
          <w:u w:val="none"/>
          <w:vertAlign w:val="baseline"/>
        </w:rPr>
        <w:t xml:space="preserve">[T]he question whether a given remedy is adequate is a legislative determination that must be left to Congress, not the federal courts. So long as Congress or the Executive has created a remedial process that it finds sufficient to secure an adequate level of deterrence, the courts cannot second-guess that calibration by superimposing a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 That is true even if a court independently concludes that the Government's procedures are not as effective as an individual damages remedy.</w:t>
      </w:r>
    </w:p>
    <w:p>
      <w:pPr>
        <w:keepNext w:val="0"/>
        <w:spacing w:before="240" w:after="0" w:line="260" w:lineRule="atLeast"/>
        <w:ind w:left="0" w:right="0" w:firstLine="0"/>
        <w:jc w:val="both"/>
      </w:pPr>
      <w:bookmarkStart w:id="78" w:name="Bookmark_I68YJWJB2HM6SN0020000400"/>
      <w:bookmarkEnd w:id="78"/>
      <w:hyperlink r:id="rId76" w:history="1">
        <w:r>
          <w:rPr>
            <w:rFonts w:ascii="arial" w:eastAsia="arial" w:hAnsi="arial" w:cs="arial"/>
            <w:b w:val="0"/>
            <w:i/>
            <w:strike w:val="0"/>
            <w:color w:val="0077CC"/>
            <w:sz w:val="20"/>
            <w:u w:val="single"/>
            <w:vertAlign w:val="baseline"/>
          </w:rPr>
          <w:t>142 S. Ct. at 1807</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78" w:history="1">
        <w:r>
          <w:rPr>
            <w:rFonts w:ascii="arial" w:eastAsia="arial" w:hAnsi="arial" w:cs="arial"/>
            <w:b w:val="0"/>
            <w:i/>
            <w:strike w:val="0"/>
            <w:noProof w:val="0"/>
            <w:color w:val="0077CC"/>
            <w:position w:val="0"/>
            <w:sz w:val="20"/>
            <w:u w:val="single"/>
            <w:vertAlign w:val="baseline"/>
          </w:rPr>
          <w:t>Rivera v. Samilo</w:t>
        </w:r>
      </w:hyperlink>
      <w:hyperlink r:id="rId78" w:history="1">
        <w:r>
          <w:rPr>
            <w:rFonts w:ascii="arial" w:eastAsia="arial" w:hAnsi="arial" w:cs="arial"/>
            <w:b w:val="0"/>
            <w:i/>
            <w:strike w:val="0"/>
            <w:noProof w:val="0"/>
            <w:color w:val="0077CC"/>
            <w:position w:val="0"/>
            <w:sz w:val="20"/>
            <w:u w:val="single"/>
            <w:vertAlign w:val="baseline"/>
          </w:rPr>
          <w:t>, 370 F. Supp. 3d 362, 370 (E.D.N.Y. 2019)</w:t>
        </w:r>
      </w:hyperlink>
      <w:r>
        <w:rPr>
          <w:rFonts w:ascii="arial" w:eastAsia="arial" w:hAnsi="arial" w:cs="arial"/>
          <w:b w:val="0"/>
          <w:i w:val="0"/>
          <w:strike w:val="0"/>
          <w:noProof w:val="0"/>
          <w:color w:val="000000"/>
          <w:position w:val="0"/>
          <w:sz w:val="20"/>
          <w:u w:val="none"/>
          <w:vertAlign w:val="baseline"/>
        </w:rPr>
        <w:t xml:space="preserve"> ("The present unavailability of an FTCA claim is immaterial to the analysis of whether the existence of an adequate alternative process counsels in favor of judicial restraint."). Accordingly, given binding Supreme Court precedent, Morales cannot maintain his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under </w:t>
      </w:r>
      <w:r>
        <w:rPr>
          <w:rFonts w:ascii="arial" w:eastAsia="arial" w:hAnsi="arial" w:cs="arial"/>
          <w:b w:val="0"/>
          <w:i w:val="0"/>
          <w:strike w:val="0"/>
          <w:noProof w:val="0"/>
          <w:color w:val="000000"/>
          <w:position w:val="0"/>
          <w:sz w:val="20"/>
          <w:u w:val="single"/>
          <w:vertAlign w:val="baseline"/>
        </w:rPr>
        <w:t xml:space="preserve">Bivens. See also </w:t>
      </w:r>
      <w:bookmarkStart w:id="79" w:name="Bookmark_I68YJWJB2HM6SN0010000400"/>
      <w:bookmarkEnd w:id="79"/>
      <w:hyperlink r:id="rId79" w:history="1">
        <w:r>
          <w:rPr>
            <w:rFonts w:ascii="arial" w:eastAsia="arial" w:hAnsi="arial" w:cs="arial"/>
            <w:b w:val="0"/>
            <w:i/>
            <w:strike w:val="0"/>
            <w:noProof w:val="0"/>
            <w:color w:val="0077CC"/>
            <w:position w:val="0"/>
            <w:sz w:val="20"/>
            <w:u w:val="single"/>
            <w:vertAlign w:val="baseline"/>
          </w:rPr>
          <w:t>Lovell v. Parker</w:t>
        </w:r>
      </w:hyperlink>
      <w:hyperlink r:id="rId79" w:history="1">
        <w:r>
          <w:rPr>
            <w:rFonts w:ascii="arial" w:eastAsia="arial" w:hAnsi="arial" w:cs="arial"/>
            <w:b w:val="0"/>
            <w:i/>
            <w:strike w:val="0"/>
            <w:noProof w:val="0"/>
            <w:color w:val="0077CC"/>
            <w:position w:val="0"/>
            <w:sz w:val="20"/>
            <w:u w:val="single"/>
            <w:vertAlign w:val="baseline"/>
          </w:rPr>
          <w:t>, No. 18-cv-1867 (KAM), 618 F. Supp. 3d 127, 2022 U.S. Dist. LEXIS 138345, 2022 WL 3045039, at *10 (E.D.N.Y. Aug. 3, 2022)</w:t>
        </w:r>
      </w:hyperlink>
      <w:r>
        <w:rPr>
          <w:rFonts w:ascii="arial" w:eastAsia="arial" w:hAnsi="arial" w:cs="arial"/>
          <w:b w:val="0"/>
          <w:i w:val="0"/>
          <w:strike w:val="0"/>
          <w:noProof w:val="0"/>
          <w:color w:val="000000"/>
          <w:position w:val="0"/>
          <w:sz w:val="20"/>
          <w:u w:val="none"/>
          <w:vertAlign w:val="baseline"/>
        </w:rPr>
        <w:t xml:space="preserve"> (dismissing plaintiff's </w:t>
      </w:r>
      <w:bookmarkStart w:id="80" w:name="Bookmark_I68YJWJB2HM6SN0020000400_2"/>
      <w:bookmarkEnd w:id="80"/>
      <w:bookmarkStart w:id="81" w:name="Bookmark_I67NJDK828T48T0040000400"/>
      <w:bookmarkEnd w:id="81"/>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action against CBP officers and observing that "a </w:t>
      </w:r>
      <w:bookmarkStart w:id="82" w:name="Bookmark_I67NJDK82SF7VN0010000400"/>
      <w:bookmarkEnd w:id="82"/>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action targeting the conduct of CBP officers at a border entry point has never been recognized by the Supreme Court"); </w:t>
      </w:r>
      <w:bookmarkStart w:id="83" w:name="Bookmark_I68YJWJB2HM6SN0030000400"/>
      <w:bookmarkEnd w:id="83"/>
      <w:hyperlink r:id="rId57" w:history="1">
        <w:r>
          <w:rPr>
            <w:rFonts w:ascii="arial" w:eastAsia="arial" w:hAnsi="arial" w:cs="arial"/>
            <w:b w:val="0"/>
            <w:i/>
            <w:strike w:val="0"/>
            <w:noProof w:val="0"/>
            <w:color w:val="0077CC"/>
            <w:position w:val="0"/>
            <w:sz w:val="20"/>
            <w:u w:val="single"/>
            <w:vertAlign w:val="baseline"/>
          </w:rPr>
          <w:t>Salamone</w:t>
        </w:r>
      </w:hyperlink>
      <w:hyperlink r:id="rId57" w:history="1">
        <w:r>
          <w:rPr>
            <w:rFonts w:ascii="arial" w:eastAsia="arial" w:hAnsi="arial" w:cs="arial"/>
            <w:b w:val="0"/>
            <w:i/>
            <w:strike w:val="0"/>
            <w:noProof w:val="0"/>
            <w:color w:val="0077CC"/>
            <w:position w:val="0"/>
            <w:sz w:val="20"/>
            <w:u w:val="single"/>
            <w:vertAlign w:val="baseline"/>
          </w:rPr>
          <w:t>, 618 F. Supp. 3d 146, 2022 U.S. Dist. LEXIS 136716, 2022 WL 3043456, at *5</w:t>
        </w:r>
      </w:hyperlink>
      <w:r>
        <w:rPr>
          <w:rFonts w:ascii="arial" w:eastAsia="arial" w:hAnsi="arial" w:cs="arial"/>
          <w:b w:val="0"/>
          <w:i w:val="0"/>
          <w:strike w:val="0"/>
          <w:noProof w:val="0"/>
          <w:color w:val="000000"/>
          <w:position w:val="0"/>
          <w:sz w:val="20"/>
          <w:u w:val="none"/>
          <w:vertAlign w:val="baseline"/>
        </w:rPr>
        <w:t xml:space="preserve"> ("The [Supreme] Court's opinion [in </w:t>
      </w:r>
      <w:bookmarkStart w:id="84" w:name="Bookmark_I67NJDK82SF7VN0050000400"/>
      <w:bookmarkEnd w:id="84"/>
      <w:hyperlink r:id="rId76" w:history="1">
        <w:r>
          <w:rPr>
            <w:rFonts w:ascii="arial" w:eastAsia="arial" w:hAnsi="arial" w:cs="arial"/>
            <w:b w:val="0"/>
            <w:i/>
            <w:strike w:val="0"/>
            <w:noProof w:val="0"/>
            <w:color w:val="0077CC"/>
            <w:position w:val="0"/>
            <w:sz w:val="20"/>
            <w:u w:val="single"/>
            <w:vertAlign w:val="baseline"/>
          </w:rPr>
          <w:t>Egbert</w:t>
        </w:r>
      </w:hyperlink>
      <w:r>
        <w:rPr>
          <w:rFonts w:ascii="arial" w:eastAsia="arial" w:hAnsi="arial" w:cs="arial"/>
          <w:b w:val="0"/>
          <w:i w:val="0"/>
          <w:strike w:val="0"/>
          <w:noProof w:val="0"/>
          <w:color w:val="000000"/>
          <w:position w:val="0"/>
          <w:sz w:val="20"/>
          <w:u w:val="none"/>
          <w:vertAlign w:val="baseline"/>
        </w:rPr>
        <w:t xml:space="preserve">] therefore makes clear that a </w:t>
      </w:r>
      <w:bookmarkStart w:id="85" w:name="Bookmark_I67NJDK82N1R0V0020000400"/>
      <w:bookmarkEnd w:id="85"/>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action is not available against a CBP officer acting within the scope of the officer's duties at the border.").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4" w:history="1">
        <w:r>
          <w:rPr>
            <w:rFonts w:ascii="arial" w:eastAsia="arial" w:hAnsi="arial" w:cs="arial"/>
            <w:b/>
            <w:i/>
            <w:strike w:val="0"/>
            <w:noProof w:val="0"/>
            <w:color w:val="0077CC"/>
            <w:position w:val="0"/>
            <w:sz w:val="20"/>
            <w:u w:val="single"/>
            <w:vertAlign w:val="baseline"/>
          </w:rPr>
          <w:t>Fifth Amendment</w:t>
        </w:r>
      </w:hyperlink>
      <w:r>
        <w:rPr>
          <w:rFonts w:ascii="arial" w:eastAsia="arial" w:hAnsi="arial" w:cs="arial"/>
          <w:b/>
          <w:i w:val="0"/>
          <w:strike w:val="0"/>
          <w:noProof w:val="0"/>
          <w:color w:val="000000"/>
          <w:position w:val="0"/>
          <w:sz w:val="20"/>
          <w:u w:val="none"/>
          <w:vertAlign w:val="baseline"/>
        </w:rPr>
        <w:t xml:space="preserve"> and </w:t>
      </w:r>
      <w:hyperlink r:id="rId15" w:history="1">
        <w:r>
          <w:rPr>
            <w:rFonts w:ascii="arial" w:eastAsia="arial" w:hAnsi="arial" w:cs="arial"/>
            <w:b/>
            <w:i/>
            <w:strike w:val="0"/>
            <w:noProof w:val="0"/>
            <w:color w:val="0077CC"/>
            <w:position w:val="0"/>
            <w:sz w:val="20"/>
            <w:u w:val="single"/>
            <w:vertAlign w:val="baseline"/>
          </w:rPr>
          <w:t>Sixth Amendment</w:t>
        </w:r>
      </w:hyperlink>
    </w:p>
    <w:p>
      <w:pPr>
        <w:keepNext w:val="0"/>
        <w:spacing w:before="240" w:after="0" w:line="260" w:lineRule="atLeast"/>
        <w:ind w:left="0" w:right="0" w:firstLine="0"/>
        <w:jc w:val="both"/>
      </w:pPr>
      <w:bookmarkStart w:id="86" w:name="Bookmark_para_36"/>
      <w:bookmarkEnd w:id="86"/>
      <w:r>
        <w:rPr>
          <w:rFonts w:ascii="arial" w:eastAsia="arial" w:hAnsi="arial" w:cs="arial"/>
          <w:b w:val="0"/>
          <w:i w:val="0"/>
          <w:strike w:val="0"/>
          <w:noProof w:val="0"/>
          <w:color w:val="000000"/>
          <w:position w:val="0"/>
          <w:sz w:val="20"/>
          <w:u w:val="none"/>
          <w:vertAlign w:val="baseline"/>
        </w:rPr>
        <w:t xml:space="preserve">The same conclusion is true for Morales's Fifth and </w:t>
      </w:r>
      <w:hyperlink r:id="rId1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claims. First, Morales's case presents a "new context" with respect to both the </w:t>
      </w:r>
      <w:hyperlink r:id="rId15"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37"/>
      <w:bookmarkEnd w:id="87"/>
      <w:r>
        <w:rPr>
          <w:rFonts w:ascii="arial" w:eastAsia="arial" w:hAnsi="arial" w:cs="arial"/>
          <w:b w:val="0"/>
          <w:i w:val="0"/>
          <w:strike w:val="0"/>
          <w:noProof w:val="0"/>
          <w:color w:val="000000"/>
          <w:position w:val="0"/>
          <w:sz w:val="20"/>
          <w:u w:val="none"/>
          <w:vertAlign w:val="baseline"/>
        </w:rPr>
        <w:t xml:space="preserve">Regarding the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neither the Supreme Court nor the Second Circuit has recognized a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outside of the employment context in </w:t>
      </w:r>
      <w:hyperlink r:id="rId72" w:history="1">
        <w:r>
          <w:rPr>
            <w:rFonts w:ascii="arial" w:eastAsia="arial" w:hAnsi="arial" w:cs="arial"/>
            <w:b w:val="0"/>
            <w:i/>
            <w:strike w:val="0"/>
            <w:noProof w:val="0"/>
            <w:color w:val="0077CC"/>
            <w:position w:val="0"/>
            <w:sz w:val="20"/>
            <w:u w:val="single"/>
            <w:vertAlign w:val="baseline"/>
          </w:rPr>
          <w:t>Davis</w:t>
        </w:r>
      </w:hyperlink>
      <w:hyperlink r:id="rId72" w:history="1">
        <w:r>
          <w:rPr>
            <w:rFonts w:ascii="arial" w:eastAsia="arial" w:hAnsi="arial" w:cs="arial"/>
            <w:b w:val="0"/>
            <w:i/>
            <w:strike w:val="0"/>
            <w:noProof w:val="0"/>
            <w:color w:val="0077CC"/>
            <w:position w:val="0"/>
            <w:sz w:val="20"/>
            <w:u w:val="single"/>
            <w:vertAlign w:val="baseline"/>
          </w:rPr>
          <w:t>. 442 U.S. at 248-49</w:t>
        </w:r>
      </w:hyperlink>
      <w:r>
        <w:rPr>
          <w:rFonts w:ascii="arial" w:eastAsia="arial" w:hAnsi="arial" w:cs="arial"/>
          <w:b w:val="0"/>
          <w:i w:val="0"/>
          <w:strike w:val="0"/>
          <w:noProof w:val="0"/>
          <w:color w:val="000000"/>
          <w:position w:val="0"/>
          <w:sz w:val="20"/>
          <w:u w:val="none"/>
          <w:vertAlign w:val="baseline"/>
        </w:rPr>
        <w:t xml:space="preserve">. To the contrary, several Circuits to have considered a similar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due-process claim in the context of an international border have declined to extend </w:t>
      </w:r>
      <w:r>
        <w:rPr>
          <w:rFonts w:ascii="arial" w:eastAsia="arial" w:hAnsi="arial" w:cs="arial"/>
          <w:b w:val="0"/>
          <w:i w:val="0"/>
          <w:strike w:val="0"/>
          <w:noProof w:val="0"/>
          <w:color w:val="000000"/>
          <w:position w:val="0"/>
          <w:sz w:val="20"/>
          <w:u w:val="single"/>
          <w:vertAlign w:val="baseline"/>
        </w:rPr>
        <w:t xml:space="preserve">Bivens. See, e.g., </w:t>
      </w:r>
      <w:hyperlink r:id="rId80" w:history="1">
        <w:r>
          <w:rPr>
            <w:rFonts w:ascii="arial" w:eastAsia="arial" w:hAnsi="arial" w:cs="arial"/>
            <w:b w:val="0"/>
            <w:i/>
            <w:strike w:val="0"/>
            <w:noProof w:val="0"/>
            <w:color w:val="0077CC"/>
            <w:position w:val="0"/>
            <w:sz w:val="20"/>
            <w:u w:val="single"/>
            <w:vertAlign w:val="baseline"/>
          </w:rPr>
          <w:t>Elhady v. Unidentified CBP Agents</w:t>
        </w:r>
      </w:hyperlink>
      <w:hyperlink r:id="rId80" w:history="1">
        <w:r>
          <w:rPr>
            <w:rFonts w:ascii="arial" w:eastAsia="arial" w:hAnsi="arial" w:cs="arial"/>
            <w:b w:val="0"/>
            <w:i/>
            <w:strike w:val="0"/>
            <w:noProof w:val="0"/>
            <w:color w:val="0077CC"/>
            <w:position w:val="0"/>
            <w:sz w:val="20"/>
            <w:u w:val="single"/>
            <w:vertAlign w:val="baseline"/>
          </w:rPr>
          <w:t>, 18 F.4th 880, 886 (6th Cir. 2021)</w:t>
        </w:r>
      </w:hyperlink>
      <w:r>
        <w:rPr>
          <w:rFonts w:ascii="arial" w:eastAsia="arial" w:hAnsi="arial" w:cs="arial"/>
          <w:b w:val="0"/>
          <w:i w:val="0"/>
          <w:strike w:val="0"/>
          <w:noProof w:val="0"/>
          <w:color w:val="000000"/>
          <w:position w:val="0"/>
          <w:sz w:val="20"/>
          <w:u w:val="none"/>
          <w:vertAlign w:val="baseline"/>
        </w:rPr>
        <w:t xml:space="preserve"> (holding that claims related to the border are in a "markedly new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context" (internal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quotation marks and citation omitted)); </w:t>
      </w:r>
      <w:hyperlink r:id="rId81" w:history="1">
        <w:r>
          <w:rPr>
            <w:rFonts w:ascii="arial" w:eastAsia="arial" w:hAnsi="arial" w:cs="arial"/>
            <w:b w:val="0"/>
            <w:i/>
            <w:strike w:val="0"/>
            <w:noProof w:val="0"/>
            <w:color w:val="0077CC"/>
            <w:position w:val="0"/>
            <w:sz w:val="20"/>
            <w:u w:val="single"/>
            <w:vertAlign w:val="baseline"/>
          </w:rPr>
          <w:t>Tun-Cos v. Perrotte</w:t>
        </w:r>
      </w:hyperlink>
      <w:hyperlink r:id="rId81" w:history="1">
        <w:r>
          <w:rPr>
            <w:rFonts w:ascii="arial" w:eastAsia="arial" w:hAnsi="arial" w:cs="arial"/>
            <w:b w:val="0"/>
            <w:i/>
            <w:strike w:val="0"/>
            <w:noProof w:val="0"/>
            <w:color w:val="0077CC"/>
            <w:position w:val="0"/>
            <w:sz w:val="20"/>
            <w:u w:val="single"/>
            <w:vertAlign w:val="baseline"/>
          </w:rPr>
          <w:t>, 922 F.3d 514, 523-24 (4th Cir. 2019)</w:t>
        </w:r>
      </w:hyperlink>
      <w:r>
        <w:rPr>
          <w:rFonts w:ascii="arial" w:eastAsia="arial" w:hAnsi="arial" w:cs="arial"/>
          <w:b w:val="0"/>
          <w:i w:val="0"/>
          <w:strike w:val="0"/>
          <w:noProof w:val="0"/>
          <w:color w:val="000000"/>
          <w:position w:val="0"/>
          <w:sz w:val="20"/>
          <w:u w:val="none"/>
          <w:vertAlign w:val="baseline"/>
        </w:rPr>
        <w:t xml:space="preserve"> (finding that claims arising in the immigration context concerning agents from Immigration and Customs Enforcement to present a new context).</w:t>
      </w:r>
    </w:p>
    <w:p>
      <w:pPr>
        <w:keepNext w:val="0"/>
        <w:spacing w:before="240" w:after="0" w:line="260" w:lineRule="atLeast"/>
        <w:ind w:left="0" w:right="0" w:firstLine="0"/>
        <w:jc w:val="both"/>
      </w:pPr>
      <w:bookmarkStart w:id="88" w:name="Bookmark_para_38"/>
      <w:bookmarkEnd w:id="88"/>
      <w:r>
        <w:rPr>
          <w:rFonts w:ascii="arial" w:eastAsia="arial" w:hAnsi="arial" w:cs="arial"/>
          <w:b w:val="0"/>
          <w:i w:val="0"/>
          <w:strike w:val="0"/>
          <w:noProof w:val="0"/>
          <w:color w:val="000000"/>
          <w:position w:val="0"/>
          <w:sz w:val="20"/>
          <w:u w:val="none"/>
          <w:vertAlign w:val="baseline"/>
        </w:rPr>
        <w:t xml:space="preserve">Regarding the </w:t>
      </w:r>
      <w:hyperlink r:id="rId1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the Supreme Court has never found a </w:t>
      </w:r>
      <w:hyperlink r:id="rId1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 to be actionable under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and so Morales's claim here necessarily involves a new context. </w:t>
      </w:r>
      <w:r>
        <w:rPr>
          <w:rFonts w:ascii="arial" w:eastAsia="arial" w:hAnsi="arial" w:cs="arial"/>
          <w:b w:val="0"/>
          <w:i w:val="0"/>
          <w:strike w:val="0"/>
          <w:noProof w:val="0"/>
          <w:color w:val="000000"/>
          <w:position w:val="0"/>
          <w:sz w:val="20"/>
          <w:u w:val="single"/>
          <w:vertAlign w:val="baseline"/>
        </w:rPr>
        <w:t xml:space="preserve">See </w:t>
      </w:r>
      <w:hyperlink r:id="rId76" w:history="1">
        <w:r>
          <w:rPr>
            <w:rFonts w:ascii="arial" w:eastAsia="arial" w:hAnsi="arial" w:cs="arial"/>
            <w:b w:val="0"/>
            <w:i/>
            <w:strike w:val="0"/>
            <w:noProof w:val="0"/>
            <w:color w:val="0077CC"/>
            <w:position w:val="0"/>
            <w:sz w:val="20"/>
            <w:u w:val="single"/>
            <w:vertAlign w:val="baseline"/>
          </w:rPr>
          <w:t>Egbert</w:t>
        </w:r>
      </w:hyperlink>
      <w:hyperlink r:id="rId76" w:history="1">
        <w:r>
          <w:rPr>
            <w:rFonts w:ascii="arial" w:eastAsia="arial" w:hAnsi="arial" w:cs="arial"/>
            <w:b w:val="0"/>
            <w:i/>
            <w:strike w:val="0"/>
            <w:noProof w:val="0"/>
            <w:color w:val="0077CC"/>
            <w:position w:val="0"/>
            <w:sz w:val="20"/>
            <w:u w:val="single"/>
            <w:vertAlign w:val="baseline"/>
          </w:rPr>
          <w:t>, 142 S. Ct. at 1807</w:t>
        </w:r>
      </w:hyperlink>
      <w:r>
        <w:rPr>
          <w:rFonts w:ascii="arial" w:eastAsia="arial" w:hAnsi="arial" w:cs="arial"/>
          <w:b w:val="0"/>
          <w:i w:val="0"/>
          <w:strike w:val="0"/>
          <w:noProof w:val="0"/>
          <w:color w:val="000000"/>
          <w:position w:val="0"/>
          <w:sz w:val="20"/>
          <w:u w:val="none"/>
          <w:vertAlign w:val="baseline"/>
        </w:rPr>
        <w:t xml:space="preserve"> (declining to extend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to a </w:t>
      </w:r>
      <w:hyperlink r:id="rId8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and noting that "a new context arises when there is a new constitutional right at issue" (internal quotation marks and citation omitted)); </w:t>
      </w:r>
      <w:r>
        <w:rPr>
          <w:rFonts w:ascii="arial" w:eastAsia="arial" w:hAnsi="arial" w:cs="arial"/>
          <w:b w:val="0"/>
          <w:i w:val="0"/>
          <w:strike w:val="0"/>
          <w:noProof w:val="0"/>
          <w:color w:val="000000"/>
          <w:position w:val="0"/>
          <w:sz w:val="20"/>
          <w:u w:val="single"/>
          <w:vertAlign w:val="baseline"/>
        </w:rPr>
        <w:t xml:space="preserve">cf. </w:t>
      </w:r>
      <w:hyperlink r:id="rId83" w:history="1">
        <w:r>
          <w:rPr>
            <w:rFonts w:ascii="arial" w:eastAsia="arial" w:hAnsi="arial" w:cs="arial"/>
            <w:b w:val="0"/>
            <w:i/>
            <w:strike w:val="0"/>
            <w:noProof w:val="0"/>
            <w:color w:val="0077CC"/>
            <w:position w:val="0"/>
            <w:sz w:val="20"/>
            <w:u w:val="single"/>
            <w:vertAlign w:val="baseline"/>
          </w:rPr>
          <w:t>Sebolt v. Samuels</w:t>
        </w:r>
      </w:hyperlink>
      <w:hyperlink r:id="rId83" w:history="1">
        <w:r>
          <w:rPr>
            <w:rFonts w:ascii="arial" w:eastAsia="arial" w:hAnsi="arial" w:cs="arial"/>
            <w:b w:val="0"/>
            <w:i/>
            <w:strike w:val="0"/>
            <w:noProof w:val="0"/>
            <w:color w:val="0077CC"/>
            <w:position w:val="0"/>
            <w:sz w:val="20"/>
            <w:u w:val="single"/>
            <w:vertAlign w:val="baseline"/>
          </w:rPr>
          <w:t>, 749 F. App'x 458, 459 (7th Cir. 2018)</w:t>
        </w:r>
      </w:hyperlink>
      <w:r>
        <w:rPr>
          <w:rFonts w:ascii="arial" w:eastAsia="arial" w:hAnsi="arial" w:cs="arial"/>
          <w:b w:val="0"/>
          <w:i w:val="0"/>
          <w:strike w:val="0"/>
          <w:noProof w:val="0"/>
          <w:color w:val="000000"/>
          <w:position w:val="0"/>
          <w:sz w:val="20"/>
          <w:u w:val="none"/>
          <w:vertAlign w:val="baseline"/>
        </w:rPr>
        <w:t xml:space="preserve"> (noting that "the Supreme Court has not yet declared [the violation of the </w:t>
      </w:r>
      <w:hyperlink r:id="rId1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 . . actionable under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39"/>
      <w:bookmarkEnd w:id="89"/>
      <w:r>
        <w:rPr>
          <w:rFonts w:ascii="arial" w:eastAsia="arial" w:hAnsi="arial" w:cs="arial"/>
          <w:b w:val="0"/>
          <w:i w:val="0"/>
          <w:strike w:val="0"/>
          <w:noProof w:val="0"/>
          <w:color w:val="000000"/>
          <w:position w:val="0"/>
          <w:sz w:val="20"/>
          <w:u w:val="none"/>
          <w:vertAlign w:val="baseline"/>
        </w:rPr>
        <w:t xml:space="preserve">Second, the same special factors discussed in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 apply here, including: (i) the consideration that this case involves the international border, which implicates the significant government interest in regulating "the entry of unwanted persons and effects," </w:t>
      </w:r>
      <w:hyperlink r:id="rId39" w:history="1">
        <w:r>
          <w:rPr>
            <w:rFonts w:ascii="arial" w:eastAsia="arial" w:hAnsi="arial" w:cs="arial"/>
            <w:b w:val="0"/>
            <w:i/>
            <w:strike w:val="0"/>
            <w:noProof w:val="0"/>
            <w:color w:val="0077CC"/>
            <w:position w:val="0"/>
            <w:sz w:val="20"/>
            <w:u w:val="single"/>
            <w:vertAlign w:val="baseline"/>
          </w:rPr>
          <w:t>Flores-Montano</w:t>
        </w:r>
      </w:hyperlink>
      <w:hyperlink r:id="rId39" w:history="1">
        <w:r>
          <w:rPr>
            <w:rFonts w:ascii="arial" w:eastAsia="arial" w:hAnsi="arial" w:cs="arial"/>
            <w:b w:val="0"/>
            <w:i/>
            <w:strike w:val="0"/>
            <w:noProof w:val="0"/>
            <w:color w:val="0077CC"/>
            <w:position w:val="0"/>
            <w:sz w:val="20"/>
            <w:u w:val="single"/>
            <w:vertAlign w:val="baseline"/>
          </w:rPr>
          <w:t>, 541 U.S. at 152</w:t>
        </w:r>
      </w:hyperlink>
      <w:r>
        <w:rPr>
          <w:rFonts w:ascii="arial" w:eastAsia="arial" w:hAnsi="arial" w:cs="arial"/>
          <w:b w:val="0"/>
          <w:i w:val="0"/>
          <w:strike w:val="0"/>
          <w:noProof w:val="0"/>
          <w:color w:val="000000"/>
          <w:position w:val="0"/>
          <w:sz w:val="20"/>
          <w:u w:val="none"/>
          <w:vertAlign w:val="baseline"/>
        </w:rPr>
        <w:t xml:space="preserve">; and (ii) the existence of alternative remedial regimes through Morales's FTCA claims, which "alone may limit the power of the Judiciary to infer a new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cause of action," </w:t>
      </w:r>
      <w:hyperlink r:id="rId75" w:history="1">
        <w:r>
          <w:rPr>
            <w:rFonts w:ascii="arial" w:eastAsia="arial" w:hAnsi="arial" w:cs="arial"/>
            <w:b w:val="0"/>
            <w:i/>
            <w:strike w:val="0"/>
            <w:noProof w:val="0"/>
            <w:color w:val="0077CC"/>
            <w:position w:val="0"/>
            <w:sz w:val="20"/>
            <w:u w:val="single"/>
            <w:vertAlign w:val="baseline"/>
          </w:rPr>
          <w:t>Ziglar</w:t>
        </w:r>
      </w:hyperlink>
      <w:hyperlink r:id="rId75" w:history="1">
        <w:r>
          <w:rPr>
            <w:rFonts w:ascii="arial" w:eastAsia="arial" w:hAnsi="arial" w:cs="arial"/>
            <w:b w:val="0"/>
            <w:i/>
            <w:strike w:val="0"/>
            <w:noProof w:val="0"/>
            <w:color w:val="0077CC"/>
            <w:position w:val="0"/>
            <w:sz w:val="20"/>
            <w:u w:val="single"/>
            <w:vertAlign w:val="baseline"/>
          </w:rPr>
          <w:t>, 137 S. Ct. at 1858</w:t>
        </w:r>
      </w:hyperlink>
      <w:r>
        <w:rPr>
          <w:rFonts w:ascii="arial" w:eastAsia="arial" w:hAnsi="arial" w:cs="arial"/>
          <w:b w:val="0"/>
          <w:i w:val="0"/>
          <w:strike w:val="0"/>
          <w:noProof w:val="0"/>
          <w:color w:val="000000"/>
          <w:position w:val="0"/>
          <w:sz w:val="20"/>
          <w:u w:val="none"/>
          <w:vertAlign w:val="baseline"/>
        </w:rPr>
        <w:t xml:space="preserve">. Accordingly, Morales similarly cannot maintain his Fifth and </w:t>
      </w:r>
      <w:hyperlink r:id="rId1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claims under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91" w:name="Bookmark_para_40"/>
      <w:bookmarkEnd w:id="91"/>
      <w:r>
        <w:rPr>
          <w:rFonts w:ascii="arial" w:eastAsia="arial" w:hAnsi="arial" w:cs="arial"/>
          <w:b w:val="0"/>
          <w:i w:val="0"/>
          <w:strike w:val="0"/>
          <w:noProof w:val="0"/>
          <w:color w:val="000000"/>
          <w:position w:val="0"/>
          <w:sz w:val="20"/>
          <w:u w:val="none"/>
          <w:vertAlign w:val="baseline"/>
        </w:rPr>
        <w:t>In his opposition briefing, Morales does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not attempt to distinguish these cases, but instead argues that the facts, viewed in the light most favorable to him, support his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(Pl. Opp'n 25.) Since I conclude that Morales may not assert his claims under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as a matter of law, his insistence that the parties have a dispute regarding the facts is insufficient to defeat Defendants' summary judgment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Claim Raised at Oral Argument</w:t>
      </w:r>
    </w:p>
    <w:p>
      <w:pPr>
        <w:keepNext w:val="0"/>
        <w:spacing w:before="200" w:after="0" w:line="260" w:lineRule="atLeast"/>
        <w:ind w:left="0" w:right="0" w:firstLine="0"/>
        <w:jc w:val="both"/>
      </w:pPr>
      <w:bookmarkStart w:id="92" w:name="Bookmark_para_41"/>
      <w:bookmarkEnd w:id="92"/>
      <w:r>
        <w:rPr>
          <w:rFonts w:ascii="arial" w:eastAsia="arial" w:hAnsi="arial" w:cs="arial"/>
          <w:b w:val="0"/>
          <w:i w:val="0"/>
          <w:strike w:val="0"/>
          <w:noProof w:val="0"/>
          <w:color w:val="000000"/>
          <w:position w:val="0"/>
          <w:sz w:val="20"/>
          <w:u w:val="none"/>
          <w:vertAlign w:val="baseline"/>
        </w:rPr>
        <w:t>During oral argument, Morales raised an additional claim against the United States based upon alleged conduct of the Federal Bureau of Investigations ("FBI"). Specifically, counsel at oral argument asserted that Morales had a false arrest claim against the United States based on Morales's arrest for burglary by Detective Dezelic. His theory is that Detective Dezelic, who served a temporary detail to the FBI Cyber Crime Task Force, was acting as an agent of the FBI when he made that arrest. First, it is questionable that this theory was properly advanced at any time prior to oral argument. Second, assuming it could be read into his complaint, this theory fails as a matter of fact. The record shows that Detective Dezelic was acting in his capacity as an officer of the NCPD and not as a member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the Cyber Crime Task Force. In particular, (i) the underlying crime being investigated is burglary, which is not a crime "with a nexus to computers" that is typically investigated by the Cyber Crime Task Force,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Hernandez Dep. 62:14-20); (ii) Detective Dezelic arrived at JFK with other NCPD detectives, not with members of the Cyber Crime Task Force,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Pl. 56.1 Statement, sect. B (describing Morales's "[a]rrest by the NCPD")); and (iii) the FBI, in a prior discovery dispute between the parties, filed a declaration and stated that "the FBI's Central Records System does not contain any FBI investigative records matching Morales' information . . . [other than those] for a claim under the [FTCA] relating to the current litigation[,]" (D.E. # 46 (Crum Decl.) ¶ 9). In short, other than his bald statements, nothing in the record supports Morales's argument that the FBI was involved in any way, whether in NCPD's initial burglary investigation, in CBP's investigation of Morales as a possible drug courier, in CBP's questioning of Morales at JFK, or in NCPD's subsequent arrest of Morales. Therefore, I decline to credit Morales's argument that Detective Dezelic's actions provided a basis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for a claim of false arrest against the United States.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93" w:name="Bookmark_para_42"/>
      <w:bookmarkEnd w:id="93"/>
      <w:r>
        <w:rPr>
          <w:rFonts w:ascii="arial" w:eastAsia="arial" w:hAnsi="arial" w:cs="arial"/>
          <w:b w:val="0"/>
          <w:i w:val="0"/>
          <w:strike w:val="0"/>
          <w:noProof w:val="0"/>
          <w:color w:val="000000"/>
          <w:position w:val="0"/>
          <w:sz w:val="20"/>
          <w:u w:val="none"/>
          <w:vertAlign w:val="baseline"/>
        </w:rPr>
        <w:t xml:space="preserve">For the foregoing reasons, Defendants' summary judgment motion is GRANTED. Morales's FTCA claims against the United States and </w:t>
      </w:r>
      <w:hyperlink r:id="rId12"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against the Individual CBP officers are dismissed in total. The Clerk of Court is directed to close this case.</w:t>
      </w:r>
    </w:p>
    <w:p>
      <w:pPr>
        <w:keepNext w:val="0"/>
        <w:spacing w:before="200" w:after="0" w:line="260" w:lineRule="atLeast"/>
        <w:ind w:left="0" w:right="0" w:firstLine="0"/>
        <w:jc w:val="both"/>
      </w:pPr>
      <w:bookmarkStart w:id="94" w:name="Bookmark_para_43"/>
      <w:bookmarkEnd w:id="94"/>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95" w:name="Bookmark_para_44"/>
      <w:bookmarkEnd w:id="95"/>
      <w:r>
        <w:rPr>
          <w:rFonts w:ascii="arial" w:eastAsia="arial" w:hAnsi="arial" w:cs="arial"/>
          <w:b w:val="0"/>
          <w:i w:val="0"/>
          <w:strike w:val="0"/>
          <w:noProof w:val="0"/>
          <w:color w:val="000000"/>
          <w:position w:val="0"/>
          <w:sz w:val="20"/>
          <w:u w:val="none"/>
          <w:vertAlign w:val="baseline"/>
        </w:rPr>
        <w:t>Dated: February 17, 2023</w:t>
      </w:r>
    </w:p>
    <w:p>
      <w:pPr>
        <w:keepNext w:val="0"/>
        <w:spacing w:before="200" w:after="0" w:line="260" w:lineRule="atLeast"/>
        <w:ind w:left="0" w:right="0" w:firstLine="0"/>
        <w:jc w:val="both"/>
      </w:pPr>
      <w:bookmarkStart w:id="96" w:name="Bookmark_para_45"/>
      <w:bookmarkEnd w:id="96"/>
      <w:r>
        <w:rPr>
          <w:rFonts w:ascii="arial" w:eastAsia="arial" w:hAnsi="arial" w:cs="arial"/>
          <w:b w:val="0"/>
          <w:i w:val="0"/>
          <w:strike w:val="0"/>
          <w:noProof w:val="0"/>
          <w:color w:val="000000"/>
          <w:position w:val="0"/>
          <w:sz w:val="20"/>
          <w:u w:val="none"/>
          <w:vertAlign w:val="baseline"/>
        </w:rPr>
        <w:t>Brooklyn, New York</w:t>
      </w:r>
    </w:p>
    <w:p>
      <w:pPr>
        <w:keepNext w:val="0"/>
        <w:spacing w:before="200" w:after="0" w:line="260" w:lineRule="atLeast"/>
        <w:ind w:left="0" w:right="0" w:firstLine="0"/>
        <w:jc w:val="both"/>
      </w:pPr>
      <w:bookmarkStart w:id="97" w:name="Bookmark_para_46"/>
      <w:bookmarkEnd w:id="97"/>
      <w:r>
        <w:rPr>
          <w:rFonts w:ascii="arial" w:eastAsia="arial" w:hAnsi="arial" w:cs="arial"/>
          <w:b w:val="0"/>
          <w:i w:val="0"/>
          <w:strike w:val="0"/>
          <w:noProof w:val="0"/>
          <w:color w:val="000000"/>
          <w:position w:val="0"/>
          <w:sz w:val="20"/>
          <w:u w:val="none"/>
          <w:vertAlign w:val="baseline"/>
        </w:rPr>
        <w:t>/s/ Carol Bagley Amon</w:t>
      </w:r>
    </w:p>
    <w:p>
      <w:pPr>
        <w:keepNext w:val="0"/>
        <w:spacing w:before="200" w:after="0" w:line="260" w:lineRule="atLeast"/>
        <w:ind w:left="0" w:right="0" w:firstLine="0"/>
        <w:jc w:val="both"/>
      </w:pPr>
      <w:bookmarkStart w:id="98" w:name="Bookmark_para_47"/>
      <w:bookmarkEnd w:id="98"/>
      <w:r>
        <w:rPr>
          <w:rFonts w:ascii="arial" w:eastAsia="arial" w:hAnsi="arial" w:cs="arial"/>
          <w:b w:val="0"/>
          <w:i w:val="0"/>
          <w:strike w:val="0"/>
          <w:noProof w:val="0"/>
          <w:color w:val="000000"/>
          <w:position w:val="0"/>
          <w:sz w:val="20"/>
          <w:u w:val="none"/>
          <w:vertAlign w:val="baseline"/>
        </w:rPr>
        <w:t>Carol Bagley Amon</w:t>
      </w:r>
    </w:p>
    <w:p>
      <w:pPr>
        <w:keepNext w:val="0"/>
        <w:spacing w:before="200" w:after="0" w:line="260" w:lineRule="atLeast"/>
        <w:ind w:left="0" w:right="0" w:firstLine="0"/>
        <w:jc w:val="both"/>
      </w:pPr>
      <w:bookmarkStart w:id="99" w:name="Bookmark_para_48"/>
      <w:bookmarkEnd w:id="9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All exhibit citations refer to Defendants' exhibits.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Morales was referred to Secondary at 6:32 a.m., see Secondary Inspection Report), and his inspection ended no later than 7:51 a.m., see Ex. T (CBP email exchange)). Factoring in the 45-minutes he spent in the waiting area, (Pl. 56.1 Statement ¶ 61), Morales was questioned for no more than 34 minutes.</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 w:name="Bookmark_fnpara_3"/>
      <w:bookmarkEnd w:id="19"/>
      <w:r>
        <w:rPr>
          <w:rFonts w:ascii="arial" w:eastAsia="arial" w:hAnsi="arial" w:cs="arial"/>
          <w:b w:val="0"/>
          <w:i w:val="0"/>
          <w:strike w:val="0"/>
          <w:noProof w:val="0"/>
          <w:color w:val="000000"/>
          <w:position w:val="0"/>
          <w:sz w:val="18"/>
          <w:u w:val="none"/>
          <w:vertAlign w:val="baseline"/>
        </w:rPr>
        <w:t>The record contains conflicting evidence regarding the manner of Morales's arrest: Morales testified that he was handcuffed immediately after being fingerprinted while still in the CBP's FIS area; SCBPO Hernandez testified that he had first escorted Morales and the NCPD detectives out of the FIS area before Morales was placed under arrest. (</w:t>
      </w:r>
      <w:r>
        <w:rPr>
          <w:rFonts w:ascii="arial" w:eastAsia="arial" w:hAnsi="arial" w:cs="arial"/>
          <w:b w:val="0"/>
          <w:i w:val="0"/>
          <w:strike w:val="0"/>
          <w:noProof w:val="0"/>
          <w:color w:val="000000"/>
          <w:position w:val="0"/>
          <w:sz w:val="18"/>
          <w:u w:val="single"/>
          <w:vertAlign w:val="baseline"/>
        </w:rPr>
        <w:t>Compare</w:t>
      </w:r>
      <w:r>
        <w:rPr>
          <w:rFonts w:ascii="arial" w:eastAsia="arial" w:hAnsi="arial" w:cs="arial"/>
          <w:b w:val="0"/>
          <w:i w:val="0"/>
          <w:strike w:val="0"/>
          <w:noProof w:val="0"/>
          <w:color w:val="000000"/>
          <w:position w:val="0"/>
          <w:sz w:val="18"/>
          <w:u w:val="none"/>
          <w:vertAlign w:val="baseline"/>
        </w:rPr>
        <w:t xml:space="preserve"> Morales Dep. 73:3-14, with Hernandez Dep. 174:23-175:14.) During oral argument, Defendants conceded that—for the purpose of this motion—Morales was arrested on CBP premises.</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0" w:name="Bookmark_fnpara_4"/>
      <w:bookmarkEnd w:id="20"/>
      <w:r>
        <w:rPr>
          <w:rFonts w:ascii="arial" w:eastAsia="arial" w:hAnsi="arial" w:cs="arial"/>
          <w:b w:val="0"/>
          <w:i w:val="0"/>
          <w:strike w:val="0"/>
          <w:noProof w:val="0"/>
          <w:color w:val="000000"/>
          <w:position w:val="0"/>
          <w:sz w:val="18"/>
          <w:u w:val="none"/>
          <w:vertAlign w:val="baseline"/>
        </w:rPr>
        <w:t>In his opposition papers, Morales claims that he was falsely jailed for eight months.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Pl. 56.1 Statement 76.) This appears to be an overstatement, as Morales evidently factored in the additional months between his release on bail and when his charges were formally dropped.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P1. 56.1 Statement ¶¶ 71, 75 (noting that Morales was released on bail on March 2, 2017, which is less than five months after his arrest on October 20, 2016, although the charges were not dropped until June 5, 2017).)</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2" w:name="Bookmark_fnpara_5"/>
      <w:bookmarkEnd w:id="22"/>
      <w:r>
        <w:rPr>
          <w:rFonts w:ascii="arial" w:eastAsia="arial" w:hAnsi="arial" w:cs="arial"/>
          <w:b w:val="0"/>
          <w:i w:val="0"/>
          <w:strike w:val="0"/>
          <w:noProof w:val="0"/>
          <w:color w:val="000000"/>
          <w:position w:val="0"/>
          <w:sz w:val="18"/>
          <w:u w:val="none"/>
          <w:vertAlign w:val="baseline"/>
        </w:rPr>
        <w:t>Although not relevant to his federal claims, Morales's deposition testimony discloses additional grievances against the NCPD detectives, (</w:t>
      </w:r>
      <w:r>
        <w:rPr>
          <w:rFonts w:ascii="arial" w:eastAsia="arial" w:hAnsi="arial" w:cs="arial"/>
          <w:b w:val="0"/>
          <w:i w:val="0"/>
          <w:strike w:val="0"/>
          <w:noProof w:val="0"/>
          <w:color w:val="000000"/>
          <w:position w:val="0"/>
          <w:sz w:val="18"/>
          <w:u w:val="single"/>
          <w:vertAlign w:val="baseline"/>
        </w:rPr>
        <w:t>see. e.g.</w:t>
      </w:r>
      <w:r>
        <w:rPr>
          <w:rFonts w:ascii="arial" w:eastAsia="arial" w:hAnsi="arial" w:cs="arial"/>
          <w:b w:val="0"/>
          <w:i w:val="0"/>
          <w:strike w:val="0"/>
          <w:noProof w:val="0"/>
          <w:color w:val="000000"/>
          <w:position w:val="0"/>
          <w:sz w:val="18"/>
          <w:u w:val="none"/>
          <w:vertAlign w:val="baseline"/>
        </w:rPr>
        <w:t xml:space="preserve">, Morales Dep. 102:24-103:14); Morales currently has a parallel proceeding against NCPD pending in state court. </w:t>
      </w:r>
      <w:r>
        <w:rPr>
          <w:rFonts w:ascii="arial" w:eastAsia="arial" w:hAnsi="arial" w:cs="arial"/>
          <w:b w:val="0"/>
          <w:i w:val="0"/>
          <w:strike w:val="0"/>
          <w:noProof w:val="0"/>
          <w:color w:val="000000"/>
          <w:position w:val="0"/>
          <w:sz w:val="18"/>
          <w:u w:val="single"/>
          <w:vertAlign w:val="baseline"/>
        </w:rPr>
        <w:t xml:space="preserve">See </w:t>
      </w:r>
      <w:r>
        <w:rPr>
          <w:rFonts w:ascii="arial" w:eastAsia="arial" w:hAnsi="arial" w:cs="arial"/>
          <w:b w:val="0"/>
          <w:i w:val="0"/>
          <w:strike w:val="0"/>
          <w:noProof w:val="0"/>
          <w:color w:val="000000"/>
          <w:position w:val="0"/>
          <w:sz w:val="18"/>
          <w:u w:val="single"/>
          <w:vertAlign w:val="baseline"/>
        </w:rPr>
        <w:t>Morales v. Nassau Cnty. Police Dep't</w:t>
      </w:r>
      <w:r>
        <w:rPr>
          <w:rFonts w:ascii="arial" w:eastAsia="arial" w:hAnsi="arial" w:cs="arial"/>
          <w:b w:val="0"/>
          <w:i w:val="0"/>
          <w:strike w:val="0"/>
          <w:noProof w:val="0"/>
          <w:color w:val="000000"/>
          <w:position w:val="0"/>
          <w:sz w:val="18"/>
          <w:u w:val="none"/>
          <w:vertAlign w:val="baseline"/>
        </w:rPr>
        <w:t>, No. 700742/2018 (N.Y. Sup. Ct. 2018).</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1" w:name="Bookmark_fnpara_6"/>
      <w:bookmarkEnd w:id="31"/>
      <w:r>
        <w:rPr>
          <w:rFonts w:ascii="arial" w:eastAsia="arial" w:hAnsi="arial" w:cs="arial"/>
          <w:b w:val="0"/>
          <w:i w:val="0"/>
          <w:strike w:val="0"/>
          <w:noProof w:val="0"/>
          <w:color w:val="000000"/>
          <w:position w:val="0"/>
          <w:sz w:val="18"/>
          <w:u w:val="none"/>
          <w:vertAlign w:val="baseline"/>
        </w:rPr>
        <w:t xml:space="preserve">Although I express no view on the third element, I note that the Second Circuit has previously suggested that some level of confinement and compulsory questioning "inheres in" the context of arriving at an American airport, and so a traveler seeking entry into the United States arguably "voluntarily submit[s] to some degree of confinement and restraint by approaching the border." </w:t>
      </w:r>
      <w:hyperlink r:id="rId1" w:history="1">
        <w:r>
          <w:rPr>
            <w:rFonts w:ascii="arial" w:eastAsia="arial" w:hAnsi="arial" w:cs="arial"/>
            <w:b w:val="0"/>
            <w:i/>
            <w:strike w:val="0"/>
            <w:noProof w:val="0"/>
            <w:color w:val="0077CC"/>
            <w:position w:val="0"/>
            <w:sz w:val="18"/>
            <w:u w:val="single"/>
            <w:vertAlign w:val="baseline"/>
          </w:rPr>
          <w:t>United States v. FNU LNU</w:t>
        </w:r>
      </w:hyperlink>
      <w:hyperlink r:id="rId1" w:history="1">
        <w:r>
          <w:rPr>
            <w:rFonts w:ascii="arial" w:eastAsia="arial" w:hAnsi="arial" w:cs="arial"/>
            <w:b w:val="0"/>
            <w:i/>
            <w:strike w:val="0"/>
            <w:noProof w:val="0"/>
            <w:color w:val="0077CC"/>
            <w:position w:val="0"/>
            <w:sz w:val="18"/>
            <w:u w:val="single"/>
            <w:vertAlign w:val="baseline"/>
          </w:rPr>
          <w:t>, 653 F.3d 144, 153-54 (2d Cir. 2011)</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7" w:name="Bookmark_fnpara_7"/>
      <w:bookmarkEnd w:id="57"/>
      <w:r>
        <w:rPr>
          <w:rFonts w:ascii="arial" w:eastAsia="arial" w:hAnsi="arial" w:cs="arial"/>
          <w:b w:val="0"/>
          <w:i w:val="0"/>
          <w:strike w:val="0"/>
          <w:noProof w:val="0"/>
          <w:color w:val="000000"/>
          <w:position w:val="0"/>
          <w:sz w:val="18"/>
          <w:u w:val="none"/>
          <w:vertAlign w:val="baseline"/>
        </w:rPr>
        <w:t>During oral argument, Morales also suggested that CBP's fingerprinting could form a basis for assault. This is incorrect. Because fingerprinting involves actual physical contact, the more appropriate cause of action is battery. As discussed, the elements of a battery claim are not satisfied.</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0" w:name="Bookmark_fnpara_8"/>
      <w:bookmarkEnd w:id="90"/>
      <w:r>
        <w:rPr>
          <w:rFonts w:ascii="arial" w:eastAsia="arial" w:hAnsi="arial" w:cs="arial"/>
          <w:b w:val="0"/>
          <w:i w:val="0"/>
          <w:strike w:val="0"/>
          <w:noProof w:val="0"/>
          <w:color w:val="000000"/>
          <w:position w:val="0"/>
          <w:sz w:val="18"/>
          <w:u w:val="none"/>
          <w:vertAlign w:val="baseline"/>
        </w:rPr>
        <w:t xml:space="preserve">Because I conclude that Morales cannot maintain any of his </w:t>
      </w:r>
      <w:hyperlink r:id="rId2" w:history="1">
        <w:r>
          <w:rPr>
            <w:rFonts w:ascii="arial" w:eastAsia="arial" w:hAnsi="arial" w:cs="arial"/>
            <w:b w:val="0"/>
            <w:i/>
            <w:strike w:val="0"/>
            <w:noProof w:val="0"/>
            <w:color w:val="0077CC"/>
            <w:position w:val="0"/>
            <w:sz w:val="18"/>
            <w:u w:val="single"/>
            <w:vertAlign w:val="baseline"/>
          </w:rPr>
          <w:t>Bivens</w:t>
        </w:r>
      </w:hyperlink>
      <w:r>
        <w:rPr>
          <w:rFonts w:ascii="arial" w:eastAsia="arial" w:hAnsi="arial" w:cs="arial"/>
          <w:b w:val="0"/>
          <w:i w:val="0"/>
          <w:strike w:val="0"/>
          <w:noProof w:val="0"/>
          <w:color w:val="000000"/>
          <w:position w:val="0"/>
          <w:sz w:val="18"/>
          <w:u w:val="none"/>
          <w:vertAlign w:val="baseline"/>
        </w:rPr>
        <w:t xml:space="preserve"> claims, I do not reach the merits of those constitutional claims or the issue of qualified immunity.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Defs. Mem. 39-50.) Moreover, since I conclude that Morales's </w:t>
      </w:r>
      <w:hyperlink r:id="rId2" w:history="1">
        <w:r>
          <w:rPr>
            <w:rFonts w:ascii="arial" w:eastAsia="arial" w:hAnsi="arial" w:cs="arial"/>
            <w:b w:val="0"/>
            <w:i/>
            <w:strike w:val="0"/>
            <w:noProof w:val="0"/>
            <w:color w:val="0077CC"/>
            <w:position w:val="0"/>
            <w:sz w:val="18"/>
            <w:u w:val="single"/>
            <w:vertAlign w:val="baseline"/>
          </w:rPr>
          <w:t>Bivens</w:t>
        </w:r>
      </w:hyperlink>
      <w:r>
        <w:rPr>
          <w:rFonts w:ascii="arial" w:eastAsia="arial" w:hAnsi="arial" w:cs="arial"/>
          <w:b w:val="0"/>
          <w:i w:val="0"/>
          <w:strike w:val="0"/>
          <w:noProof w:val="0"/>
          <w:color w:val="000000"/>
          <w:position w:val="0"/>
          <w:sz w:val="18"/>
          <w:u w:val="none"/>
          <w:vertAlign w:val="baseline"/>
        </w:rPr>
        <w:t xml:space="preserve"> claims fail as to all three Individual CBP Officers, I do not consider the additional argument Defendants raised with respect to Officer Ezeigbo.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47.)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Morales v. United States, 2023 U.S. Dist. LEXIS 29837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0HP-WNV1-JBM1-M0G4-00000-00&amp;context=1519360" TargetMode="External" /><Relationship Id="rId11" Type="http://schemas.openxmlformats.org/officeDocument/2006/relationships/hyperlink" Target="https://advance.lexis.com/api/document?collection=statutes-legislation&amp;id=urn:contentItem:8SG9-5HW2-D6RV-H0GM-00000-00&amp;context=1519360" TargetMode="External" /><Relationship Id="rId12" Type="http://schemas.openxmlformats.org/officeDocument/2006/relationships/hyperlink" Target="https://advance.lexis.com/api/document?collection=cases&amp;id=urn:contentItem:3S4X-DF70-003B-S21D-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statutes-legislation&amp;id=urn:contentItem:8T9R-T3X2-8T6X-731X-00000-00&amp;context=1519360" TargetMode="External" /><Relationship Id="rId15" Type="http://schemas.openxmlformats.org/officeDocument/2006/relationships/hyperlink" Target="https://advance.lexis.com/api/document?collection=statutes-legislation&amp;id=urn:contentItem:8T9R-T4F2-D6RV-H37N-00000-00&amp;context=1519360" TargetMode="External" /><Relationship Id="rId16" Type="http://schemas.openxmlformats.org/officeDocument/2006/relationships/hyperlink" Target="https://advance.lexis.com/api/document?collection=statutes-legislation&amp;id=urn:contentItem:5GYC-2421-6N19-F165-00000-00&amp;context=1519360" TargetMode="External" /><Relationship Id="rId17" Type="http://schemas.openxmlformats.org/officeDocument/2006/relationships/hyperlink" Target="https://advance.lexis.com/api/document?collection=cases&amp;id=urn:contentItem:42NH-12G0-0038-X1GM-00000-00&amp;context=1519360" TargetMode="External" /><Relationship Id="rId18" Type="http://schemas.openxmlformats.org/officeDocument/2006/relationships/hyperlink" Target="https://advance.lexis.com/api/document?collection=cases&amp;id=urn:contentItem:3S4X-6H80-0039-N37M-00000-00&amp;context=1519360" TargetMode="External" /><Relationship Id="rId19" Type="http://schemas.openxmlformats.org/officeDocument/2006/relationships/hyperlink" Target="https://advance.lexis.com/api/document?collection=cases&amp;id=urn:contentItem:5YD1-M861-JFDC-X3J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HC0-0039-N37R-00000-00&amp;context=1519360" TargetMode="External" /><Relationship Id="rId21" Type="http://schemas.openxmlformats.org/officeDocument/2006/relationships/hyperlink" Target="https://advance.lexis.com/api/document?collection=cases&amp;id=urn:contentItem:53BK-PRP1-JCNH-V089-00000-00&amp;context=1519360" TargetMode="External" /><Relationship Id="rId22" Type="http://schemas.openxmlformats.org/officeDocument/2006/relationships/hyperlink" Target="https://advance.lexis.com/api/document?collection=cases&amp;id=urn:contentItem:4CCH-B4M0-0038-X077-00000-00&amp;context=1519360" TargetMode="External" /><Relationship Id="rId23" Type="http://schemas.openxmlformats.org/officeDocument/2006/relationships/hyperlink" Target="https://advance.lexis.com/api/document?collection=cases&amp;id=urn:contentItem:4SNH-9HN0-TXFX-42DY-00000-00&amp;context=1519360" TargetMode="External" /><Relationship Id="rId24" Type="http://schemas.openxmlformats.org/officeDocument/2006/relationships/hyperlink" Target="https://advance.lexis.com/api/document?collection=cases&amp;id=urn:contentItem:6415-CF91-JKPJ-G07F-00000-00&amp;context=1519360" TargetMode="External" /><Relationship Id="rId25" Type="http://schemas.openxmlformats.org/officeDocument/2006/relationships/hyperlink" Target="https://advance.lexis.com/api/document?collection=cases&amp;id=urn:contentItem:3S4X-1RM0-006F-M52M-00000-00&amp;context=1519360" TargetMode="External" /><Relationship Id="rId26" Type="http://schemas.openxmlformats.org/officeDocument/2006/relationships/hyperlink" Target="https://advance.lexis.com/api/document?collection=cases&amp;id=urn:contentItem:3S4X-4PN0-006F-M4HP-00000-00&amp;context=1519360" TargetMode="External" /><Relationship Id="rId27" Type="http://schemas.openxmlformats.org/officeDocument/2006/relationships/hyperlink" Target="https://advance.lexis.com/api/document?collection=statutes-legislation&amp;id=urn:contentItem:8SG9-5HW2-D6RV-H10D-00000-00&amp;context=1519360" TargetMode="External" /><Relationship Id="rId28" Type="http://schemas.openxmlformats.org/officeDocument/2006/relationships/hyperlink" Target="https://advance.lexis.com/api/document?collection=cases&amp;id=urn:contentItem:3S41-BSK0-003B-R3N1-00000-00&amp;context=1519360" TargetMode="External" /><Relationship Id="rId29" Type="http://schemas.openxmlformats.org/officeDocument/2006/relationships/hyperlink" Target="https://advance.lexis.com/api/document?collection=cases&amp;id=urn:contentItem:6233-8K21-F361-M2HH-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69B-CF81-F04K-J19K-00000-00&amp;context=1519360" TargetMode="External" /><Relationship Id="rId31" Type="http://schemas.openxmlformats.org/officeDocument/2006/relationships/hyperlink" Target="https://advance.lexis.com/api/document?collection=statutes-legislation&amp;id=urn:contentItem:8SG9-5HW2-D6RV-H10M-00000-00&amp;context=1519360" TargetMode="External" /><Relationship Id="rId32" Type="http://schemas.openxmlformats.org/officeDocument/2006/relationships/hyperlink" Target="https://advance.lexis.com/api/document?collection=statutes-legislation&amp;id=urn:contentItem:65HM-V3Y3-GXF6-855M-00000-00&amp;context=1519360" TargetMode="External" /><Relationship Id="rId33" Type="http://schemas.openxmlformats.org/officeDocument/2006/relationships/hyperlink" Target="https://advance.lexis.com/api/document?collection=cases&amp;id=urn:contentItem:3S4X-8NY0-008H-V14G-00000-00&amp;context=1519360" TargetMode="External" /><Relationship Id="rId34" Type="http://schemas.openxmlformats.org/officeDocument/2006/relationships/hyperlink" Target="https://advance.lexis.com/api/document?collection=cases&amp;id=urn:contentItem:3RRS-VNS0-003C-C2B9-00000-00&amp;context=1519360" TargetMode="External" /><Relationship Id="rId35" Type="http://schemas.openxmlformats.org/officeDocument/2006/relationships/hyperlink" Target="https://advance.lexis.com/api/document?collection=cases&amp;id=urn:contentItem:3RRS-BBB0-003C-F195-00000-00&amp;context=1519360" TargetMode="External" /><Relationship Id="rId36" Type="http://schemas.openxmlformats.org/officeDocument/2006/relationships/hyperlink" Target="https://advance.lexis.com/api/document?collection=cases&amp;id=urn:contentItem:5BM8-XTG1-F04F-03Y2-00000-00&amp;context=1519360" TargetMode="External" /><Relationship Id="rId37" Type="http://schemas.openxmlformats.org/officeDocument/2006/relationships/hyperlink" Target="https://advance.lexis.com/api/document?collection=cases&amp;id=urn:contentItem:82X9-TD91-652R-01GT-00000-00&amp;context=1519360" TargetMode="External" /><Relationship Id="rId38" Type="http://schemas.openxmlformats.org/officeDocument/2006/relationships/hyperlink" Target="https://advance.lexis.com/api/document?collection=cases&amp;id=urn:contentItem:3S4X-CSH0-003B-S254-00000-00&amp;context=1519360" TargetMode="External" /><Relationship Id="rId39" Type="http://schemas.openxmlformats.org/officeDocument/2006/relationships/hyperlink" Target="https://advance.lexis.com/api/document?collection=cases&amp;id=urn:contentItem:4C22-J760-004C-001V-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Y70-0039-N48D-00000-00&amp;context=1519360" TargetMode="External" /><Relationship Id="rId41" Type="http://schemas.openxmlformats.org/officeDocument/2006/relationships/hyperlink" Target="https://advance.lexis.com/api/document?collection=cases&amp;id=urn:contentItem:3S4W-XN60-003B-G46D-00000-00&amp;context=1519360" TargetMode="External" /><Relationship Id="rId42" Type="http://schemas.openxmlformats.org/officeDocument/2006/relationships/hyperlink" Target="https://advance.lexis.com/api/document?collection=cases&amp;id=urn:contentItem:4K8S-RD20-0038-X4NX-00000-00&amp;context=1519360" TargetMode="External" /><Relationship Id="rId43" Type="http://schemas.openxmlformats.org/officeDocument/2006/relationships/hyperlink" Target="https://advance.lexis.com/api/document?collection=cases&amp;id=urn:contentItem:4R74-BJT0-TXFX-42SD-00000-00&amp;context=1519360" TargetMode="External" /><Relationship Id="rId44" Type="http://schemas.openxmlformats.org/officeDocument/2006/relationships/hyperlink" Target="https://advance.lexis.com/api/document?collection=cases&amp;id=urn:contentItem:6590-G991-JNJT-B1FX-00000-00&amp;context=1519360" TargetMode="External" /><Relationship Id="rId45" Type="http://schemas.openxmlformats.org/officeDocument/2006/relationships/hyperlink" Target="https://advance.lexis.com/api/document?collection=cases&amp;id=urn:contentItem:5B67-B6D1-F04F-053T-00000-00&amp;context=1519360" TargetMode="External" /><Relationship Id="rId46" Type="http://schemas.openxmlformats.org/officeDocument/2006/relationships/hyperlink" Target="https://advance.lexis.com/api/document?collection=cases&amp;id=urn:contentItem:560B-39J1-F04F-007P-00000-00&amp;context=1519360" TargetMode="External" /><Relationship Id="rId47" Type="http://schemas.openxmlformats.org/officeDocument/2006/relationships/hyperlink" Target="https://advance.lexis.com/api/document?collection=cases&amp;id=urn:contentItem:3S4X-FJ40-003B-S09R-00000-00&amp;context=1519360" TargetMode="External" /><Relationship Id="rId48" Type="http://schemas.openxmlformats.org/officeDocument/2006/relationships/hyperlink" Target="https://advance.lexis.com/api/document?collection=cases&amp;id=urn:contentItem:4S92-2P00-TXFR-J37S-00000-00&amp;context=1519360" TargetMode="External" /><Relationship Id="rId49" Type="http://schemas.openxmlformats.org/officeDocument/2006/relationships/hyperlink" Target="https://advance.lexis.com/api/document?collection=cases&amp;id=urn:contentItem:4MWR-JYM0-TVW3-P2KM-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3TB-8M20-0038-X51B-00000-00&amp;context=1519360" TargetMode="External" /><Relationship Id="rId51" Type="http://schemas.openxmlformats.org/officeDocument/2006/relationships/hyperlink" Target="https://advance.lexis.com/api/document?collection=cases&amp;id=urn:contentItem:3S4N-86F0-003B-64BC-00000-00&amp;context=1519360" TargetMode="External" /><Relationship Id="rId52" Type="http://schemas.openxmlformats.org/officeDocument/2006/relationships/hyperlink" Target="https://advance.lexis.com/api/document?collection=cases&amp;id=urn:contentItem:3S4N-CJX0-001T-73J0-00000-00&amp;context=1519360" TargetMode="External" /><Relationship Id="rId53" Type="http://schemas.openxmlformats.org/officeDocument/2006/relationships/hyperlink" Target="https://advance.lexis.com/api/document?collection=cases&amp;id=urn:contentItem:56SK-51N1-F04J-710D-00000-00&amp;context=1519360" TargetMode="External" /><Relationship Id="rId54" Type="http://schemas.openxmlformats.org/officeDocument/2006/relationships/hyperlink" Target="https://advance.lexis.com/api/document?collection=cases&amp;id=urn:contentItem:5WRS-0Y61-JJ6S-63CS-00000-00&amp;context=1519360" TargetMode="External" /><Relationship Id="rId55" Type="http://schemas.openxmlformats.org/officeDocument/2006/relationships/hyperlink" Target="https://advance.lexis.com/api/document?collection=cases&amp;id=urn:contentItem:3S4X-5RV0-003B-P2P1-00000-00&amp;context=1519360" TargetMode="External" /><Relationship Id="rId56" Type="http://schemas.openxmlformats.org/officeDocument/2006/relationships/hyperlink" Target="https://advance.lexis.com/api/document?collection=cases&amp;id=urn:contentItem:3RRS-C8C0-003C-F1G4-00000-00&amp;context=1519360" TargetMode="External" /><Relationship Id="rId57" Type="http://schemas.openxmlformats.org/officeDocument/2006/relationships/hyperlink" Target="https://advance.lexis.com/api/document?collection=cases&amp;id=urn:contentItem:662M-6TS1-JKB3-X55D-00000-00&amp;context=1519360" TargetMode="External" /><Relationship Id="rId58" Type="http://schemas.openxmlformats.org/officeDocument/2006/relationships/hyperlink" Target="https://advance.lexis.com/api/document?collection=cases&amp;id=urn:contentItem:59CP-JTN1-F04K-J07S-00000-00&amp;context=1519360" TargetMode="External" /><Relationship Id="rId59" Type="http://schemas.openxmlformats.org/officeDocument/2006/relationships/hyperlink" Target="https://advance.lexis.com/api/document?collection=cases&amp;id=urn:contentItem:5J11-JKN1-F04F-045F-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GY0-75M1-F04F-00NB-00000-00&amp;context=1519360" TargetMode="External" /><Relationship Id="rId61" Type="http://schemas.openxmlformats.org/officeDocument/2006/relationships/hyperlink" Target="https://advance.lexis.com/api/document?collection=cases&amp;id=urn:contentItem:3S4X-4F80-006F-M3MW-00000-00&amp;context=1519360" TargetMode="External" /><Relationship Id="rId62" Type="http://schemas.openxmlformats.org/officeDocument/2006/relationships/hyperlink" Target="https://advance.lexis.com/api/document?collection=cases&amp;id=urn:contentItem:44PF-YD10-0038-X4BV-00000-00&amp;context=1519360" TargetMode="External" /><Relationship Id="rId63" Type="http://schemas.openxmlformats.org/officeDocument/2006/relationships/hyperlink" Target="https://advance.lexis.com/api/document?collection=cases&amp;id=urn:contentItem:628K-WSW1-JF75-M00M-00000-00&amp;context=1519360" TargetMode="External" /><Relationship Id="rId64" Type="http://schemas.openxmlformats.org/officeDocument/2006/relationships/hyperlink" Target="https://advance.lexis.com/api/document?collection=cases&amp;id=urn:contentItem:3Y4T-73C0-0038-Y0H7-00000-00&amp;context=1519360" TargetMode="External" /><Relationship Id="rId65" Type="http://schemas.openxmlformats.org/officeDocument/2006/relationships/hyperlink" Target="https://advance.lexis.com/api/document?collection=cases&amp;id=urn:contentItem:3VF9-HY70-0039-40JP-00000-00&amp;context=1519360" TargetMode="External" /><Relationship Id="rId66" Type="http://schemas.openxmlformats.org/officeDocument/2006/relationships/hyperlink" Target="https://advance.lexis.com/api/document?collection=cases&amp;id=urn:contentItem:4H9S-90Y0-0038-Y44S-00000-00&amp;context=1519360" TargetMode="External" /><Relationship Id="rId67" Type="http://schemas.openxmlformats.org/officeDocument/2006/relationships/hyperlink" Target="https://advance.lexis.com/api/document?collection=cases&amp;id=urn:contentItem:3S2R-51Y0-003V-B332-00000-00&amp;context=1519360" TargetMode="External" /><Relationship Id="rId68" Type="http://schemas.openxmlformats.org/officeDocument/2006/relationships/hyperlink" Target="https://advance.lexis.com/api/document?collection=cases&amp;id=urn:contentItem:3S2R-7HT0-003V-B410-00000-00&amp;context=1519360" TargetMode="External" /><Relationship Id="rId69" Type="http://schemas.openxmlformats.org/officeDocument/2006/relationships/hyperlink" Target="https://advance.lexis.com/api/document?collection=cases&amp;id=urn:contentItem:4P18-FTM0-0038-X3N5-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WV1-KPH1-JWJ0-G1SX-00000-00&amp;context=1519360" TargetMode="External" /><Relationship Id="rId71" Type="http://schemas.openxmlformats.org/officeDocument/2006/relationships/hyperlink" Target="https://advance.lexis.com/api/document?collection=cases&amp;id=urn:contentItem:5G92-CNK1-F04J-7032-00000-00&amp;context=1519360" TargetMode="External" /><Relationship Id="rId72" Type="http://schemas.openxmlformats.org/officeDocument/2006/relationships/hyperlink" Target="https://advance.lexis.com/api/document?collection=cases&amp;id=urn:contentItem:3S4X-8400-003B-S1CW-00000-00&amp;context=1519360" TargetMode="External" /><Relationship Id="rId73" Type="http://schemas.openxmlformats.org/officeDocument/2006/relationships/hyperlink" Target="https://advance.lexis.com/api/document?collection=statutes-legislation&amp;id=urn:contentItem:8T9R-T502-8T6X-7323-00000-00&amp;context=1519360" TargetMode="External" /><Relationship Id="rId74" Type="http://schemas.openxmlformats.org/officeDocument/2006/relationships/hyperlink" Target="https://advance.lexis.com/api/document?collection=cases&amp;id=urn:contentItem:3S4X-7BW0-003B-S246-00000-00&amp;context=1519360" TargetMode="External" /><Relationship Id="rId75" Type="http://schemas.openxmlformats.org/officeDocument/2006/relationships/hyperlink" Target="https://advance.lexis.com/api/document?collection=cases&amp;id=urn:contentItem:5NTV-D8X1-F04K-F1MM-00000-00&amp;context=1519360" TargetMode="External" /><Relationship Id="rId76" Type="http://schemas.openxmlformats.org/officeDocument/2006/relationships/hyperlink" Target="https://advance.lexis.com/api/document?collection=cases&amp;id=urn:contentItem:65MW-FYT1-JC5P-G09X-00000-00&amp;context=1519360" TargetMode="External" /><Relationship Id="rId77" Type="http://schemas.openxmlformats.org/officeDocument/2006/relationships/hyperlink" Target="https://advance.lexis.com/api/document?collection=cases&amp;id=urn:contentItem:5Y92-04C1-JCRC-B14P-00000-00&amp;context=1519360" TargetMode="External" /><Relationship Id="rId78" Type="http://schemas.openxmlformats.org/officeDocument/2006/relationships/hyperlink" Target="https://advance.lexis.com/api/document?collection=cases&amp;id=urn:contentItem:5VT3-T791-JSJC-X03V-00000-00&amp;context=1519360" TargetMode="External" /><Relationship Id="rId79" Type="http://schemas.openxmlformats.org/officeDocument/2006/relationships/hyperlink" Target="https://advance.lexis.com/api/document?collection=cases&amp;id=urn:contentItem:6630-9511-JN14-G37K-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442-FTJ1-JK4W-M4MR-00000-00&amp;context=1519360" TargetMode="External" /><Relationship Id="rId81" Type="http://schemas.openxmlformats.org/officeDocument/2006/relationships/hyperlink" Target="https://advance.lexis.com/api/document?collection=cases&amp;id=urn:contentItem:5W01-J6Y1-FJDY-X4W4-00000-00&amp;context=1519360" TargetMode="External" /><Relationship Id="rId82" Type="http://schemas.openxmlformats.org/officeDocument/2006/relationships/hyperlink" Target="https://advance.lexis.com/api/document?collection=statutes-legislation&amp;id=urn:contentItem:8T9R-T2X2-D6RV-H374-00000-00&amp;context=1519360" TargetMode="External" /><Relationship Id="rId83" Type="http://schemas.openxmlformats.org/officeDocument/2006/relationships/hyperlink" Target="https://advance.lexis.com/api/document?collection=cases&amp;id=urn:contentItem:5T6H-SNR1-FFFC-B08T-00000-00&amp;context=1519360"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hyperlink" Target="https://advance.lexis.com/api/document?collection=cases&amp;id=urn:contentItem:67M8-67V1-FBN1-22N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82X9-TD91-652R-01GT-00000-00&amp;context=1519360" TargetMode="External" /><Relationship Id="rId2" Type="http://schemas.openxmlformats.org/officeDocument/2006/relationships/hyperlink" Target="https://advance.lexis.com/api/document?collection=cases&amp;id=urn:contentItem:3S4X-DF70-003B-S21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Morales v. United States, 2023 U.S. Dist. LEXIS 29837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Doc::urn:hlct:5|contextualFeaturePermID::1519360</vt:lpwstr>
  </property>
  <property fmtid="{D5CDD505-2E9C-101B-9397-08002B2CF9AE}" pid="5" name="UserPermID">
    <vt:lpwstr>urn:user:PA186186283</vt:lpwstr>
  </property>
</Properties>
</file>