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Freeman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Sixth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21-4193</w:t>
      </w:r>
    </w:p>
    <w:p>
      <w:pPr>
        <w:keepNext w:val="0"/>
        <w:spacing w:after="0" w:line="240" w:lineRule="atLeast"/>
        <w:ind w:right="0"/>
        <w:jc w:val="both"/>
      </w:pPr>
      <w:bookmarkStart w:id="0" w:name="Bookmark_6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33518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DAMERISSE J. FREEMAN,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CONSULT </w:t>
      </w:r>
      <w:r>
        <w:rPr>
          <w:rFonts w:ascii="arial" w:eastAsia="arial" w:hAnsi="arial" w:cs="arial"/>
          <w:b w:val="0"/>
          <w:i/>
          <w:strike w:val="0"/>
          <w:noProof w:val="0"/>
          <w:color w:val="000000"/>
          <w:position w:val="0"/>
          <w:sz w:val="20"/>
          <w:u w:val="none"/>
          <w:vertAlign w:val="baseline"/>
        </w:rPr>
        <w:t>6TH CIR. R. 32.1</w:t>
      </w:r>
      <w:r>
        <w:rPr>
          <w:rFonts w:ascii="arial" w:eastAsia="arial" w:hAnsi="arial" w:cs="arial"/>
          <w:b w:val="0"/>
          <w:i w:val="0"/>
          <w:strike w:val="0"/>
          <w:noProof w:val="0"/>
          <w:color w:val="000000"/>
          <w:position w:val="0"/>
          <w:sz w:val="20"/>
          <w:u w:val="none"/>
          <w:vertAlign w:val="baseline"/>
        </w:rPr>
        <w:t xml:space="preserve"> FOR CITATION OF UNPUBLISHED OPINIONS AND DECISIONS.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APPEAL FROM THE UNITED STATES DISTRICT COURT FOR THE NORTHERN DISTRICT OF OHIO.</w:t>
      </w:r>
    </w:p>
    <w:p>
      <w:pPr>
        <w:keepNext w:val="0"/>
        <w:spacing w:before="240" w:after="0" w:line="260" w:lineRule="atLeast"/>
        <w:ind w:left="0" w:right="0" w:firstLine="0"/>
        <w:jc w:val="left"/>
      </w:pPr>
      <w:r>
        <w:br/>
      </w:r>
      <w:hyperlink r:id="rId9" w:history="1">
        <w:r>
          <w:rPr>
            <w:rFonts w:ascii="arial" w:eastAsia="arial" w:hAnsi="arial" w:cs="arial"/>
            <w:b w:val="0"/>
            <w:i/>
            <w:strike w:val="0"/>
            <w:color w:val="0077CC"/>
            <w:sz w:val="20"/>
            <w:u w:val="single"/>
            <w:vertAlign w:val="baseline"/>
          </w:rPr>
          <w:t>United States v. Freeman, 2022 U.S. App. LEXIS 35357 (6th Cir., Dec. 21, 2022)</w:t>
        </w:r>
      </w:hyperlink>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district court, criminal history, marijuana, pretrial, assaulted, variance</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Proportionality &amp; Reasonableness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 xml:space="preserve">An appellate court reviews a district court's sentencing decision for substantive reasonableness under an abuse-of-discretion standard. A claim that a sentence is substantively unreasonable is a claim that a sentence is too long, if a defendant appeals, or too short, if the government appeals. A claim of substantive unreasonableness is a complaint that the court placed too much weight on some of the </w:t>
      </w:r>
      <w:hyperlink r:id="rId12" w:history="1">
        <w:r>
          <w:rPr>
            <w:rFonts w:ascii="arial" w:eastAsia="arial" w:hAnsi="arial" w:cs="arial"/>
            <w:b w:val="0"/>
            <w:i/>
            <w:strike w:val="0"/>
            <w:noProof w:val="0"/>
            <w:color w:val="0077CC"/>
            <w:position w:val="0"/>
            <w:sz w:val="20"/>
            <w:u w:val="single"/>
            <w:vertAlign w:val="baseline"/>
          </w:rPr>
          <w:t>18 U.S.C.S. § 3553(a)</w:t>
        </w:r>
      </w:hyperlink>
      <w:r>
        <w:rPr>
          <w:rFonts w:ascii="arial" w:eastAsia="arial" w:hAnsi="arial" w:cs="arial"/>
          <w:b w:val="0"/>
          <w:i w:val="0"/>
          <w:strike w:val="0"/>
          <w:noProof w:val="0"/>
          <w:color w:val="000000"/>
          <w:position w:val="0"/>
          <w:sz w:val="20"/>
          <w:u w:val="none"/>
          <w:vertAlign w:val="baseline"/>
        </w:rPr>
        <w:t xml:space="preserve"> factors and too little on others in sentencing the individual. While an above-guidelines sentence erases any presumption of reasonableness, it does not trigger a presumption of unreasonableness. A major departure should be supported by a more significant justification than a minor one.</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 xml:space="preserve">The advisory guidelines allow for variances, up or down, based on case-specific circumstances. Pretrial conduct is an appropriate consideration under </w:t>
      </w:r>
      <w:hyperlink r:id="rId12" w:history="1">
        <w:r>
          <w:rPr>
            <w:rFonts w:ascii="arial" w:eastAsia="arial" w:hAnsi="arial" w:cs="arial"/>
            <w:b w:val="0"/>
            <w:i/>
            <w:strike w:val="0"/>
            <w:noProof w:val="0"/>
            <w:color w:val="0077CC"/>
            <w:position w:val="0"/>
            <w:sz w:val="20"/>
            <w:u w:val="single"/>
            <w:vertAlign w:val="baseline"/>
          </w:rPr>
          <w:t>18 U.S.C.S. § 3553(a)</w:t>
        </w:r>
      </w:hyperlink>
      <w:r>
        <w:rPr>
          <w:rFonts w:ascii="arial" w:eastAsia="arial" w:hAnsi="arial" w:cs="arial"/>
          <w:b w:val="0"/>
          <w:i w:val="0"/>
          <w:strike w:val="0"/>
          <w:noProof w:val="0"/>
          <w:color w:val="000000"/>
          <w:position w:val="0"/>
          <w:sz w:val="20"/>
          <w:u w:val="none"/>
          <w:vertAlign w:val="baseline"/>
        </w:rPr>
        <w:t xml:space="preserve"> because it is relevant to the history and characteristics of the defendant, and to the need for the sentence to promote respect for the law.</w:t>
      </w:r>
    </w:p>
    <w:p>
      <w:pPr>
        <w:keepNext w:val="0"/>
        <w:spacing w:before="240" w:after="0" w:line="260" w:lineRule="atLeast"/>
        <w:ind w:left="0" w:right="0" w:firstLine="0"/>
        <w:jc w:val="left"/>
      </w:pPr>
      <w:bookmarkStart w:id="12" w:name="Counsel"/>
      <w:bookmarkEnd w:id="1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Aaron Paul Howell, Office of the U.S. Attorney, Akron, OH.</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DAMERISSE J. FREEMAN, Defendant - Appellant: Nathan A. Ray, Law Offices, Akron, OH.</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DAMERISSE J. FREEMAN, Defendant - Appellant, Pro se, Lyndhurst, OH.</w:t>
      </w:r>
    </w:p>
    <w:p>
      <w:pPr>
        <w:keepNext w:val="0"/>
        <w:spacing w:before="240" w:after="0" w:line="260" w:lineRule="atLeast"/>
        <w:ind w:left="0" w:right="0" w:firstLine="0"/>
        <w:jc w:val="left"/>
      </w:pPr>
      <w:bookmarkStart w:id="13" w:name="Judges"/>
      <w:bookmarkEnd w:id="1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SUTTON, Chief Judge; SUHRHEINRICH and DAVIS, Circuit Judges.</w:t>
      </w:r>
    </w:p>
    <w:p>
      <w:pPr>
        <w:keepNext/>
        <w:spacing w:before="240" w:after="0" w:line="340" w:lineRule="atLeast"/>
        <w:ind w:left="0" w:right="0" w:firstLine="0"/>
        <w:jc w:val="left"/>
      </w:pPr>
      <w:bookmarkStart w:id="14" w:name="Opinion"/>
      <w:bookmarkEnd w:id="14"/>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0"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15" w:name="Bookmark_para_3"/>
      <w:bookmarkEnd w:id="15"/>
      <w:r>
        <w:rPr>
          <w:rFonts w:ascii="arial" w:eastAsia="arial" w:hAnsi="arial" w:cs="arial"/>
          <w:b w:val="0"/>
          <w:i w:val="0"/>
          <w:strike w:val="0"/>
          <w:noProof w:val="0"/>
          <w:color w:val="000000"/>
          <w:position w:val="0"/>
          <w:sz w:val="20"/>
          <w:u w:val="none"/>
          <w:vertAlign w:val="baseline"/>
        </w:rPr>
        <w:t xml:space="preserve">Damerisse J. Freeman, proceeding through counsel, appeals his 87-month prison sentence. The parties have waived oral argument, and the panel unanimously agrees that oral argument is not needed.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 R. App. P. 34(a)</w:t>
      </w:r>
      <w:r>
        <w:rPr>
          <w:rFonts w:ascii="arial" w:eastAsia="arial" w:hAnsi="arial" w:cs="arial"/>
          <w:b w:val="0"/>
          <w:i w:val="0"/>
          <w:strike w:val="0"/>
          <w:noProof w:val="0"/>
          <w:color w:val="000000"/>
          <w:position w:val="0"/>
          <w:sz w:val="20"/>
          <w:u w:val="none"/>
          <w:vertAlign w:val="baseline"/>
        </w:rPr>
        <w:t>. Because Freeman has not shown that his sentence is unreasonable, we affirm.</w:t>
      </w:r>
    </w:p>
    <w:p>
      <w:pPr>
        <w:keepNext w:val="0"/>
        <w:spacing w:before="200" w:after="0" w:line="260" w:lineRule="atLeast"/>
        <w:ind w:left="0" w:right="0" w:firstLine="0"/>
        <w:jc w:val="both"/>
      </w:pPr>
      <w:bookmarkStart w:id="16" w:name="Bookmark_para_4"/>
      <w:bookmarkEnd w:id="16"/>
      <w:r>
        <w:rPr>
          <w:rFonts w:ascii="arial" w:eastAsia="arial" w:hAnsi="arial" w:cs="arial"/>
          <w:b w:val="0"/>
          <w:i w:val="0"/>
          <w:strike w:val="0"/>
          <w:noProof w:val="0"/>
          <w:color w:val="000000"/>
          <w:position w:val="0"/>
          <w:sz w:val="20"/>
          <w:u w:val="none"/>
          <w:vertAlign w:val="baseline"/>
        </w:rPr>
        <w:t xml:space="preserve">In January 2021, Freeman pled guilty to one count of possessing a firearm as a convicted felon, in violation of </w:t>
      </w:r>
      <w:hyperlink r:id="rId14" w:history="1">
        <w:r>
          <w:rPr>
            <w:rFonts w:ascii="arial" w:eastAsia="arial" w:hAnsi="arial" w:cs="arial"/>
            <w:b w:val="0"/>
            <w:i/>
            <w:strike w:val="0"/>
            <w:noProof w:val="0"/>
            <w:color w:val="0077CC"/>
            <w:position w:val="0"/>
            <w:sz w:val="20"/>
            <w:u w:val="single"/>
            <w:vertAlign w:val="baseline"/>
          </w:rPr>
          <w:t>18 U.S.C. § 922(g)(1)</w:t>
        </w:r>
      </w:hyperlink>
      <w:r>
        <w:rPr>
          <w:rFonts w:ascii="arial" w:eastAsia="arial" w:hAnsi="arial" w:cs="arial"/>
          <w:b w:val="0"/>
          <w:i w:val="0"/>
          <w:strike w:val="0"/>
          <w:noProof w:val="0"/>
          <w:color w:val="000000"/>
          <w:position w:val="0"/>
          <w:sz w:val="20"/>
          <w:u w:val="none"/>
          <w:vertAlign w:val="baseline"/>
        </w:rPr>
        <w:t>. A probation officer prepared a presentence report (PSR) that included details about Freeman's pretrial conduct at Northeast Ohio Corrections Center (NEOCC). According to NEOCC incident reports, on three different dates, Freeman possessed marijuana. The last incident report also noted that Freeman assaulted a correctional officer, Captain William Harrell, when attempting to dispose of the marijuana.</w:t>
      </w:r>
      <w:r>
        <w:rPr>
          <w:rFonts w:ascii="arial" w:eastAsia="arial" w:hAnsi="arial" w:cs="arial"/>
          <w:b/>
          <w:i w:val="0"/>
          <w:strike w:val="0"/>
          <w:noProof w:val="0"/>
          <w:color w:val="000000"/>
          <w:position w:val="0"/>
          <w:sz w:val="20"/>
          <w:u w:val="none"/>
          <w:vertAlign w:val="baseline"/>
        </w:rPr>
        <w:t> [*2] </w:t>
      </w:r>
    </w:p>
    <w:p>
      <w:pPr>
        <w:keepNext w:val="0"/>
        <w:spacing w:before="200" w:after="0" w:line="260" w:lineRule="atLeast"/>
        <w:ind w:left="0" w:right="0" w:firstLine="0"/>
        <w:jc w:val="both"/>
      </w:pPr>
      <w:bookmarkStart w:id="17" w:name="Bookmark_para_5"/>
      <w:bookmarkEnd w:id="17"/>
      <w:r>
        <w:rPr>
          <w:rFonts w:ascii="arial" w:eastAsia="arial" w:hAnsi="arial" w:cs="arial"/>
          <w:b w:val="0"/>
          <w:i w:val="0"/>
          <w:strike w:val="0"/>
          <w:noProof w:val="0"/>
          <w:color w:val="000000"/>
          <w:position w:val="0"/>
          <w:sz w:val="20"/>
          <w:u w:val="none"/>
          <w:vertAlign w:val="baseline"/>
        </w:rPr>
        <w:t>Freeman objected that he was not involved in one of the marijuana possession incidents. At the sentencing hearing, Freeman also objected to the assertion that he assaulted Harrell. The court continued the hearing to resolve the matter. The court told the parties that it would consider an upward variance related to Freeman's criminal history and conduct while in custody.</w:t>
      </w:r>
    </w:p>
    <w:p>
      <w:pPr>
        <w:keepNext w:val="0"/>
        <w:spacing w:before="200" w:after="0" w:line="260" w:lineRule="atLeast"/>
        <w:ind w:left="0" w:right="0" w:firstLine="0"/>
        <w:jc w:val="both"/>
      </w:pPr>
      <w:bookmarkStart w:id="18" w:name="Bookmark_para_6"/>
      <w:bookmarkEnd w:id="18"/>
      <w:r>
        <w:rPr>
          <w:rFonts w:ascii="arial" w:eastAsia="arial" w:hAnsi="arial" w:cs="arial"/>
          <w:b w:val="0"/>
          <w:i w:val="0"/>
          <w:strike w:val="0"/>
          <w:noProof w:val="0"/>
          <w:color w:val="000000"/>
          <w:position w:val="0"/>
          <w:sz w:val="20"/>
          <w:u w:val="none"/>
          <w:vertAlign w:val="baseline"/>
        </w:rPr>
        <w:t>At the continued sentencing hearing, the district court noted that, after adjusting for acceptance of responsibility, Freeman's total offense level was 19. When combined with his criminal history category V, Freeman's guideline range was 57 to 71 months. Harrell then testified, explaining that he brought Freeman into a search cell after smelling marijuana and that Freeman removed a package from his buttocks, later determined to be marijuana. Harrell then ordered the water to be shut off so that Freeman could not flush the package down the toilet. While waiting for the water to turn off, Harrell guarded the toilet. Freeman then "bull rushed" Harrell and kneed him in the groin area trying to get to the toilet. Harrell testified that he suffered a groin/abdominal tear that required hospital attention. He missed work for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two weeks and had lingering urological impairment for almost two months. He also testified that Freeman apologized for his conduct and said that he did not intend to hurt him.</w:t>
      </w:r>
    </w:p>
    <w:p>
      <w:pPr>
        <w:keepNext w:val="0"/>
        <w:spacing w:before="200" w:after="0" w:line="260" w:lineRule="atLeast"/>
        <w:ind w:left="0" w:right="0" w:firstLine="0"/>
        <w:jc w:val="both"/>
      </w:pPr>
      <w:bookmarkStart w:id="19" w:name="Bookmark_para_7"/>
      <w:bookmarkEnd w:id="19"/>
      <w:r>
        <w:rPr>
          <w:rFonts w:ascii="arial" w:eastAsia="arial" w:hAnsi="arial" w:cs="arial"/>
          <w:b w:val="0"/>
          <w:i w:val="0"/>
          <w:strike w:val="0"/>
          <w:noProof w:val="0"/>
          <w:color w:val="000000"/>
          <w:position w:val="0"/>
          <w:sz w:val="20"/>
          <w:u w:val="none"/>
          <w:vertAlign w:val="baseline"/>
        </w:rPr>
        <w:t>Freeman objected to the district court's consideration of this conduct, arguing that he did not have the requisite intent to be guilty of the underlying jail misconduct. The court determined that the conduct was relevant to Freeman's sentencing because Freeman assaulted an officer and the officer sustained injuries. The court did sustain Freeman's objection as to one marijuana possession incident.</w:t>
      </w:r>
    </w:p>
    <w:p>
      <w:pPr>
        <w:keepNext w:val="0"/>
        <w:spacing w:before="200" w:after="0" w:line="260" w:lineRule="atLeast"/>
        <w:ind w:left="0" w:right="0" w:firstLine="0"/>
        <w:jc w:val="both"/>
      </w:pPr>
      <w:bookmarkStart w:id="20" w:name="Bookmark_para_8"/>
      <w:bookmarkEnd w:id="20"/>
      <w:r>
        <w:rPr>
          <w:rFonts w:ascii="arial" w:eastAsia="arial" w:hAnsi="arial" w:cs="arial"/>
          <w:b w:val="0"/>
          <w:i w:val="0"/>
          <w:strike w:val="0"/>
          <w:noProof w:val="0"/>
          <w:color w:val="000000"/>
          <w:position w:val="0"/>
          <w:sz w:val="20"/>
          <w:u w:val="none"/>
          <w:vertAlign w:val="baseline"/>
        </w:rPr>
        <w:t>Based on the pretrial conduct and Freeman's criminal history, the district court varied upwards two levels to offense level 21, resulting in a new guidelines range of 70 to 87 months' imprisonment. The court then sentenced Freeman to 87 months' imprisonment. On appeal, Freeman argues that his sentence is substantively unreasonable.</w:t>
      </w:r>
    </w:p>
    <w:p>
      <w:pPr>
        <w:keepNext w:val="0"/>
        <w:spacing w:before="240" w:after="0" w:line="260" w:lineRule="atLeast"/>
        <w:ind w:left="0" w:right="0" w:firstLine="0"/>
        <w:jc w:val="both"/>
      </w:pPr>
      <w:bookmarkStart w:id="21" w:name="Bookmark_para_9"/>
      <w:bookmarkEnd w:id="21"/>
      <w:bookmarkStart w:id="22" w:name="Bookmark_I69Y9PG22HM6KB0020000400"/>
      <w:bookmarkEnd w:id="22"/>
      <w:bookmarkStart w:id="23" w:name="Bookmark_I69Y9PG22HM6KB0040000400"/>
      <w:bookmarkEnd w:id="23"/>
      <w:bookmarkStart w:id="24" w:name="Bookmark_LNHNREFclscc1"/>
      <w:bookmarkEnd w:id="24"/>
      <w:hyperlink r:id="rId15"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1" type="#_x0000_t75" style="width:10.5pt;height:10.5pt">
              <v:imagedata r:id="rId16" o:title=""/>
            </v:shape>
          </w:pict>
        </w:r>
      </w:hyperlink>
      <w:r>
        <w:rPr>
          <w:rFonts w:ascii="arial" w:eastAsia="arial" w:hAnsi="arial" w:cs="arial"/>
          <w:b w:val="0"/>
          <w:i w:val="0"/>
          <w:strike w:val="0"/>
          <w:noProof w:val="0"/>
          <w:color w:val="000000"/>
          <w:position w:val="0"/>
          <w:sz w:val="20"/>
          <w:u w:val="none"/>
          <w:vertAlign w:val="baseline"/>
        </w:rPr>
        <w:t xml:space="preserve">] We review a district court's sentencing decision for substantive reasonableness under an abuse-of-discretion standard. </w:t>
      </w:r>
      <w:bookmarkStart w:id="25" w:name="Bookmark_I69Y9PG228T4BC0010000400"/>
      <w:bookmarkEnd w:id="25"/>
      <w:bookmarkStart w:id="26" w:name="Bookmark_I69Y9PG22HM6KB0010000400"/>
      <w:bookmarkEnd w:id="26"/>
      <w:hyperlink r:id="rId17" w:history="1">
        <w:r>
          <w:rPr>
            <w:rFonts w:ascii="arial" w:eastAsia="arial" w:hAnsi="arial" w:cs="arial"/>
            <w:b w:val="0"/>
            <w:i/>
            <w:strike w:val="0"/>
            <w:noProof w:val="0"/>
            <w:color w:val="0077CC"/>
            <w:position w:val="0"/>
            <w:sz w:val="20"/>
            <w:u w:val="single"/>
            <w:vertAlign w:val="baseline"/>
          </w:rPr>
          <w:t>United States v. Fleischer</w:t>
        </w:r>
      </w:hyperlink>
      <w:hyperlink r:id="rId17" w:history="1">
        <w:r>
          <w:rPr>
            <w:rFonts w:ascii="arial" w:eastAsia="arial" w:hAnsi="arial" w:cs="arial"/>
            <w:b w:val="0"/>
            <w:i/>
            <w:strike w:val="0"/>
            <w:noProof w:val="0"/>
            <w:color w:val="0077CC"/>
            <w:position w:val="0"/>
            <w:sz w:val="20"/>
            <w:u w:val="single"/>
            <w:vertAlign w:val="baseline"/>
          </w:rPr>
          <w:t>, 971 F.3d 559, 567 (6th Cir. 2020)</w:t>
        </w:r>
      </w:hyperlink>
      <w:r>
        <w:rPr>
          <w:rFonts w:ascii="arial" w:eastAsia="arial" w:hAnsi="arial" w:cs="arial"/>
          <w:b w:val="0"/>
          <w:i w:val="0"/>
          <w:strike w:val="0"/>
          <w:noProof w:val="0"/>
          <w:color w:val="000000"/>
          <w:position w:val="0"/>
          <w:sz w:val="20"/>
          <w:u w:val="none"/>
          <w:vertAlign w:val="baseline"/>
        </w:rPr>
        <w:t xml:space="preserve">. </w:t>
      </w:r>
      <w:bookmarkStart w:id="27" w:name="Bookmark_I69Y9PG228T4BC0030000400"/>
      <w:bookmarkEnd w:id="27"/>
      <w:r>
        <w:rPr>
          <w:rFonts w:ascii="arial" w:eastAsia="arial" w:hAnsi="arial" w:cs="arial"/>
          <w:b w:val="0"/>
          <w:i w:val="0"/>
          <w:strike w:val="0"/>
          <w:noProof w:val="0"/>
          <w:color w:val="000000"/>
          <w:position w:val="0"/>
          <w:sz w:val="20"/>
          <w:u w:val="none"/>
          <w:vertAlign w:val="baseline"/>
        </w:rPr>
        <w:t xml:space="preserve">"A claim that a sentence is substantively unreasonable is a claim that a sentence is too long (if a defendant appeals) or too short (if the government appeals)." </w:t>
      </w:r>
      <w:bookmarkStart w:id="28" w:name="Bookmark_I69Y9PG22HM6KB0030000400"/>
      <w:bookmarkEnd w:id="28"/>
      <w:hyperlink r:id="rId18" w:history="1">
        <w:r>
          <w:rPr>
            <w:rFonts w:ascii="arial" w:eastAsia="arial" w:hAnsi="arial" w:cs="arial"/>
            <w:b w:val="0"/>
            <w:i/>
            <w:strike w:val="0"/>
            <w:noProof w:val="0"/>
            <w:color w:val="0077CC"/>
            <w:position w:val="0"/>
            <w:sz w:val="20"/>
            <w:u w:val="single"/>
            <w:vertAlign w:val="baseline"/>
          </w:rPr>
          <w:t>United States v. Rayyan</w:t>
        </w:r>
      </w:hyperlink>
      <w:hyperlink r:id="rId18" w:history="1">
        <w:r>
          <w:rPr>
            <w:rFonts w:ascii="arial" w:eastAsia="arial" w:hAnsi="arial" w:cs="arial"/>
            <w:b w:val="0"/>
            <w:i/>
            <w:strike w:val="0"/>
            <w:noProof w:val="0"/>
            <w:color w:val="0077CC"/>
            <w:position w:val="0"/>
            <w:sz w:val="20"/>
            <w:u w:val="single"/>
            <w:vertAlign w:val="baseline"/>
          </w:rPr>
          <w:t>, 885 F.3d 436, 442 (6th Cir. 2018)</w:t>
        </w:r>
      </w:hyperlink>
      <w:r>
        <w:rPr>
          <w:rFonts w:ascii="arial" w:eastAsia="arial" w:hAnsi="arial" w:cs="arial"/>
          <w:b w:val="0"/>
          <w:i w:val="0"/>
          <w:strike w:val="0"/>
          <w:noProof w:val="0"/>
          <w:color w:val="000000"/>
          <w:position w:val="0"/>
          <w:sz w:val="20"/>
          <w:u w:val="none"/>
          <w:vertAlign w:val="baseline"/>
        </w:rPr>
        <w:t xml:space="preserve">. </w:t>
      </w:r>
      <w:bookmarkStart w:id="29" w:name="Bookmark_I69Y9PG228T4BC0030000400_2"/>
      <w:bookmarkEnd w:id="29"/>
      <w:bookmarkStart w:id="30" w:name="Bookmark_I69Y9PG228T4BC0010000400_2"/>
      <w:bookmarkEnd w:id="30"/>
      <w:r>
        <w:rPr>
          <w:rFonts w:ascii="arial" w:eastAsia="arial" w:hAnsi="arial" w:cs="arial"/>
          <w:b w:val="0"/>
          <w:i w:val="0"/>
          <w:strike w:val="0"/>
          <w:noProof w:val="0"/>
          <w:color w:val="000000"/>
          <w:position w:val="0"/>
          <w:sz w:val="20"/>
          <w:u w:val="none"/>
          <w:vertAlign w:val="baseline"/>
        </w:rPr>
        <w:t>A claim</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substantive unreasonableness is "a complaint that the court placed too much weight on some of the </w:t>
      </w:r>
      <w:hyperlink r:id="rId12"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and too little on others in sentencing the individual."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While "an above-guidelines sentence erases any presumption of reasonableness," it "does not trigger a presumption of unreasonableness." </w:t>
      </w:r>
      <w:bookmarkStart w:id="31" w:name="Bookmark_I69Y9PG22HM6KB0050000400"/>
      <w:bookmarkEnd w:id="31"/>
      <w:hyperlink r:id="rId19" w:history="1">
        <w:r>
          <w:rPr>
            <w:rFonts w:ascii="arial" w:eastAsia="arial" w:hAnsi="arial" w:cs="arial"/>
            <w:b w:val="0"/>
            <w:i/>
            <w:strike w:val="0"/>
            <w:noProof w:val="0"/>
            <w:color w:val="0077CC"/>
            <w:position w:val="0"/>
            <w:sz w:val="20"/>
            <w:u w:val="single"/>
            <w:vertAlign w:val="baseline"/>
          </w:rPr>
          <w:t>United States v. Thomas</w:t>
        </w:r>
      </w:hyperlink>
      <w:hyperlink r:id="rId19" w:history="1">
        <w:r>
          <w:rPr>
            <w:rFonts w:ascii="arial" w:eastAsia="arial" w:hAnsi="arial" w:cs="arial"/>
            <w:b w:val="0"/>
            <w:i/>
            <w:strike w:val="0"/>
            <w:noProof w:val="0"/>
            <w:color w:val="0077CC"/>
            <w:position w:val="0"/>
            <w:sz w:val="20"/>
            <w:u w:val="single"/>
            <w:vertAlign w:val="baseline"/>
          </w:rPr>
          <w:t>, 933 F.3d 605, 613 (6th Cir. 2019)</w:t>
        </w:r>
      </w:hyperlink>
      <w:r>
        <w:rPr>
          <w:rFonts w:ascii="arial" w:eastAsia="arial" w:hAnsi="arial" w:cs="arial"/>
          <w:b w:val="0"/>
          <w:i w:val="0"/>
          <w:strike w:val="0"/>
          <w:noProof w:val="0"/>
          <w:color w:val="000000"/>
          <w:position w:val="0"/>
          <w:sz w:val="20"/>
          <w:u w:val="none"/>
          <w:vertAlign w:val="baseline"/>
        </w:rPr>
        <w:t xml:space="preserve">. "However, 'a major departure should be supported by a more significant justification than a minor one.'" </w:t>
      </w:r>
      <w:bookmarkStart w:id="32" w:name="Bookmark_I69Y9PG228T4BC0020000400"/>
      <w:bookmarkEnd w:id="32"/>
      <w:hyperlink r:id="rId20" w:history="1">
        <w:r>
          <w:rPr>
            <w:rFonts w:ascii="arial" w:eastAsia="arial" w:hAnsi="arial" w:cs="arial"/>
            <w:b w:val="0"/>
            <w:i/>
            <w:strike w:val="0"/>
            <w:noProof w:val="0"/>
            <w:color w:val="0077CC"/>
            <w:position w:val="0"/>
            <w:sz w:val="20"/>
            <w:u w:val="single"/>
            <w:vertAlign w:val="baseline"/>
          </w:rPr>
          <w:t>United States v. Robinson</w:t>
        </w:r>
      </w:hyperlink>
      <w:hyperlink r:id="rId20" w:history="1">
        <w:r>
          <w:rPr>
            <w:rFonts w:ascii="arial" w:eastAsia="arial" w:hAnsi="arial" w:cs="arial"/>
            <w:b w:val="0"/>
            <w:i/>
            <w:strike w:val="0"/>
            <w:noProof w:val="0"/>
            <w:color w:val="0077CC"/>
            <w:position w:val="0"/>
            <w:sz w:val="20"/>
            <w:u w:val="single"/>
            <w:vertAlign w:val="baseline"/>
          </w:rPr>
          <w:t>, 892 F.3d 209, 213 (6th Cir. 2018)</w:t>
        </w:r>
      </w:hyperlink>
      <w:r>
        <w:rPr>
          <w:rFonts w:ascii="arial" w:eastAsia="arial" w:hAnsi="arial" w:cs="arial"/>
          <w:b w:val="0"/>
          <w:i w:val="0"/>
          <w:strike w:val="0"/>
          <w:noProof w:val="0"/>
          <w:color w:val="000000"/>
          <w:position w:val="0"/>
          <w:sz w:val="20"/>
          <w:u w:val="none"/>
          <w:vertAlign w:val="baseline"/>
        </w:rPr>
        <w:t xml:space="preserve"> (quoting </w:t>
      </w:r>
      <w:bookmarkStart w:id="33" w:name="Bookmark_I69Y9PG228T4BC0040000400"/>
      <w:bookmarkEnd w:id="33"/>
      <w:hyperlink r:id="rId21" w:history="1">
        <w:r>
          <w:rPr>
            <w:rFonts w:ascii="arial" w:eastAsia="arial" w:hAnsi="arial" w:cs="arial"/>
            <w:b w:val="0"/>
            <w:i/>
            <w:strike w:val="0"/>
            <w:noProof w:val="0"/>
            <w:color w:val="0077CC"/>
            <w:position w:val="0"/>
            <w:sz w:val="20"/>
            <w:u w:val="single"/>
            <w:vertAlign w:val="baseline"/>
          </w:rPr>
          <w:t>Gall v. United States</w:t>
        </w:r>
      </w:hyperlink>
      <w:hyperlink r:id="rId21" w:history="1">
        <w:r>
          <w:rPr>
            <w:rFonts w:ascii="arial" w:eastAsia="arial" w:hAnsi="arial" w:cs="arial"/>
            <w:b w:val="0"/>
            <w:i/>
            <w:strike w:val="0"/>
            <w:noProof w:val="0"/>
            <w:color w:val="0077CC"/>
            <w:position w:val="0"/>
            <w:sz w:val="20"/>
            <w:u w:val="single"/>
            <w:vertAlign w:val="baseline"/>
          </w:rPr>
          <w:t>, 552 U.S. 38, 50, 128 S. Ct. 586, 169 L. Ed. 2d 445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4" w:name="Bookmark_para_10"/>
      <w:bookmarkEnd w:id="34"/>
      <w:r>
        <w:rPr>
          <w:rFonts w:ascii="arial" w:eastAsia="arial" w:hAnsi="arial" w:cs="arial"/>
          <w:b w:val="0"/>
          <w:i w:val="0"/>
          <w:strike w:val="0"/>
          <w:noProof w:val="0"/>
          <w:color w:val="000000"/>
          <w:position w:val="0"/>
          <w:sz w:val="20"/>
          <w:u w:val="none"/>
          <w:vertAlign w:val="baseline"/>
        </w:rPr>
        <w:t xml:space="preserve">Freeman argues that the district court placed too much weight on his criminal history and the assault at NEOCC and not enough on other </w:t>
      </w:r>
      <w:hyperlink r:id="rId12"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Specifically, he argues that he was already punished for those actions and that the district court failed to consider the nature and circumstances of the underlying offense and unwarranted sentencing disparities.</w:t>
      </w:r>
    </w:p>
    <w:p>
      <w:pPr>
        <w:keepNext w:val="0"/>
        <w:spacing w:before="200" w:after="0" w:line="260" w:lineRule="atLeast"/>
        <w:ind w:left="0" w:right="0" w:firstLine="0"/>
        <w:jc w:val="both"/>
      </w:pPr>
      <w:bookmarkStart w:id="35" w:name="Bookmark_para_11"/>
      <w:bookmarkEnd w:id="35"/>
      <w:r>
        <w:rPr>
          <w:rFonts w:ascii="arial" w:eastAsia="arial" w:hAnsi="arial" w:cs="arial"/>
          <w:b w:val="0"/>
          <w:i w:val="0"/>
          <w:strike w:val="0"/>
          <w:noProof w:val="0"/>
          <w:color w:val="000000"/>
          <w:position w:val="0"/>
          <w:sz w:val="20"/>
          <w:u w:val="none"/>
          <w:vertAlign w:val="baseline"/>
        </w:rPr>
        <w:t>Overall, the court gave several reasons for the variance. The district court noted that Freeman's "significant" criminal history—consisting of eight prior drug convictions—created a "need for the sentence imposed." The court also supported the variance by considering Freeman's history and characteristics, including his pretrial conduct where he "lunged at the correctional officer and attempted to dispose of the contraband"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caused injuries to the officer, which the court noted was not a "minor incident." And indeed, the record establishes that Freeman had a long history of drug dealing, including attempting to sell drugs in a detention facility. Then, awaiting trial on this </w:t>
      </w:r>
      <w:hyperlink r:id="rId14" w:history="1">
        <w:r>
          <w:rPr>
            <w:rFonts w:ascii="arial" w:eastAsia="arial" w:hAnsi="arial" w:cs="arial"/>
            <w:b w:val="0"/>
            <w:i/>
            <w:strike w:val="0"/>
            <w:noProof w:val="0"/>
            <w:color w:val="0077CC"/>
            <w:position w:val="0"/>
            <w:sz w:val="20"/>
            <w:u w:val="single"/>
            <w:vertAlign w:val="baseline"/>
          </w:rPr>
          <w:t>§ 922(g)</w:t>
        </w:r>
      </w:hyperlink>
      <w:r>
        <w:rPr>
          <w:rFonts w:ascii="arial" w:eastAsia="arial" w:hAnsi="arial" w:cs="arial"/>
          <w:b w:val="0"/>
          <w:i w:val="0"/>
          <w:strike w:val="0"/>
          <w:noProof w:val="0"/>
          <w:color w:val="000000"/>
          <w:position w:val="0"/>
          <w:sz w:val="20"/>
          <w:u w:val="none"/>
          <w:vertAlign w:val="baseline"/>
        </w:rPr>
        <w:t xml:space="preserve"> charge, Freeman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drugs into NEOCC, and he assaulted and caused harm to an officer to avoid being apprehended with marijuana.</w:t>
      </w:r>
    </w:p>
    <w:p>
      <w:pPr>
        <w:keepNext w:val="0"/>
        <w:spacing w:before="240" w:after="0" w:line="260" w:lineRule="atLeast"/>
        <w:ind w:left="0" w:right="0" w:firstLine="0"/>
        <w:jc w:val="both"/>
      </w:pPr>
      <w:bookmarkStart w:id="36" w:name="Bookmark_para_12"/>
      <w:bookmarkEnd w:id="36"/>
      <w:r>
        <w:rPr>
          <w:rFonts w:ascii="arial" w:eastAsia="arial" w:hAnsi="arial" w:cs="arial"/>
          <w:b w:val="0"/>
          <w:i w:val="0"/>
          <w:strike w:val="0"/>
          <w:noProof w:val="0"/>
          <w:color w:val="000000"/>
          <w:position w:val="0"/>
          <w:sz w:val="20"/>
          <w:u w:val="none"/>
          <w:vertAlign w:val="baseline"/>
        </w:rPr>
        <w:t xml:space="preserve">Further, the district court addressed the nature and circumstances of the underlying offense, Freeman's substance abuse issues, his parents' substance abuse issues, and the letters of support Freeman received from the community. And in weighing these factors, the court also noted that Freeman was on parole when he committed this offense. </w:t>
      </w:r>
      <w:bookmarkStart w:id="37" w:name="Bookmark_I69Y9PG32HM6KR0020000400"/>
      <w:bookmarkEnd w:id="37"/>
      <w:r>
        <w:rPr>
          <w:rFonts w:ascii="arial" w:eastAsia="arial" w:hAnsi="arial" w:cs="arial"/>
          <w:b w:val="0"/>
          <w:i w:val="0"/>
          <w:strike w:val="0"/>
          <w:noProof w:val="0"/>
          <w:color w:val="000000"/>
          <w:position w:val="0"/>
          <w:sz w:val="20"/>
          <w:u w:val="none"/>
          <w:vertAlign w:val="baseline"/>
        </w:rPr>
        <w:t xml:space="preserve">Although the district court placed significant weight on Freeman's criminal history, it did so in the context of Freeman's reprehensible pretrial conduct. </w:t>
      </w:r>
      <w:bookmarkStart w:id="38" w:name="Bookmark_I69Y9PG32HM6KV0010000400"/>
      <w:bookmarkEnd w:id="38"/>
      <w:r>
        <w:rPr>
          <w:rFonts w:ascii="arial" w:eastAsia="arial" w:hAnsi="arial" w:cs="arial"/>
          <w:b w:val="0"/>
          <w:i w:val="0"/>
          <w:strike w:val="0"/>
          <w:noProof w:val="0"/>
          <w:color w:val="000000"/>
          <w:position w:val="0"/>
          <w:sz w:val="20"/>
          <w:u w:val="none"/>
          <w:vertAlign w:val="baseline"/>
        </w:rPr>
        <w:t xml:space="preserve">Specifically, the court noted that he had a previous conviction relating to contraband in a detention facility and that his conduct showed his inability to conduct himself properly in custody. </w:t>
      </w:r>
      <w:bookmarkStart w:id="39" w:name="Bookmark_LNHNREFclscc2"/>
      <w:bookmarkEnd w:id="39"/>
      <w:hyperlink r:id="rId22"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2" type="#_x0000_t75" style="width:10.5pt;height:10.5pt">
              <v:imagedata r:id="rId16" o:title=""/>
            </v:shape>
          </w:pict>
        </w:r>
      </w:hyperlink>
      <w:r>
        <w:rPr>
          <w:rFonts w:ascii="arial" w:eastAsia="arial" w:hAnsi="arial" w:cs="arial"/>
          <w:b w:val="0"/>
          <w:i w:val="0"/>
          <w:strike w:val="0"/>
          <w:noProof w:val="0"/>
          <w:color w:val="000000"/>
          <w:position w:val="0"/>
          <w:sz w:val="20"/>
          <w:u w:val="none"/>
          <w:vertAlign w:val="baseline"/>
        </w:rPr>
        <w:t xml:space="preserve">] The advisory guidelines allow for "variances—up or down—based on case-specific circumstances." </w:t>
      </w:r>
      <w:bookmarkStart w:id="40" w:name="Bookmark_I69Y9PG32HM6KR0010000400"/>
      <w:bookmarkEnd w:id="40"/>
      <w:hyperlink r:id="rId23" w:history="1">
        <w:r>
          <w:rPr>
            <w:rFonts w:ascii="arial" w:eastAsia="arial" w:hAnsi="arial" w:cs="arial"/>
            <w:b w:val="0"/>
            <w:i/>
            <w:strike w:val="0"/>
            <w:noProof w:val="0"/>
            <w:color w:val="0077CC"/>
            <w:position w:val="0"/>
            <w:sz w:val="20"/>
            <w:u w:val="single"/>
            <w:vertAlign w:val="baseline"/>
          </w:rPr>
          <w:t>United States v. Johnson</w:t>
        </w:r>
      </w:hyperlink>
      <w:hyperlink r:id="rId23" w:history="1">
        <w:r>
          <w:rPr>
            <w:rFonts w:ascii="arial" w:eastAsia="arial" w:hAnsi="arial" w:cs="arial"/>
            <w:b w:val="0"/>
            <w:i/>
            <w:strike w:val="0"/>
            <w:noProof w:val="0"/>
            <w:color w:val="0077CC"/>
            <w:position w:val="0"/>
            <w:sz w:val="20"/>
            <w:u w:val="single"/>
            <w:vertAlign w:val="baseline"/>
          </w:rPr>
          <w:t>, 934 F.3d 498, 501 (6th Cir. 2019)</w:t>
        </w:r>
      </w:hyperlink>
      <w:r>
        <w:rPr>
          <w:rFonts w:ascii="arial" w:eastAsia="arial" w:hAnsi="arial" w:cs="arial"/>
          <w:b w:val="0"/>
          <w:i w:val="0"/>
          <w:strike w:val="0"/>
          <w:noProof w:val="0"/>
          <w:color w:val="000000"/>
          <w:position w:val="0"/>
          <w:sz w:val="20"/>
          <w:u w:val="none"/>
          <w:vertAlign w:val="baseline"/>
        </w:rPr>
        <w:t xml:space="preserve"> (citing </w:t>
      </w:r>
      <w:bookmarkStart w:id="41" w:name="Bookmark_I69Y9PG32HM6KR0030000400"/>
      <w:bookmarkEnd w:id="41"/>
      <w:hyperlink r:id="rId24" w:history="1">
        <w:r>
          <w:rPr>
            <w:rFonts w:ascii="arial" w:eastAsia="arial" w:hAnsi="arial" w:cs="arial"/>
            <w:b w:val="0"/>
            <w:i/>
            <w:strike w:val="0"/>
            <w:noProof w:val="0"/>
            <w:color w:val="0077CC"/>
            <w:position w:val="0"/>
            <w:sz w:val="20"/>
            <w:u w:val="single"/>
            <w:vertAlign w:val="baseline"/>
          </w:rPr>
          <w:t>United States v. Booker</w:t>
        </w:r>
      </w:hyperlink>
      <w:hyperlink r:id="rId24" w:history="1">
        <w:r>
          <w:rPr>
            <w:rFonts w:ascii="arial" w:eastAsia="arial" w:hAnsi="arial" w:cs="arial"/>
            <w:b w:val="0"/>
            <w:i/>
            <w:strike w:val="0"/>
            <w:noProof w:val="0"/>
            <w:color w:val="0077CC"/>
            <w:position w:val="0"/>
            <w:sz w:val="20"/>
            <w:u w:val="single"/>
            <w:vertAlign w:val="baseline"/>
          </w:rPr>
          <w:t>, 543 U.S. 220, 245, 125 S. Ct. 738, 160 L. Ed. 2d 621 (2005)</w:t>
        </w:r>
      </w:hyperlink>
      <w:r>
        <w:rPr>
          <w:rFonts w:ascii="arial" w:eastAsia="arial" w:hAnsi="arial" w:cs="arial"/>
          <w:b w:val="0"/>
          <w:i w:val="0"/>
          <w:strike w:val="0"/>
          <w:noProof w:val="0"/>
          <w:color w:val="000000"/>
          <w:position w:val="0"/>
          <w:sz w:val="20"/>
          <w:u w:val="none"/>
          <w:vertAlign w:val="baseline"/>
        </w:rPr>
        <w:t xml:space="preserve">). </w:t>
      </w:r>
      <w:bookmarkStart w:id="42" w:name="Bookmark_I69Y9PG32HM6KV0010000400_2"/>
      <w:bookmarkEnd w:id="42"/>
      <w:r>
        <w:rPr>
          <w:rFonts w:ascii="arial" w:eastAsia="arial" w:hAnsi="arial" w:cs="arial"/>
          <w:b w:val="0"/>
          <w:i w:val="0"/>
          <w:strike w:val="0"/>
          <w:noProof w:val="0"/>
          <w:color w:val="000000"/>
          <w:position w:val="0"/>
          <w:sz w:val="20"/>
          <w:u w:val="none"/>
          <w:vertAlign w:val="baseline"/>
        </w:rPr>
        <w:t>Moreover, "pretrial</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conduct . . . is an appropriate consideration 'under </w:t>
      </w:r>
      <w:hyperlink r:id="rId12"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because it is relevant to the history and characteristics of the defendant, and to the need for the sentence to promote respect for the law.'" </w:t>
      </w:r>
      <w:bookmarkStart w:id="43" w:name="Bookmark_I69Y9PG32HM6KR0050000400"/>
      <w:bookmarkEnd w:id="43"/>
      <w:hyperlink r:id="rId25" w:history="1">
        <w:r>
          <w:rPr>
            <w:rFonts w:ascii="arial" w:eastAsia="arial" w:hAnsi="arial" w:cs="arial"/>
            <w:b w:val="0"/>
            <w:i/>
            <w:strike w:val="0"/>
            <w:noProof w:val="0"/>
            <w:color w:val="0077CC"/>
            <w:position w:val="0"/>
            <w:sz w:val="20"/>
            <w:u w:val="single"/>
            <w:vertAlign w:val="baseline"/>
          </w:rPr>
          <w:t>United States v. Schlosser</w:t>
        </w:r>
      </w:hyperlink>
      <w:hyperlink r:id="rId25" w:history="1">
        <w:r>
          <w:rPr>
            <w:rFonts w:ascii="arial" w:eastAsia="arial" w:hAnsi="arial" w:cs="arial"/>
            <w:b w:val="0"/>
            <w:i/>
            <w:strike w:val="0"/>
            <w:noProof w:val="0"/>
            <w:color w:val="0077CC"/>
            <w:position w:val="0"/>
            <w:sz w:val="20"/>
            <w:u w:val="single"/>
            <w:vertAlign w:val="baseline"/>
          </w:rPr>
          <w:t>, 558 F.3d 736, 742 (8th Cir. 2009)</w:t>
        </w:r>
      </w:hyperlink>
      <w:r>
        <w:rPr>
          <w:rFonts w:ascii="arial" w:eastAsia="arial" w:hAnsi="arial" w:cs="arial"/>
          <w:b w:val="0"/>
          <w:i w:val="0"/>
          <w:strike w:val="0"/>
          <w:noProof w:val="0"/>
          <w:color w:val="000000"/>
          <w:position w:val="0"/>
          <w:sz w:val="20"/>
          <w:u w:val="none"/>
          <w:vertAlign w:val="baseline"/>
        </w:rPr>
        <w:t xml:space="preserve"> (quotation omitted) (affirming sentence where defendant argued that "the district court placed too much weight on the conduct underlying his bond violations"). Ultimately, the district court reasonably determined that Freeman's serious criminal history and his pretrial conduct warranted an upward variance in this case.</w:t>
      </w:r>
    </w:p>
    <w:p>
      <w:pPr>
        <w:keepNext w:val="0"/>
        <w:spacing w:before="240" w:after="0" w:line="260" w:lineRule="atLeast"/>
        <w:ind w:left="0" w:right="0" w:firstLine="0"/>
        <w:jc w:val="both"/>
      </w:pPr>
      <w:bookmarkStart w:id="44" w:name="Bookmark_para_13"/>
      <w:bookmarkEnd w:id="44"/>
      <w:bookmarkStart w:id="45" w:name="Bookmark_I69Y9PG32HM6KV0030000400"/>
      <w:bookmarkEnd w:id="45"/>
      <w:r>
        <w:rPr>
          <w:rFonts w:ascii="arial" w:eastAsia="arial" w:hAnsi="arial" w:cs="arial"/>
          <w:b w:val="0"/>
          <w:i w:val="0"/>
          <w:strike w:val="0"/>
          <w:noProof w:val="0"/>
          <w:color w:val="000000"/>
          <w:position w:val="0"/>
          <w:sz w:val="20"/>
          <w:u w:val="none"/>
          <w:vertAlign w:val="baseline"/>
        </w:rPr>
        <w:t xml:space="preserve">Lastly, Freeman argues his sentence is unreasonable because the national average sentence for defendants convicted of firearms offenses with a criminal history category V is 58 months. But the district court considered the potential disparity and still decided that Freeman's continual misconduct while on parole and while awaiting trial set him apart from other </w:t>
      </w:r>
      <w:hyperlink r:id="rId14" w:history="1">
        <w:r>
          <w:rPr>
            <w:rFonts w:ascii="arial" w:eastAsia="arial" w:hAnsi="arial" w:cs="arial"/>
            <w:b w:val="0"/>
            <w:i/>
            <w:strike w:val="0"/>
            <w:noProof w:val="0"/>
            <w:color w:val="0077CC"/>
            <w:position w:val="0"/>
            <w:sz w:val="20"/>
            <w:u w:val="single"/>
            <w:vertAlign w:val="baseline"/>
          </w:rPr>
          <w:t>§ 922(g)</w:t>
        </w:r>
      </w:hyperlink>
      <w:r>
        <w:rPr>
          <w:rFonts w:ascii="arial" w:eastAsia="arial" w:hAnsi="arial" w:cs="arial"/>
          <w:b w:val="0"/>
          <w:i w:val="0"/>
          <w:strike w:val="0"/>
          <w:noProof w:val="0"/>
          <w:color w:val="000000"/>
          <w:position w:val="0"/>
          <w:sz w:val="20"/>
          <w:u w:val="none"/>
          <w:vertAlign w:val="baseline"/>
        </w:rPr>
        <w:t xml:space="preserve"> defendants. In giving "due deference" to the district court's consideration of the facts of this case, we affirm the court's "reasonable decision that the </w:t>
      </w:r>
      <w:hyperlink r:id="rId12"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on the whole, justified the sentence." </w:t>
      </w:r>
      <w:bookmarkStart w:id="46" w:name="Bookmark_I69Y9PG32HM6KV0020000400"/>
      <w:bookmarkEnd w:id="46"/>
      <w:hyperlink r:id="rId21" w:history="1">
        <w:r>
          <w:rPr>
            <w:rFonts w:ascii="arial" w:eastAsia="arial" w:hAnsi="arial" w:cs="arial"/>
            <w:b w:val="0"/>
            <w:i/>
            <w:strike w:val="0"/>
            <w:noProof w:val="0"/>
            <w:color w:val="0077CC"/>
            <w:position w:val="0"/>
            <w:sz w:val="20"/>
            <w:u w:val="single"/>
            <w:vertAlign w:val="baseline"/>
          </w:rPr>
          <w:t>Gall</w:t>
        </w:r>
      </w:hyperlink>
      <w:hyperlink r:id="rId21" w:history="1">
        <w:r>
          <w:rPr>
            <w:rFonts w:ascii="arial" w:eastAsia="arial" w:hAnsi="arial" w:cs="arial"/>
            <w:b w:val="0"/>
            <w:i/>
            <w:strike w:val="0"/>
            <w:noProof w:val="0"/>
            <w:color w:val="0077CC"/>
            <w:position w:val="0"/>
            <w:sz w:val="20"/>
            <w:u w:val="single"/>
            <w:vertAlign w:val="baseline"/>
          </w:rPr>
          <w:t>, 552 U.S. at 59-60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7" w:name="Bookmark_para_14"/>
      <w:bookmarkEnd w:id="47"/>
      <w:r>
        <w:rPr>
          <w:rFonts w:ascii="arial" w:eastAsia="arial" w:hAnsi="arial" w:cs="arial"/>
          <w:b w:val="0"/>
          <w:i w:val="0"/>
          <w:strike w:val="0"/>
          <w:noProof w:val="0"/>
          <w:color w:val="000000"/>
          <w:position w:val="0"/>
          <w:sz w:val="20"/>
          <w:u w:val="none"/>
          <w:vertAlign w:val="baseline"/>
        </w:rPr>
        <w:t xml:space="preserve">Because Freeman has not demonstrated that his sentence is substantively unreasonable, we </w:t>
      </w:r>
      <w:r>
        <w:rPr>
          <w:rFonts w:ascii="arial" w:eastAsia="arial" w:hAnsi="arial" w:cs="arial"/>
          <w:b/>
          <w:i w:val="0"/>
          <w:strike w:val="0"/>
          <w:noProof w:val="0"/>
          <w:color w:val="000000"/>
          <w:position w:val="0"/>
          <w:sz w:val="20"/>
          <w:u w:val="none"/>
          <w:vertAlign w:val="baseline"/>
        </w:rPr>
        <w:t>AFFIRM</w:t>
      </w:r>
      <w:r>
        <w:rPr>
          <w:rFonts w:ascii="arial" w:eastAsia="arial" w:hAnsi="arial" w:cs="arial"/>
          <w:b w:val="0"/>
          <w:i w:val="0"/>
          <w:strike w:val="0"/>
          <w:noProof w:val="0"/>
          <w:color w:val="000000"/>
          <w:position w:val="0"/>
          <w:sz w:val="20"/>
          <w:u w:val="none"/>
          <w:vertAlign w:val="baseline"/>
        </w:rPr>
        <w:t xml:space="preserve"> the district court's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judgment.</w:t>
      </w:r>
    </w:p>
    <w:p/>
    <w:p>
      <w:pPr>
        <w:ind w:left="200"/>
      </w:pPr>
      <w:r>
        <w:br/>
      </w:r>
      <w:r>
        <w:pict>
          <v:line id="_x0000_s1033"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Freeman, 2023 U.S. App. LEXIS 33518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9X3-6CM1-FCSB-S0FV-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statutes-legislation&amp;id=urn:contentItem:8TV4-SKM2-8T6X-72T1-00000-00&amp;context=1519360" TargetMode="External" /><Relationship Id="rId13" Type="http://schemas.openxmlformats.org/officeDocument/2006/relationships/hyperlink" Target="https://advance.lexis.com/api/document?collection=cases&amp;id=urn:contentItem:69X3-6CM1-FCSB-S0FV-00000-00&amp;context=1519360&amp;link=LNHNREFclscc2" TargetMode="External" /><Relationship Id="rId14" Type="http://schemas.openxmlformats.org/officeDocument/2006/relationships/hyperlink" Target="https://advance.lexis.com/api/document?collection=statutes-legislation&amp;id=urn:contentItem:6C7N-FD63-RRVR-741R-00000-00&amp;context=1519360" TargetMode="External" /><Relationship Id="rId15" Type="http://schemas.openxmlformats.org/officeDocument/2006/relationships/hyperlink" Target="https://advance.lexis.com/api/document?collection=cases&amp;id=urn:contentItem:69X3-6CM1-FCSB-S0FV-00000-00&amp;context=1519360&amp;link=clscc1" TargetMode="External" /><Relationship Id="rId16" Type="http://schemas.openxmlformats.org/officeDocument/2006/relationships/image" Target="media/image3.png" /><Relationship Id="rId17" Type="http://schemas.openxmlformats.org/officeDocument/2006/relationships/hyperlink" Target="https://advance.lexis.com/api/document?collection=cases&amp;id=urn:contentItem:60MV-3MF1-F2F4-G44B-00000-00&amp;context=1519360" TargetMode="External" /><Relationship Id="rId18" Type="http://schemas.openxmlformats.org/officeDocument/2006/relationships/hyperlink" Target="https://advance.lexis.com/api/document?collection=cases&amp;id=urn:contentItem:5RX2-X5P1-JCRC-B4BH-00000-00&amp;context=1519360" TargetMode="External" /><Relationship Id="rId19" Type="http://schemas.openxmlformats.org/officeDocument/2006/relationships/hyperlink" Target="https://advance.lexis.com/api/document?collection=cases&amp;id=urn:contentItem:5WRR-XYV1-F016-S1V9-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5SH4-C2G1-DXHD-G0P7-00000-00&amp;context=1519360" TargetMode="External" /><Relationship Id="rId21" Type="http://schemas.openxmlformats.org/officeDocument/2006/relationships/hyperlink" Target="https://advance.lexis.com/api/document?collection=cases&amp;id=urn:contentItem:4RB0-C410-TXFX-125G-00000-00&amp;context=1519360" TargetMode="External" /><Relationship Id="rId22" Type="http://schemas.openxmlformats.org/officeDocument/2006/relationships/hyperlink" Target="https://advance.lexis.com/api/document?collection=cases&amp;id=urn:contentItem:69X3-6CM1-FCSB-S0FV-00000-00&amp;context=1519360&amp;link=clscc2" TargetMode="External" /><Relationship Id="rId23" Type="http://schemas.openxmlformats.org/officeDocument/2006/relationships/hyperlink" Target="https://advance.lexis.com/api/document?collection=cases&amp;id=urn:contentItem:5WT7-GBP1-JGPY-X3V4-00000-00&amp;context=1519360" TargetMode="External" /><Relationship Id="rId24" Type="http://schemas.openxmlformats.org/officeDocument/2006/relationships/hyperlink" Target="https://advance.lexis.com/api/document?collection=cases&amp;id=urn:contentItem:4F7G-DMF0-004C-100C-00000-00&amp;context=1519360" TargetMode="External" /><Relationship Id="rId25" Type="http://schemas.openxmlformats.org/officeDocument/2006/relationships/hyperlink" Target="https://advance.lexis.com/api/document?collection=cases&amp;id=urn:contentItem:4VRR-CNT0-TXFX-B274-00000-00&amp;context=1519360"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X3-6CM1-FCSB-S0FV-00000-00&amp;context=1519360" TargetMode="External" /><Relationship Id="rId9" Type="http://schemas.openxmlformats.org/officeDocument/2006/relationships/hyperlink" Target="https://advance.lexis.com/api/document?collection=cases&amp;id=urn:contentItem:674W-5W01-F27X-611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Freeman, 2023 U.S. App. LEXIS 33518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67</vt:lpwstr>
  </property>
  <property fmtid="{D5CDD505-2E9C-101B-9397-08002B2CF9AE}" pid="3" name="LADocCount">
    <vt:lpwstr>1</vt:lpwstr>
  </property>
  <property fmtid="{D5CDD505-2E9C-101B-9397-08002B2CF9AE}" pid="4" name="LADocumentID:67">
    <vt:lpwstr>Doc::urn:hlct:5|contextualFeaturePermID::1519360</vt:lpwstr>
  </property>
  <property fmtid="{D5CDD505-2E9C-101B-9397-08002B2CF9AE}" pid="5" name="UserPermID">
    <vt:lpwstr>urn:user:PA186186283</vt:lpwstr>
  </property>
</Properties>
</file>