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Marcial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2022, Argued and Submitted, Pasadena, California; January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21-50087, No. 21-50104</w:t>
      </w:r>
    </w:p>
    <w:p>
      <w:pPr>
        <w:keepNext w:val="0"/>
        <w:spacing w:after="0" w:line="240" w:lineRule="atLeast"/>
        <w:ind w:right="0"/>
        <w:jc w:val="both"/>
      </w:pPr>
      <w:bookmarkStart w:id="0" w:name="Bookmark_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436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119585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MARIO MARCIAL, Defendant-Appellant.UNITED STATES OF AMERICA, Plaintiff-Appellee, v. JORGE MARCIAL,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Central District of California. D.C. No. 5:20-cr-00127-JGB-1. Jesus G. Bernal, District Judge, Presiding.</w:t>
      </w:r>
    </w:p>
    <w:p>
      <w:pPr>
        <w:keepNext w:val="0"/>
        <w:spacing w:before="200" w:after="0" w:line="260" w:lineRule="atLeast"/>
        <w:ind w:left="0" w:right="0" w:firstLine="0"/>
        <w:jc w:val="both"/>
      </w:pPr>
      <w:bookmarkStart w:id="6" w:name="Bookmark_para_3"/>
      <w:bookmarkEnd w:id="6"/>
      <w:r>
        <w:rPr>
          <w:rFonts w:ascii="arial" w:eastAsia="arial" w:hAnsi="arial" w:cs="arial"/>
          <w:b w:val="0"/>
          <w:i w:val="0"/>
          <w:strike w:val="0"/>
          <w:noProof w:val="0"/>
          <w:color w:val="000000"/>
          <w:position w:val="0"/>
          <w:sz w:val="20"/>
          <w:u w:val="none"/>
          <w:vertAlign w:val="baseline"/>
        </w:rPr>
        <w:t>Appeal from the United States District Court for the Central District of California. D.C. No. 5:20-cr-00127-JGB-2. Jesus G. Bernal, District Judge, Presiding.</w:t>
      </w:r>
    </w:p>
    <w:p>
      <w:pPr>
        <w:keepNext w:val="0"/>
        <w:spacing w:before="240" w:after="0" w:line="260" w:lineRule="atLeast"/>
        <w:ind w:left="0" w:right="0" w:firstLine="0"/>
        <w:jc w:val="left"/>
      </w:pPr>
      <w:hyperlink r:id="rId10" w:history="1">
        <w:r>
          <w:rPr>
            <w:rFonts w:ascii="arial" w:eastAsia="arial" w:hAnsi="arial" w:cs="arial"/>
            <w:b w:val="0"/>
            <w:i/>
            <w:strike w:val="0"/>
            <w:color w:val="0077CC"/>
            <w:sz w:val="20"/>
            <w:u w:val="single"/>
            <w:vertAlign w:val="baseline"/>
          </w:rPr>
          <w:t>United States v. Marcial, 2022 U.S. App. LEXIS 29018, 2022 WL 10966788 (9th Cir. Cal., Oct. 19, 2022)</w:t>
        </w:r>
      </w:hyperlink>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4"/>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marijuana, border, reasonable suspicion, checkpoint, freeway, exit, criminal activity, probable cause, trafficking, questioned, prolonged, traveling, driving, minutes, seizure, driver, route, probable cause to search, approached, narcotics, suppress, amounts,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Patrol, headed, unduly, afoot</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Seizure of Persons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Seizure of Persons</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A lawful seizure can become unlawful if it is prolonged beyond the time reasonably required to complete its mission.</w:t>
      </w:r>
    </w:p>
    <w:p>
      <w:pPr>
        <w:spacing w:before="120"/>
      </w:pPr>
      <w:bookmarkStart w:id="13" w:name="Bookmark_clscc2"/>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4" w:name="Bookmark_hnpara_2"/>
      <w:bookmarkEnd w:id="14"/>
      <w:r>
        <w:rPr>
          <w:rFonts w:ascii="arial" w:eastAsia="arial" w:hAnsi="arial" w:cs="arial"/>
          <w:b w:val="0"/>
          <w:i w:val="0"/>
          <w:strike w:val="0"/>
          <w:noProof w:val="0"/>
          <w:color w:val="000000"/>
          <w:position w:val="0"/>
          <w:sz w:val="20"/>
          <w:u w:val="none"/>
          <w:vertAlign w:val="baseline"/>
        </w:rPr>
        <w:t>An officer needs probable cause to believe that the vehicle contains evidence of a crime to search a vehicle without a warrant.</w:t>
      </w:r>
    </w:p>
    <w:p>
      <w:pPr>
        <w:keepNext w:val="0"/>
        <w:spacing w:before="240" w:after="0" w:line="260" w:lineRule="atLeast"/>
        <w:ind w:left="0" w:right="0" w:firstLine="0"/>
        <w:jc w:val="left"/>
      </w:pPr>
      <w:bookmarkStart w:id="15" w:name="Counsel"/>
      <w:bookmarkEnd w:id="1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(21-50087): Ruben Escalante, Assistant U.S. Attorney, Byron Tuyay, ASUSAT, USAO, Riverside, CA; Bram M. Alden, Office of the U.S. Attorney,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MARIO MARCIAL, Defendant - Appellant (21-50087): Michael Gomez, Federal Public Defenders Office, Los Angeles,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Plaintiff - Appellee (21-50104): Bram M. Alden, Office of the U.S. Attorney, Los Angeles, CA; Ruben Escalante, Assistant U.S. Attorney, Byron Tuyay, ASUSAT, USAO, Riverside,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JORGE MARCIAL, Defendant - Appellant (21-50104): Oliver P. Cleary, Law Offices of Oliver P. Cleary, Beverly Hills, CA.</w:t>
      </w:r>
    </w:p>
    <w:p>
      <w:pPr>
        <w:keepNext w:val="0"/>
        <w:spacing w:before="240" w:after="0" w:line="260" w:lineRule="atLeast"/>
        <w:ind w:left="0" w:right="0" w:firstLine="0"/>
        <w:jc w:val="left"/>
      </w:pPr>
      <w:bookmarkStart w:id="16" w:name="Judges"/>
      <w:bookmarkEnd w:id="1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MILLER and COLLINS, Circuit Judges, and KORMAN,</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District Judge.</w:t>
      </w:r>
    </w:p>
    <w:p>
      <w:pPr>
        <w:keepNext/>
        <w:spacing w:before="240" w:after="0" w:line="340" w:lineRule="atLeast"/>
        <w:ind w:left="0" w:right="0" w:firstLine="0"/>
        <w:jc w:val="left"/>
      </w:pPr>
      <w:bookmarkStart w:id="18" w:name="Opinion"/>
      <w:bookmarkEnd w:id="1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0" style="position:absolute;z-index:251660288"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AMENDED MEMORANDUM</w:t>
      </w:r>
      <w:r>
        <w:rPr>
          <w:rFonts w:ascii="arial" w:eastAsia="arial" w:hAnsi="arial" w:cs="arial"/>
          <w:vertAlign w:val="superscript"/>
        </w:rPr>
        <w:footnoteReference w:customMarkFollows="1" w:id="3"/>
        <w:t xml:space="preserve">*</w:t>
      </w:r>
    </w:p>
    <w:p>
      <w:pPr>
        <w:keepNext w:val="0"/>
        <w:spacing w:before="240" w:after="0" w:line="260" w:lineRule="atLeast"/>
        <w:ind w:left="0" w:right="0" w:firstLine="0"/>
        <w:jc w:val="both"/>
      </w:pPr>
      <w:bookmarkStart w:id="20" w:name="Bookmark_para_4"/>
      <w:bookmarkEnd w:id="20"/>
      <w:bookmarkStart w:id="21" w:name="Bookmark_I679HS1X2N1RJ30020000400"/>
      <w:bookmarkEnd w:id="21"/>
      <w:r>
        <w:rPr>
          <w:rFonts w:ascii="arial" w:eastAsia="arial" w:hAnsi="arial" w:cs="arial"/>
          <w:b w:val="0"/>
          <w:i w:val="0"/>
          <w:strike w:val="0"/>
          <w:noProof w:val="0"/>
          <w:color w:val="000000"/>
          <w:position w:val="0"/>
          <w:sz w:val="20"/>
          <w:u w:val="none"/>
          <w:vertAlign w:val="baseline"/>
        </w:rPr>
        <w:t>Defendants Mario and Jorge Marcial conditionally pleaded guilty to drug-trafficking charges, reserving the right to appeal the district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court's denial of their motion to suppress evidence that was seized during a stop of their vehicle by a U.S. Border Patrol agent. We have jurisdiction over Defendants' timely appeals under </w:t>
      </w:r>
      <w:hyperlink r:id="rId14" w:history="1">
        <w:r>
          <w:rPr>
            <w:rFonts w:ascii="arial" w:eastAsia="arial" w:hAnsi="arial" w:cs="arial"/>
            <w:b w:val="0"/>
            <w:i/>
            <w:strike w:val="0"/>
            <w:noProof w:val="0"/>
            <w:color w:val="0077CC"/>
            <w:position w:val="0"/>
            <w:sz w:val="20"/>
            <w:u w:val="single"/>
            <w:vertAlign w:val="baseline"/>
          </w:rPr>
          <w:t>28 U.S.C. § 1291</w:t>
        </w:r>
      </w:hyperlink>
      <w:r>
        <w:rPr>
          <w:rFonts w:ascii="arial" w:eastAsia="arial" w:hAnsi="arial" w:cs="arial"/>
          <w:b w:val="0"/>
          <w:i w:val="0"/>
          <w:strike w:val="0"/>
          <w:noProof w:val="0"/>
          <w:color w:val="000000"/>
          <w:position w:val="0"/>
          <w:sz w:val="20"/>
          <w:u w:val="none"/>
          <w:vertAlign w:val="baseline"/>
        </w:rPr>
        <w:t xml:space="preserve">. Reviewing de novo, </w:t>
      </w:r>
      <w:bookmarkStart w:id="22" w:name="Bookmark_I679HS1X2N1RJ30010000400"/>
      <w:bookmarkEnd w:id="22"/>
      <w:hyperlink r:id="rId15" w:history="1">
        <w:r>
          <w:rPr>
            <w:rFonts w:ascii="arial" w:eastAsia="arial" w:hAnsi="arial" w:cs="arial"/>
            <w:b w:val="0"/>
            <w:i/>
            <w:strike w:val="0"/>
            <w:noProof w:val="0"/>
            <w:color w:val="0077CC"/>
            <w:position w:val="0"/>
            <w:sz w:val="20"/>
            <w:u w:val="single"/>
            <w:vertAlign w:val="baseline"/>
          </w:rPr>
          <w:t>United States v. Pope</w:t>
        </w:r>
      </w:hyperlink>
      <w:hyperlink r:id="rId15" w:history="1">
        <w:r>
          <w:rPr>
            <w:rFonts w:ascii="arial" w:eastAsia="arial" w:hAnsi="arial" w:cs="arial"/>
            <w:b w:val="0"/>
            <w:i/>
            <w:strike w:val="0"/>
            <w:noProof w:val="0"/>
            <w:color w:val="0077CC"/>
            <w:position w:val="0"/>
            <w:sz w:val="20"/>
            <w:u w:val="single"/>
            <w:vertAlign w:val="baseline"/>
          </w:rPr>
          <w:t>, 686 F.3d 1078, 1080 (9th Cir. 2012)</w:t>
        </w:r>
      </w:hyperlink>
      <w:r>
        <w:rPr>
          <w:rFonts w:ascii="arial" w:eastAsia="arial" w:hAnsi="arial" w:cs="arial"/>
          <w:b w:val="0"/>
          <w:i w:val="0"/>
          <w:strike w:val="0"/>
          <w:noProof w:val="0"/>
          <w:color w:val="000000"/>
          <w:position w:val="0"/>
          <w:sz w:val="20"/>
          <w:u w:val="none"/>
          <w:vertAlign w:val="baseline"/>
        </w:rPr>
        <w:t>, we affirm the district court's denial of their motion to suppress.</w:t>
      </w:r>
    </w:p>
    <w:p>
      <w:pPr>
        <w:keepNext w:val="0"/>
        <w:spacing w:before="240" w:after="0" w:line="260" w:lineRule="atLeast"/>
        <w:ind w:left="0" w:right="0" w:firstLine="0"/>
        <w:jc w:val="both"/>
      </w:pPr>
      <w:bookmarkStart w:id="23" w:name="Bookmark_para_5"/>
      <w:bookmarkEnd w:id="23"/>
      <w:bookmarkStart w:id="24" w:name="Bookmark_I679HS1X2N1RJ30040000400"/>
      <w:bookmarkEnd w:id="24"/>
      <w:r>
        <w:rPr>
          <w:rFonts w:ascii="arial" w:eastAsia="arial" w:hAnsi="arial" w:cs="arial"/>
          <w:b w:val="0"/>
          <w:i w:val="0"/>
          <w:strike w:val="0"/>
          <w:noProof w:val="0"/>
          <w:color w:val="000000"/>
          <w:position w:val="0"/>
          <w:sz w:val="20"/>
          <w:u w:val="none"/>
          <w:vertAlign w:val="baseline"/>
        </w:rPr>
        <w:t xml:space="preserve">1. The agent's initial stop of Defendants' vehicle, a Honda Pilot, was supported by the requisite "reasonable suspicion to believe that criminal activity 'may be afoot.'" </w:t>
      </w:r>
      <w:bookmarkStart w:id="25" w:name="Bookmark_I679HS1X2N1RJ30030000400"/>
      <w:bookmarkEnd w:id="25"/>
      <w:hyperlink r:id="rId16" w:history="1">
        <w:r>
          <w:rPr>
            <w:rFonts w:ascii="arial" w:eastAsia="arial" w:hAnsi="arial" w:cs="arial"/>
            <w:b w:val="0"/>
            <w:i/>
            <w:strike w:val="0"/>
            <w:noProof w:val="0"/>
            <w:color w:val="0077CC"/>
            <w:position w:val="0"/>
            <w:sz w:val="20"/>
            <w:u w:val="single"/>
            <w:vertAlign w:val="baseline"/>
          </w:rPr>
          <w:t>United States v. Arvizu</w:t>
        </w:r>
      </w:hyperlink>
      <w:hyperlink r:id="rId16" w:history="1">
        <w:r>
          <w:rPr>
            <w:rFonts w:ascii="arial" w:eastAsia="arial" w:hAnsi="arial" w:cs="arial"/>
            <w:b w:val="0"/>
            <w:i/>
            <w:strike w:val="0"/>
            <w:noProof w:val="0"/>
            <w:color w:val="0077CC"/>
            <w:position w:val="0"/>
            <w:sz w:val="20"/>
            <w:u w:val="single"/>
            <w:vertAlign w:val="baseline"/>
          </w:rPr>
          <w:t>, 534 U.S. 266, 273, 122 S. Ct. 744, 151 L. Ed. 2d 740 (2002)</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26" w:name="Bookmark_para_6"/>
      <w:bookmarkEnd w:id="26"/>
      <w:r>
        <w:rPr>
          <w:rFonts w:ascii="arial" w:eastAsia="arial" w:hAnsi="arial" w:cs="arial"/>
          <w:b w:val="0"/>
          <w:i w:val="0"/>
          <w:strike w:val="0"/>
          <w:noProof w:val="0"/>
          <w:color w:val="000000"/>
          <w:position w:val="0"/>
          <w:sz w:val="20"/>
          <w:u w:val="none"/>
          <w:vertAlign w:val="baseline"/>
        </w:rPr>
        <w:t xml:space="preserve">At the time that the agent stopped the Pilot on June 25, 2020, he had already followed that vehicle for more than eight miles on the freeway. The agent had initially been parked conspicuously by the side of the road, and after the Defendants' Pilot—alone among the group of three cars in which it was traveling—substantially slowed down upon seeing the agent's vehicle, the agent began following the Pilot. While doing so, the agent performed a records check on that vehicle and learned that it had crossed the border from Mexico earlier that morning; that two persons were in the Pilot when it had crossed, namely Mario Marcial (the Pilot's registered owner) and Jorge Marcial; that Jorge Marcial had attempted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marijuana</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over the border in 2010 and 2014; and that Mario Marcial had attempted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marijuana across the border in 2011 and had also attempted to cross the border in a stolen vehicle in 2019. </w:t>
      </w:r>
      <w:bookmarkStart w:id="27" w:name="Bookmark_I679HS1Y2SF88H0010000400"/>
      <w:bookmarkEnd w:id="27"/>
      <w:r>
        <w:rPr>
          <w:rFonts w:ascii="arial" w:eastAsia="arial" w:hAnsi="arial" w:cs="arial"/>
          <w:b w:val="0"/>
          <w:i w:val="0"/>
          <w:strike w:val="0"/>
          <w:noProof w:val="0"/>
          <w:color w:val="000000"/>
          <w:position w:val="0"/>
          <w:sz w:val="20"/>
          <w:u w:val="none"/>
          <w:vertAlign w:val="baseline"/>
        </w:rPr>
        <w:t xml:space="preserve">The agent noticed that the Pilot had difficulty staying in its lane, which the agent believed might be due to nervousness about the presence of law enforcement. Then, as the two vehicles were approaching the Temecula Border Control Checkpoint, the Pilot—which had been driving in the left-most lane—suddenly swerved across three lanes in an apparent attempt to evade the agent by exiting the freeway, at the last minute, at the last exit before the checkpoint. This "unsafe[]" maneuver was unsuccessful, because a tractor trailer in the fourth lane blocked the Pilot's ability to exit. These facts, taken as a whole, amply provide "reasonable suspicion to believe that criminal activity 'may be afoot.'" </w:t>
      </w:r>
      <w:bookmarkStart w:id="28" w:name="Bookmark_I679HS1X2N1RJ30050000400"/>
      <w:bookmarkEnd w:id="28"/>
      <w:hyperlink r:id="rId16" w:history="1">
        <w:r>
          <w:rPr>
            <w:rFonts w:ascii="arial" w:eastAsia="arial" w:hAnsi="arial" w:cs="arial"/>
            <w:b w:val="0"/>
            <w:i/>
            <w:strike w:val="0"/>
            <w:noProof w:val="0"/>
            <w:color w:val="0077CC"/>
            <w:position w:val="0"/>
            <w:sz w:val="20"/>
            <w:u w:val="single"/>
            <w:vertAlign w:val="baseline"/>
          </w:rPr>
          <w:t>Arvizu</w:t>
        </w:r>
      </w:hyperlink>
      <w:hyperlink r:id="rId16" w:history="1">
        <w:r>
          <w:rPr>
            <w:rFonts w:ascii="arial" w:eastAsia="arial" w:hAnsi="arial" w:cs="arial"/>
            <w:b w:val="0"/>
            <w:i/>
            <w:strike w:val="0"/>
            <w:noProof w:val="0"/>
            <w:color w:val="0077CC"/>
            <w:position w:val="0"/>
            <w:sz w:val="20"/>
            <w:u w:val="single"/>
            <w:vertAlign w:val="baseline"/>
          </w:rPr>
          <w:t>, 534 U.S. at 273</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strike w:val="0"/>
          <w:noProof w:val="0"/>
          <w:color w:val="000000"/>
          <w:position w:val="0"/>
          <w:sz w:val="20"/>
          <w:u w:val="none"/>
          <w:vertAlign w:val="baseline"/>
        </w:rPr>
        <w:t xml:space="preserve">see also </w:t>
      </w:r>
      <w:bookmarkStart w:id="29" w:name="Bookmark_I679HS1Y2SF88H0020000400"/>
      <w:bookmarkEnd w:id="29"/>
      <w:hyperlink r:id="rId17" w:history="1">
        <w:r>
          <w:rPr>
            <w:rFonts w:ascii="arial" w:eastAsia="arial" w:hAnsi="arial" w:cs="arial"/>
            <w:b w:val="0"/>
            <w:i/>
            <w:strike w:val="0"/>
            <w:noProof w:val="0"/>
            <w:color w:val="0077CC"/>
            <w:position w:val="0"/>
            <w:sz w:val="20"/>
            <w:u w:val="single"/>
            <w:vertAlign w:val="baseline"/>
          </w:rPr>
          <w:t>United States v. Valdes-Vega</w:t>
        </w:r>
      </w:hyperlink>
      <w:hyperlink r:id="rId17" w:history="1">
        <w:r>
          <w:rPr>
            <w:rFonts w:ascii="arial" w:eastAsia="arial" w:hAnsi="arial" w:cs="arial"/>
            <w:b w:val="0"/>
            <w:i/>
            <w:strike w:val="0"/>
            <w:noProof w:val="0"/>
            <w:color w:val="0077CC"/>
            <w:position w:val="0"/>
            <w:sz w:val="20"/>
            <w:u w:val="single"/>
            <w:vertAlign w:val="baseline"/>
          </w:rPr>
          <w:t>, 738 F.3d 1074, 1079 (9th Cir. 2013)</w:t>
        </w:r>
      </w:hyperlink>
      <w:r>
        <w:rPr>
          <w:rFonts w:ascii="arial" w:eastAsia="arial" w:hAnsi="arial" w:cs="arial"/>
          <w:b w:val="0"/>
          <w:i w:val="0"/>
          <w:strike w:val="0"/>
          <w:noProof w:val="0"/>
          <w:color w:val="000000"/>
          <w:position w:val="0"/>
          <w:sz w:val="20"/>
          <w:u w:val="none"/>
          <w:vertAlign w:val="baseline"/>
        </w:rPr>
        <w:t xml:space="preserve"> (en banc) (finding reasonable suspicion for stop of vehicle engaged in "erratic" driving near the same Temecula checkpoint where defendant's driving "changed as [the defendant] approached the checkpoint" and was on same route "commonly used by smugglers coming from Mexico").</w:t>
      </w:r>
      <w:r>
        <w:rPr>
          <w:rFonts w:ascii="arial" w:eastAsia="arial" w:hAnsi="arial" w:cs="arial"/>
          <w:b/>
          <w:i w:val="0"/>
          <w:strike w:val="0"/>
          <w:noProof w:val="0"/>
          <w:color w:val="000000"/>
          <w:position w:val="0"/>
          <w:sz w:val="20"/>
          <w:u w:val="none"/>
          <w:vertAlign w:val="baseline"/>
        </w:rPr>
        <w:t> [*4] </w:t>
      </w:r>
      <w:r>
        <w:rPr>
          <w:rFonts w:ascii="arial" w:eastAsia="arial" w:hAnsi="arial" w:cs="arial"/>
          <w:vertAlign w:val="superscript"/>
        </w:rPr>
        <w:footnoteReference w:customMarkFollows="1" w:id="4"/>
        <w:t xml:space="preserve">1</w:t>
      </w:r>
    </w:p>
    <w:p>
      <w:pPr>
        <w:keepNext w:val="0"/>
        <w:spacing w:before="200" w:after="0" w:line="260" w:lineRule="atLeast"/>
        <w:ind w:left="0" w:right="0" w:firstLine="0"/>
        <w:jc w:val="both"/>
      </w:pPr>
      <w:bookmarkStart w:id="31" w:name="Bookmark_para_7"/>
      <w:bookmarkEnd w:id="31"/>
      <w:bookmarkStart w:id="32" w:name="Bookmark_I679HS1Y2SF88H0050000400"/>
      <w:bookmarkEnd w:id="32"/>
      <w:r>
        <w:rPr>
          <w:rFonts w:ascii="arial" w:eastAsia="arial" w:hAnsi="arial" w:cs="arial"/>
          <w:b w:val="0"/>
          <w:i w:val="0"/>
          <w:strike w:val="0"/>
          <w:noProof w:val="0"/>
          <w:color w:val="000000"/>
          <w:position w:val="0"/>
          <w:sz w:val="20"/>
          <w:u w:val="none"/>
          <w:vertAlign w:val="baseline"/>
        </w:rPr>
        <w:t xml:space="preserve">2. The seizure of the Pilot based on reasonable suspicion was not unduly prolonged. </w:t>
      </w:r>
      <w:bookmarkStart w:id="33" w:name="Bookmark_LNHNREFclscc1"/>
      <w:bookmarkEnd w:id="33"/>
      <w:hyperlink r:id="rId18"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1"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A lawful seizure "can become unlawful if it is prolonged beyond the time reasonably required to complete [its] mission." </w:t>
      </w:r>
      <w:bookmarkStart w:id="34" w:name="Bookmark_I679HS1Y2SF88H0040000400"/>
      <w:bookmarkEnd w:id="34"/>
      <w:hyperlink r:id="rId20" w:history="1">
        <w:r>
          <w:rPr>
            <w:rFonts w:ascii="arial" w:eastAsia="arial" w:hAnsi="arial" w:cs="arial"/>
            <w:b w:val="0"/>
            <w:i/>
            <w:strike w:val="0"/>
            <w:noProof w:val="0"/>
            <w:color w:val="0077CC"/>
            <w:position w:val="0"/>
            <w:sz w:val="20"/>
            <w:u w:val="single"/>
            <w:vertAlign w:val="baseline"/>
          </w:rPr>
          <w:t>Illinois v. Caballes</w:t>
        </w:r>
      </w:hyperlink>
      <w:hyperlink r:id="rId20" w:history="1">
        <w:r>
          <w:rPr>
            <w:rFonts w:ascii="arial" w:eastAsia="arial" w:hAnsi="arial" w:cs="arial"/>
            <w:b w:val="0"/>
            <w:i/>
            <w:strike w:val="0"/>
            <w:noProof w:val="0"/>
            <w:color w:val="0077CC"/>
            <w:position w:val="0"/>
            <w:sz w:val="20"/>
            <w:u w:val="single"/>
            <w:vertAlign w:val="baseline"/>
          </w:rPr>
          <w:t>, 543 U.S. 405, 407, 125 S. Ct. 834, 160 L. Ed. 2d 842 (2005)</w:t>
        </w:r>
      </w:hyperlink>
      <w:r>
        <w:rPr>
          <w:rFonts w:ascii="arial" w:eastAsia="arial" w:hAnsi="arial" w:cs="arial"/>
          <w:b w:val="0"/>
          <w:i w:val="0"/>
          <w:strike w:val="0"/>
          <w:noProof w:val="0"/>
          <w:color w:val="000000"/>
          <w:position w:val="0"/>
          <w:sz w:val="20"/>
          <w:u w:val="none"/>
          <w:vertAlign w:val="baseline"/>
        </w:rPr>
        <w:t>. After asking the driver, Jorge Marcial, to exit the vehicle, the agent questioned him for approximately four minutes. Jorge told the agent that he was traveling to Long Beach, which the agent thought was suspicious because Defendants were not traveling on the freeway that drivers ordinarily would take when heading to Long Beach. Jorge further stated to the agent that he was not responsible for the vehicle, and Jorge admitted that there was marijuana in the vehicle. The agent then separately questioned Mario Marcial for about four minutes. Mario likewise said that they were headed to Long Beach, and he explained that he did not take the direct freeway route because he was afraid of encountering "border patrol" on that route given that Jorge lacked a driver's license. Mario also acknowledged there was marijuana in the car, but in response to a follow-up question, he said it was only a small amount. When the agent said he was only interested in "large quantities of marijuana," Mario</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"had an extremely scared look on his face and would no longer make eye contact." Given the efficiency and effectiveness of this questioning in developing information relevant to the underlying reasonable suspicion that led to the stop, we conclude that it was not unduly prolonged.</w:t>
      </w:r>
    </w:p>
    <w:p>
      <w:pPr>
        <w:keepNext w:val="0"/>
        <w:spacing w:before="240" w:after="0" w:line="260" w:lineRule="atLeast"/>
        <w:ind w:left="0" w:right="0" w:firstLine="0"/>
        <w:jc w:val="both"/>
      </w:pPr>
      <w:bookmarkStart w:id="35" w:name="Bookmark_para_8"/>
      <w:bookmarkEnd w:id="35"/>
      <w:r>
        <w:rPr>
          <w:rFonts w:ascii="arial" w:eastAsia="arial" w:hAnsi="arial" w:cs="arial"/>
          <w:b w:val="0"/>
          <w:i w:val="0"/>
          <w:strike w:val="0"/>
          <w:noProof w:val="0"/>
          <w:color w:val="000000"/>
          <w:position w:val="0"/>
          <w:sz w:val="20"/>
          <w:u w:val="none"/>
          <w:vertAlign w:val="baseline"/>
        </w:rPr>
        <w:t xml:space="preserve">3. </w:t>
      </w:r>
      <w:bookmarkStart w:id="36" w:name="Bookmark_I679HS1Y28T4760020000400"/>
      <w:bookmarkEnd w:id="36"/>
      <w:r>
        <w:rPr>
          <w:rFonts w:ascii="arial" w:eastAsia="arial" w:hAnsi="arial" w:cs="arial"/>
          <w:b w:val="0"/>
          <w:i w:val="0"/>
          <w:strike w:val="0"/>
          <w:noProof w:val="0"/>
          <w:color w:val="000000"/>
          <w:position w:val="0"/>
          <w:sz w:val="20"/>
          <w:u w:val="none"/>
          <w:vertAlign w:val="baseline"/>
        </w:rPr>
        <w:t xml:space="preserve">The agent had probable cause to search the Marcials' vehicle. </w:t>
      </w:r>
      <w:bookmarkStart w:id="37" w:name="Bookmark_LNHNREFclscc2"/>
      <w:bookmarkEnd w:id="37"/>
      <w:hyperlink r:id="rId21"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2"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While the initial seizure need only have been supported by reasonable suspicion, an officer needs "probable cause to believe that the vehicle contains evidence of a crime" to search a vehicle without a warrant. </w:t>
      </w:r>
      <w:bookmarkStart w:id="38" w:name="Bookmark_I679HS1Y28T4760040000400"/>
      <w:bookmarkEnd w:id="38"/>
      <w:bookmarkStart w:id="39" w:name="Bookmark_I679HS1Y28T4760010000400"/>
      <w:bookmarkEnd w:id="39"/>
      <w:hyperlink r:id="rId22" w:history="1">
        <w:r>
          <w:rPr>
            <w:rFonts w:ascii="arial" w:eastAsia="arial" w:hAnsi="arial" w:cs="arial"/>
            <w:b w:val="0"/>
            <w:i/>
            <w:strike w:val="0"/>
            <w:noProof w:val="0"/>
            <w:color w:val="0077CC"/>
            <w:position w:val="0"/>
            <w:sz w:val="20"/>
            <w:u w:val="single"/>
            <w:vertAlign w:val="baseline"/>
          </w:rPr>
          <w:t>United States v. Brooks</w:t>
        </w:r>
      </w:hyperlink>
      <w:hyperlink r:id="rId22" w:history="1">
        <w:r>
          <w:rPr>
            <w:rFonts w:ascii="arial" w:eastAsia="arial" w:hAnsi="arial" w:cs="arial"/>
            <w:b w:val="0"/>
            <w:i/>
            <w:strike w:val="0"/>
            <w:noProof w:val="0"/>
            <w:color w:val="0077CC"/>
            <w:position w:val="0"/>
            <w:sz w:val="20"/>
            <w:u w:val="single"/>
            <w:vertAlign w:val="baseline"/>
          </w:rPr>
          <w:t>, 610 F.3d 1186, 1193 (9th Cir. 2010)</w:t>
        </w:r>
      </w:hyperlink>
      <w:r>
        <w:rPr>
          <w:rFonts w:ascii="arial" w:eastAsia="arial" w:hAnsi="arial" w:cs="arial"/>
          <w:b w:val="0"/>
          <w:i w:val="0"/>
          <w:strike w:val="0"/>
          <w:noProof w:val="0"/>
          <w:color w:val="000000"/>
          <w:position w:val="0"/>
          <w:sz w:val="20"/>
          <w:u w:val="none"/>
          <w:vertAlign w:val="baseline"/>
        </w:rPr>
        <w:t xml:space="preserve">. </w:t>
      </w:r>
      <w:bookmarkStart w:id="40" w:name="Bookmark_I679HS1Y28T4760040000400_2"/>
      <w:bookmarkEnd w:id="40"/>
      <w:r>
        <w:rPr>
          <w:rFonts w:ascii="arial" w:eastAsia="arial" w:hAnsi="arial" w:cs="arial"/>
          <w:b w:val="0"/>
          <w:i w:val="0"/>
          <w:strike w:val="0"/>
          <w:noProof w:val="0"/>
          <w:color w:val="000000"/>
          <w:position w:val="0"/>
          <w:sz w:val="20"/>
          <w:u w:val="none"/>
          <w:vertAlign w:val="baseline"/>
        </w:rPr>
        <w:t xml:space="preserve">Defendants contend that the mere admission that marijuana was in the car did not create probable cause for a vehicle search, given that the amounts could have been (as Mario claimed) small, personal-use amounts that would neither be unlawful under California state law nor (in Defendants' view) probative of drug trafficking. </w:t>
      </w:r>
      <w:bookmarkStart w:id="41" w:name="Bookmark_I679HS1Y2D6N390010000400"/>
      <w:bookmarkEnd w:id="41"/>
      <w:r>
        <w:rPr>
          <w:rFonts w:ascii="arial" w:eastAsia="arial" w:hAnsi="arial" w:cs="arial"/>
          <w:b w:val="0"/>
          <w:i/>
          <w:strike w:val="0"/>
          <w:noProof w:val="0"/>
          <w:color w:val="000000"/>
          <w:position w:val="0"/>
          <w:sz w:val="20"/>
          <w:u w:val="none"/>
          <w:vertAlign w:val="baseline"/>
        </w:rPr>
        <w:t xml:space="preserve">See </w:t>
      </w:r>
      <w:bookmarkStart w:id="42" w:name="Bookmark_I679HS1Y28T4760030000400"/>
      <w:bookmarkEnd w:id="42"/>
      <w:hyperlink r:id="rId23" w:history="1">
        <w:r>
          <w:rPr>
            <w:rFonts w:ascii="arial" w:eastAsia="arial" w:hAnsi="arial" w:cs="arial"/>
            <w:b w:val="0"/>
            <w:i/>
            <w:strike w:val="0"/>
            <w:noProof w:val="0"/>
            <w:color w:val="0077CC"/>
            <w:position w:val="0"/>
            <w:sz w:val="20"/>
            <w:u w:val="single"/>
            <w:vertAlign w:val="baseline"/>
          </w:rPr>
          <w:t>United States v. Underwood</w:t>
        </w:r>
      </w:hyperlink>
      <w:hyperlink r:id="rId23" w:history="1">
        <w:r>
          <w:rPr>
            <w:rFonts w:ascii="arial" w:eastAsia="arial" w:hAnsi="arial" w:cs="arial"/>
            <w:b w:val="0"/>
            <w:i/>
            <w:strike w:val="0"/>
            <w:noProof w:val="0"/>
            <w:color w:val="0077CC"/>
            <w:position w:val="0"/>
            <w:sz w:val="20"/>
            <w:u w:val="single"/>
            <w:vertAlign w:val="baseline"/>
          </w:rPr>
          <w:t>, 725 F.3d 1076, 1082-83 (9th Cir. 2013)</w:t>
        </w:r>
      </w:hyperlink>
      <w:r>
        <w:rPr>
          <w:rFonts w:ascii="arial" w:eastAsia="arial" w:hAnsi="arial" w:cs="arial"/>
          <w:b w:val="0"/>
          <w:i w:val="0"/>
          <w:strike w:val="0"/>
          <w:noProof w:val="0"/>
          <w:color w:val="000000"/>
          <w:position w:val="0"/>
          <w:sz w:val="20"/>
          <w:u w:val="none"/>
          <w:vertAlign w:val="baseline"/>
        </w:rPr>
        <w:t xml:space="preserve"> (holding that an officer's observation of a small amount of marijuana did not provide probable cause to search the home of an alleged ecstasy trafficker). </w:t>
      </w:r>
      <w:bookmarkStart w:id="43" w:name="Bookmark_I679HS1Y2D6N390010000400_2"/>
      <w:bookmarkEnd w:id="43"/>
      <w:r>
        <w:rPr>
          <w:rFonts w:ascii="arial" w:eastAsia="arial" w:hAnsi="arial" w:cs="arial"/>
          <w:b w:val="0"/>
          <w:i w:val="0"/>
          <w:strike w:val="0"/>
          <w:noProof w:val="0"/>
          <w:color w:val="000000"/>
          <w:position w:val="0"/>
          <w:sz w:val="20"/>
          <w:u w:val="none"/>
          <w:vertAlign w:val="baseline"/>
        </w:rPr>
        <w:t>But the admission that the Pilot contained marijuana must be evaluated in light of all of the other facts known to the agent, including the other facts we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have set forth above. </w:t>
      </w:r>
      <w:bookmarkStart w:id="44" w:name="Bookmark_I679HS1Y2D6N390030000400"/>
      <w:bookmarkEnd w:id="44"/>
      <w:r>
        <w:rPr>
          <w:rFonts w:ascii="arial" w:eastAsia="arial" w:hAnsi="arial" w:cs="arial"/>
          <w:b w:val="0"/>
          <w:i/>
          <w:strike w:val="0"/>
          <w:noProof w:val="0"/>
          <w:color w:val="000000"/>
          <w:position w:val="0"/>
          <w:sz w:val="20"/>
          <w:u w:val="none"/>
          <w:vertAlign w:val="baseline"/>
        </w:rPr>
        <w:t xml:space="preserve">See </w:t>
      </w:r>
      <w:bookmarkStart w:id="45" w:name="Bookmark_I679HS1Y28T4760050000400"/>
      <w:bookmarkEnd w:id="45"/>
      <w:hyperlink r:id="rId24" w:history="1">
        <w:r>
          <w:rPr>
            <w:rFonts w:ascii="arial" w:eastAsia="arial" w:hAnsi="arial" w:cs="arial"/>
            <w:b w:val="0"/>
            <w:i/>
            <w:strike w:val="0"/>
            <w:noProof w:val="0"/>
            <w:color w:val="0077CC"/>
            <w:position w:val="0"/>
            <w:sz w:val="20"/>
            <w:u w:val="single"/>
            <w:vertAlign w:val="baseline"/>
          </w:rPr>
          <w:t>District of Columbia v. Wesby</w:t>
        </w:r>
      </w:hyperlink>
      <w:hyperlink r:id="rId24" w:history="1">
        <w:r>
          <w:rPr>
            <w:rFonts w:ascii="arial" w:eastAsia="arial" w:hAnsi="arial" w:cs="arial"/>
            <w:b w:val="0"/>
            <w:i/>
            <w:strike w:val="0"/>
            <w:noProof w:val="0"/>
            <w:color w:val="0077CC"/>
            <w:position w:val="0"/>
            <w:sz w:val="20"/>
            <w:u w:val="single"/>
            <w:vertAlign w:val="baseline"/>
          </w:rPr>
          <w:t>, 138 S. Ct. 577, 588, 199 L. Ed. 2d 453 (2018)</w:t>
        </w:r>
      </w:hyperlink>
      <w:r>
        <w:rPr>
          <w:rFonts w:ascii="arial" w:eastAsia="arial" w:hAnsi="arial" w:cs="arial"/>
          <w:b w:val="0"/>
          <w:i w:val="0"/>
          <w:strike w:val="0"/>
          <w:noProof w:val="0"/>
          <w:color w:val="000000"/>
          <w:position w:val="0"/>
          <w:sz w:val="20"/>
          <w:u w:val="none"/>
          <w:vertAlign w:val="baseline"/>
        </w:rPr>
        <w:t xml:space="preserve"> (rejecting a "divide-and-conquer" approach to analyzing facts supporting a probable cause determination (citation omitted)). </w:t>
      </w:r>
      <w:bookmarkStart w:id="46" w:name="Bookmark_I679HS1Y2D6N390030000400_2"/>
      <w:bookmarkEnd w:id="46"/>
      <w:r>
        <w:rPr>
          <w:rFonts w:ascii="arial" w:eastAsia="arial" w:hAnsi="arial" w:cs="arial"/>
          <w:b w:val="0"/>
          <w:i w:val="0"/>
          <w:strike w:val="0"/>
          <w:noProof w:val="0"/>
          <w:color w:val="000000"/>
          <w:position w:val="0"/>
          <w:sz w:val="20"/>
          <w:u w:val="none"/>
          <w:vertAlign w:val="baseline"/>
        </w:rPr>
        <w:t xml:space="preserve">Considering "the whole picture" presented by the "totality of the circumstances,"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we conclude that the agent had probable cause to conclude that the Marcials were engaged in narcotics trafficking and that narcotics would be found in the vehicle. </w:t>
      </w:r>
      <w:bookmarkStart w:id="47" w:name="Bookmark_I679HS1Y2D6N390020000400"/>
      <w:bookmarkEnd w:id="47"/>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586</w:t>
        </w:r>
      </w:hyperlink>
      <w:r>
        <w:rPr>
          <w:rFonts w:ascii="arial" w:eastAsia="arial" w:hAnsi="arial" w:cs="arial"/>
          <w:b w:val="0"/>
          <w:i w:val="0"/>
          <w:strike w:val="0"/>
          <w:noProof w:val="0"/>
          <w:color w:val="000000"/>
          <w:position w:val="0"/>
          <w:sz w:val="20"/>
          <w:u w:val="none"/>
          <w:vertAlign w:val="baseline"/>
        </w:rPr>
        <w:t xml:space="preserve"> (stating that "[p]robable cause is not a high bar" and "requires only a probability or substantial chance of criminal activity, not an actual showing of such activity" (citations and internal quotation marks omitted)).</w:t>
      </w:r>
    </w:p>
    <w:p>
      <w:pPr>
        <w:keepNext w:val="0"/>
        <w:spacing w:before="200" w:after="0" w:line="260" w:lineRule="atLeast"/>
        <w:ind w:left="0" w:right="0" w:firstLine="0"/>
        <w:jc w:val="both"/>
      </w:pPr>
      <w:bookmarkStart w:id="48" w:name="Bookmark_para_9"/>
      <w:bookmarkEnd w:id="48"/>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3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7" w:name="Bookmark_fnpara_1"/>
      <w:bookmarkEnd w:id="17"/>
      <w:r>
        <w:rPr>
          <w:rFonts w:ascii="arial" w:eastAsia="arial" w:hAnsi="arial" w:cs="arial"/>
          <w:b w:val="0"/>
          <w:i w:val="0"/>
          <w:strike w:val="0"/>
          <w:noProof w:val="0"/>
          <w:color w:val="000000"/>
          <w:position w:val="0"/>
          <w:sz w:val="18"/>
          <w:u w:val="none"/>
          <w:vertAlign w:val="baseline"/>
        </w:rPr>
        <w:t>The Honorable Edward R. Korman, United States District Judge for the Eastern District of New York, sitting by designation.</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9" w:name="Bookmark_fnpara_2"/>
      <w:bookmarkEnd w:id="19"/>
      <w:r>
        <w:rPr>
          <w:rFonts w:ascii="arial" w:eastAsia="arial" w:hAnsi="arial" w:cs="arial"/>
          <w:b w:val="0"/>
          <w:i w:val="0"/>
          <w:strike w:val="0"/>
          <w:noProof w:val="0"/>
          <w:color w:val="000000"/>
          <w:position w:val="0"/>
          <w:sz w:val="18"/>
          <w:u w:val="none"/>
          <w:vertAlign w:val="baseline"/>
        </w:rPr>
        <w:t xml:space="preserve">This disposition is not appropriate for publication and is not precedent except as provided by </w:t>
      </w:r>
      <w:hyperlink r:id="rId1" w:history="1">
        <w:r>
          <w:rPr>
            <w:rFonts w:ascii="arial" w:eastAsia="arial" w:hAnsi="arial" w:cs="arial"/>
            <w:b w:val="0"/>
            <w:i/>
            <w:strike w:val="0"/>
            <w:noProof w:val="0"/>
            <w:color w:val="0077CC"/>
            <w:position w:val="0"/>
            <w:sz w:val="18"/>
            <w:u w:val="single"/>
            <w:vertAlign w:val="baseline"/>
          </w:rPr>
          <w:t>Ninth Circuit Rule 36-3</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0" w:name="Bookmark_fnpara_3"/>
      <w:bookmarkEnd w:id="30"/>
      <w:r>
        <w:rPr>
          <w:rFonts w:ascii="arial" w:eastAsia="arial" w:hAnsi="arial" w:cs="arial"/>
          <w:b w:val="0"/>
          <w:i w:val="0"/>
          <w:strike w:val="0"/>
          <w:noProof w:val="0"/>
          <w:color w:val="000000"/>
          <w:position w:val="0"/>
          <w:sz w:val="18"/>
          <w:u w:val="none"/>
          <w:vertAlign w:val="baseline"/>
        </w:rPr>
        <w:t>In their opening brief, Defendants contended that these factors, standing alone, did not amount to reasonable suspicion, but they did not challenge the underlying factual findings about their driving behavior or about the agent's knowledge of their prior border crossings. Because we conclude that these factors were sufficient to establish reasonable suspicion, we need not address Defendants' further contention that the district court clearly erred in crediting the agent's claim to have seen artificial spray-on mud on the Pilot's undercarriage.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Marcial, 2023 U.S. App. LEXIS 436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6N8-PT31-FBV7-B36X-00000-00&amp;context=1519360" TargetMode="External" /><Relationship Id="rId11" Type="http://schemas.openxmlformats.org/officeDocument/2006/relationships/hyperlink" Target="https://advance.lexis.com/api/document?collection=cases&amp;id=urn:contentItem:678V-W041-JPP5-254B-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78V-W041-JPP5-254B-00000-00&amp;context=1519360&amp;link=LNHNREFclscc2" TargetMode="External" /><Relationship Id="rId14" Type="http://schemas.openxmlformats.org/officeDocument/2006/relationships/hyperlink" Target="https://advance.lexis.com/api/document?collection=statutes-legislation&amp;id=urn:contentItem:8SG9-5HW2-D6RV-H0FT-00000-00&amp;context=1519360" TargetMode="External" /><Relationship Id="rId15" Type="http://schemas.openxmlformats.org/officeDocument/2006/relationships/hyperlink" Target="https://advance.lexis.com/api/document?collection=cases&amp;id=urn:contentItem:564F-9331-F04K-V2VS-00000-00&amp;context=1519360" TargetMode="External" /><Relationship Id="rId16" Type="http://schemas.openxmlformats.org/officeDocument/2006/relationships/hyperlink" Target="https://advance.lexis.com/api/document?collection=cases&amp;id=urn:contentItem:44XD-1FR0-004C-101T-00000-00&amp;context=1519360" TargetMode="External" /><Relationship Id="rId17" Type="http://schemas.openxmlformats.org/officeDocument/2006/relationships/hyperlink" Target="https://advance.lexis.com/api/document?collection=cases&amp;id=urn:contentItem:5B4D-53V1-F04K-V3JM-00000-00&amp;context=1519360" TargetMode="External" /><Relationship Id="rId18" Type="http://schemas.openxmlformats.org/officeDocument/2006/relationships/hyperlink" Target="https://advance.lexis.com/api/document?collection=cases&amp;id=urn:contentItem:678V-W041-JPP5-254B-00000-00&amp;context=1519360&amp;link=clscc1" TargetMode="External" /><Relationship Id="rId19" Type="http://schemas.openxmlformats.org/officeDocument/2006/relationships/image" Target="media/image3.png" /><Relationship Id="rId2" Type="http://schemas.openxmlformats.org/officeDocument/2006/relationships/settings" Target="settings.xml" /><Relationship Id="rId20" Type="http://schemas.openxmlformats.org/officeDocument/2006/relationships/hyperlink" Target="https://advance.lexis.com/api/document?collection=cases&amp;id=urn:contentItem:4FB1-W390-004B-Y019-00000-00&amp;context=1519360" TargetMode="External" /><Relationship Id="rId21" Type="http://schemas.openxmlformats.org/officeDocument/2006/relationships/hyperlink" Target="https://advance.lexis.com/api/document?collection=cases&amp;id=urn:contentItem:678V-W041-JPP5-254B-00000-00&amp;context=1519360&amp;link=clscc2" TargetMode="External" /><Relationship Id="rId22" Type="http://schemas.openxmlformats.org/officeDocument/2006/relationships/hyperlink" Target="https://advance.lexis.com/api/document?collection=cases&amp;id=urn:contentItem:7YWN-R261-652R-8002-00000-00&amp;context=1519360" TargetMode="External" /><Relationship Id="rId23" Type="http://schemas.openxmlformats.org/officeDocument/2006/relationships/hyperlink" Target="https://advance.lexis.com/api/document?collection=cases&amp;id=urn:contentItem:592J-2WR1-F04K-V02F-00000-00&amp;context=1519360" TargetMode="External" /><Relationship Id="rId24" Type="http://schemas.openxmlformats.org/officeDocument/2006/relationships/hyperlink" Target="https://advance.lexis.com/api/document?collection=cases&amp;id=urn:contentItem:5RG4-7S81-F04K-F55Y-00000-00&amp;context=1519360"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8V-W041-JPP5-254B-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KYR-5452-D6RV-H4P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Marcial, 2023 U.S. App. LEXIS 436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Doc::urn:hlct:5|contextualFeaturePermID::1519360</vt:lpwstr>
  </property>
  <property fmtid="{D5CDD505-2E9C-101B-9397-08002B2CF9AE}" pid="5" name="UserPermID">
    <vt:lpwstr>urn:user:PA186186283</vt:lpwstr>
  </property>
</Properties>
</file>