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Oppel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 Decided; December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4:21-CR-00276</w:t>
      </w:r>
    </w:p>
    <w:p>
      <w:pPr>
        <w:keepNext w:val="0"/>
        <w:spacing w:after="0" w:line="240" w:lineRule="atLeast"/>
        <w:ind w:right="0"/>
        <w:jc w:val="both"/>
      </w:pPr>
      <w:bookmarkStart w:id="0" w:name="Bookmark_5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218322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8458241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COLTON OPPEL,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firearm, regulation, parole, possessing, parolees, indictment, possession of a firearm, imprisonment, sentence, weapons, courts, rights, criminal indictment, motion to dismiss, second step, one year, circumstances, incarcerative, restrictions, as-applied, analogue, violates, facial, prison, armed, fails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Colton Oppel, Defendant: Helen A Stolinas, LEAD ATTORNEY, The Mazza Law Group, PC, State College,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Geoffrey W MacArthur, LEAD ATTORNEY, U.S. Attorney's Office, Middle District of Pennsylvania, Williamsport, PA.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Matthew W. Brann, Chief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Matthew W. Brann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In 2021, Colton Oppel was indicted on 25 counts of being a felon in possession of a firearm, in violation of </w:t>
      </w:r>
      <w:hyperlink r:id="rId10"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—each count relating to a different firearm allegedly found in Oppel's possession—one count of possessing a firearm with an obliterated serial number, in violation of </w:t>
      </w:r>
      <w:hyperlink r:id="rId10" w:history="1">
        <w:r>
          <w:rPr>
            <w:rFonts w:ascii="arial" w:eastAsia="arial" w:hAnsi="arial" w:cs="arial"/>
            <w:b w:val="0"/>
            <w:i/>
            <w:strike w:val="0"/>
            <w:noProof w:val="0"/>
            <w:color w:val="0077CC"/>
            <w:position w:val="0"/>
            <w:sz w:val="20"/>
            <w:u w:val="single"/>
            <w:vertAlign w:val="baseline"/>
          </w:rPr>
          <w:t>18 U.S.C. § 922(k)</w:t>
        </w:r>
      </w:hyperlink>
      <w:r>
        <w:rPr>
          <w:rFonts w:ascii="arial" w:eastAsia="arial" w:hAnsi="arial" w:cs="arial"/>
          <w:b w:val="0"/>
          <w:i w:val="0"/>
          <w:strike w:val="0"/>
          <w:noProof w:val="0"/>
          <w:color w:val="000000"/>
          <w:position w:val="0"/>
          <w:sz w:val="20"/>
          <w:u w:val="none"/>
          <w:vertAlign w:val="baseline"/>
        </w:rPr>
        <w:t xml:space="preserve">, and one count of possessing a firearm that is not registered in the National Firearms Registration and Transfer Record, in violation of </w:t>
      </w:r>
      <w:hyperlink r:id="rId11" w:history="1">
        <w:r>
          <w:rPr>
            <w:rFonts w:ascii="arial" w:eastAsia="arial" w:hAnsi="arial" w:cs="arial"/>
            <w:b w:val="0"/>
            <w:i/>
            <w:strike w:val="0"/>
            <w:noProof w:val="0"/>
            <w:color w:val="0077CC"/>
            <w:position w:val="0"/>
            <w:sz w:val="20"/>
            <w:u w:val="single"/>
            <w:vertAlign w:val="baseline"/>
          </w:rPr>
          <w:t>26 U.S.C. § 5861(d)</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The indictment alleges that Oppel has previously been convicted of a felony offense, thereby prohibiting him from possessing firearms.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Government asserts that Oppel has been convicted of numerous offenses that are punishable by a term of imprisonment exceeding one year.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Of particular note, records confirm that, on August 21, 2019, the Court of Common Pleas of Columbia County sentenced Oppel to a maximum term of one year imprisonment following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his plea of guilty to recklessly endangering another person.</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As part of that incarcerative sentence, Oppel was on parole at the time he allegedly committed the instance offense and was prohibited from possessing firearms; the Commonwealth of Pennsylvania moved to revoke his parole on March 19, 2020.</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 xml:space="preserve">Following the United States Supreme Court's decision in </w:t>
      </w:r>
      <w:r>
        <w:rPr>
          <w:rFonts w:ascii="arial" w:eastAsia="arial" w:hAnsi="arial" w:cs="arial"/>
          <w:b w:val="0"/>
          <w:i/>
          <w:strike w:val="0"/>
          <w:noProof w:val="0"/>
          <w:color w:val="000000"/>
          <w:position w:val="0"/>
          <w:sz w:val="20"/>
          <w:u w:val="none"/>
          <w:vertAlign w:val="baseline"/>
        </w:rPr>
        <w:t>New York State Rifle &amp; Pistol Association, Inc. v. Bruen</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Oppel filed a motion to dismiss the federal criminal indictment against him, arguing that, in light of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the charges against him must be dismissed.</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 Government responds that the indictment should not be dismissed, as the relevant statutes are facially constitutional and constitutional as applied to Oppel since,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he was on parole at the time of the offense and was legally barred from possessing any firearms.</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both"/>
      </w:pPr>
      <w:bookmarkStart w:id="18" w:name="Bookmark_para_4"/>
      <w:bookmarkEnd w:id="18"/>
      <w:r>
        <w:rPr>
          <w:rFonts w:ascii="arial" w:eastAsia="arial" w:hAnsi="arial" w:cs="arial"/>
          <w:b w:val="0"/>
          <w:i w:val="0"/>
          <w:strike w:val="0"/>
          <w:noProof w:val="0"/>
          <w:color w:val="000000"/>
          <w:position w:val="0"/>
          <w:sz w:val="20"/>
          <w:u w:val="none"/>
          <w:vertAlign w:val="baseline"/>
        </w:rPr>
        <w:t xml:space="preserve">The United States Supreme Court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explained the proper legal test for courts to apply when determining whether a law violates the </w:t>
      </w:r>
      <w:hyperlink r:id="rId12"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That test involves primarily an historical analysis:</w:t>
      </w:r>
    </w:p>
    <w:p>
      <w:pPr>
        <w:keepNext w:val="0"/>
        <w:spacing w:before="240" w:after="0" w:line="260" w:lineRule="atLeast"/>
        <w:ind w:left="400" w:right="0" w:firstLine="0"/>
        <w:jc w:val="both"/>
      </w:pPr>
      <w:bookmarkStart w:id="19" w:name="Bookmark_para_5"/>
      <w:bookmarkEnd w:id="19"/>
      <w:r>
        <w:rPr>
          <w:rFonts w:ascii="arial" w:eastAsia="arial" w:hAnsi="arial" w:cs="arial"/>
          <w:b w:val="0"/>
          <w:i w:val="0"/>
          <w:strike w:val="0"/>
          <w:noProof w:val="0"/>
          <w:color w:val="000000"/>
          <w:position w:val="0"/>
          <w:sz w:val="20"/>
          <w:u w:val="none"/>
          <w:vertAlign w:val="baseline"/>
        </w:rPr>
        <w:t xml:space="preserve">when the </w:t>
      </w:r>
      <w:hyperlink r:id="rId12"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plain text covers an individual's conduct, the Constitution presumptively protects that conduct. To justify its regulation,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government may not simply posit that the regulation promotes an important interest. Rather, the government must demonstrate that the regulation is consistent with this Nation's historical tradition of firearm regulation. Only if a firearm regulation is consistent with this Nation's historical tradition may a court conclude that the individual's conduct falls outside the </w:t>
      </w:r>
      <w:hyperlink r:id="rId12"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"unqualified command."</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both"/>
      </w:pPr>
      <w:bookmarkStart w:id="21" w:name="Bookmark_para_6"/>
      <w:bookmarkEnd w:id="21"/>
      <w:r>
        <w:rPr>
          <w:rFonts w:ascii="arial" w:eastAsia="arial" w:hAnsi="arial" w:cs="arial"/>
          <w:b w:val="0"/>
          <w:i w:val="0"/>
          <w:strike w:val="0"/>
          <w:noProof w:val="0"/>
          <w:color w:val="000000"/>
          <w:position w:val="0"/>
          <w:sz w:val="20"/>
          <w:u w:val="none"/>
          <w:vertAlign w:val="baseline"/>
        </w:rPr>
        <w:t xml:space="preserve">As this makes clear, courts must engage in a two-step process to determine whether a criminal indictment violates an individual's </w:t>
      </w:r>
      <w:hyperlink r:id="rId12"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rights. First, a court must "decide whether the text of the </w:t>
      </w:r>
      <w:hyperlink r:id="rId12"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applies to a person and his proposed conduct."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"If it does, the government now bears the burden of proof: it 'must affirmatively prove that its firearms regulation is part of the historical tradition that delimits the outer bounds of the right to keep and bear arms.'"</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bookmarkStart w:id="24" w:name="Bookmark_para_7"/>
      <w:bookmarkEnd w:id="24"/>
      <w:r>
        <w:rPr>
          <w:rFonts w:ascii="arial" w:eastAsia="arial" w:hAnsi="arial" w:cs="arial"/>
          <w:b w:val="0"/>
          <w:i w:val="0"/>
          <w:strike w:val="0"/>
          <w:noProof w:val="0"/>
          <w:color w:val="000000"/>
          <w:position w:val="0"/>
          <w:sz w:val="20"/>
          <w:u w:val="none"/>
          <w:vertAlign w:val="baseline"/>
        </w:rPr>
        <w:t xml:space="preserve">At the second step, in circumstances where a law seeks to address a societal problem with no historical analogue, the Supreme Court has stated that "analogical reasoning under the </w:t>
      </w:r>
      <w:hyperlink r:id="rId12"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is neither a regulatory straightjacket nor a regulatory blank check."</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In all circumstances, the </w:t>
      </w:r>
      <w:hyperlink r:id="rId12"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"requires only that the government identify a well-established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representative historical </w:t>
      </w:r>
      <w:r>
        <w:rPr>
          <w:rFonts w:ascii="arial" w:eastAsia="arial" w:hAnsi="arial" w:cs="arial"/>
          <w:b w:val="0"/>
          <w:i/>
          <w:strike w:val="0"/>
          <w:noProof w:val="0"/>
          <w:color w:val="000000"/>
          <w:position w:val="0"/>
          <w:sz w:val="20"/>
          <w:u w:val="none"/>
          <w:vertAlign w:val="baseline"/>
        </w:rPr>
        <w:t>analogue</w:t>
      </w:r>
      <w:r>
        <w:rPr>
          <w:rFonts w:ascii="arial" w:eastAsia="arial" w:hAnsi="arial" w:cs="arial"/>
          <w:b w:val="0"/>
          <w:i w:val="0"/>
          <w:strike w:val="0"/>
          <w:noProof w:val="0"/>
          <w:color w:val="000000"/>
          <w:position w:val="0"/>
          <w:sz w:val="20"/>
          <w:u w:val="none"/>
          <w:vertAlign w:val="baseline"/>
        </w:rPr>
        <w:t xml:space="preserve">, not a historical </w:t>
      </w:r>
      <w:r>
        <w:rPr>
          <w:rFonts w:ascii="arial" w:eastAsia="arial" w:hAnsi="arial" w:cs="arial"/>
          <w:b w:val="0"/>
          <w:i/>
          <w:strike w:val="0"/>
          <w:noProof w:val="0"/>
          <w:color w:val="000000"/>
          <w:position w:val="0"/>
          <w:sz w:val="20"/>
          <w:u w:val="none"/>
          <w:vertAlign w:val="baseline"/>
        </w:rPr>
        <w:t>twin</w:t>
      </w:r>
      <w:r>
        <w:rPr>
          <w:rFonts w:ascii="arial" w:eastAsia="arial" w:hAnsi="arial" w:cs="arial"/>
          <w:b w:val="0"/>
          <w:i w:val="0"/>
          <w:strike w:val="0"/>
          <w:noProof w:val="0"/>
          <w:color w:val="000000"/>
          <w:position w:val="0"/>
          <w:sz w:val="20"/>
          <w:u w:val="none"/>
          <w:vertAlign w:val="baseline"/>
        </w:rPr>
        <w:t>. So even if a modern-day regulation is not a dead ringer for historical precursors, it still may be analogous enough to pass constitutional muster."</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Therefore, when confronted with regulations "that were unimaginable at the founding," courts must reason "by analogy," which "requires a determination of whether the two regulations are relevantly similar" using "at least two metrics: how and why the regulations burden a law-abiding citizen's right to armed self-defense."</w:t>
      </w:r>
      <w:r>
        <w:rPr>
          <w:rFonts w:ascii="arial" w:eastAsia="arial" w:hAnsi="arial" w:cs="arial"/>
          <w:vertAlign w:val="superscript"/>
        </w:rPr>
        <w:footnoteReference w:customMarkFollows="1" w:id="15"/>
        <w:t xml:space="preserve">14</w:t>
      </w:r>
    </w:p>
    <w:p>
      <w:pPr>
        <w:keepNext w:val="0"/>
        <w:spacing w:before="240" w:after="0" w:line="260" w:lineRule="atLeast"/>
        <w:ind w:left="0" w:right="0" w:firstLine="0"/>
        <w:jc w:val="both"/>
      </w:pPr>
      <w:bookmarkStart w:id="28" w:name="Bookmark_para_8"/>
      <w:bookmarkEnd w:id="28"/>
      <w:r>
        <w:rPr>
          <w:rFonts w:ascii="arial" w:eastAsia="arial" w:hAnsi="arial" w:cs="arial"/>
          <w:b w:val="0"/>
          <w:i w:val="0"/>
          <w:strike w:val="0"/>
          <w:noProof w:val="0"/>
          <w:color w:val="000000"/>
          <w:position w:val="0"/>
          <w:sz w:val="20"/>
          <w:u w:val="none"/>
          <w:vertAlign w:val="baseline"/>
        </w:rPr>
        <w:t xml:space="preserve">As an initial matter, Oppel's facial challenge to </w:t>
      </w:r>
      <w:hyperlink r:id="rId10" w:history="1">
        <w:r>
          <w:rPr>
            <w:rFonts w:ascii="arial" w:eastAsia="arial" w:hAnsi="arial" w:cs="arial"/>
            <w:b w:val="0"/>
            <w:i/>
            <w:strike w:val="0"/>
            <w:noProof w:val="0"/>
            <w:color w:val="0077CC"/>
            <w:position w:val="0"/>
            <w:sz w:val="20"/>
            <w:u w:val="single"/>
            <w:vertAlign w:val="baseline"/>
          </w:rPr>
          <w:t>18 U.S.C. § 922(g)</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26 U.S.C. § 5861(d)</w:t>
        </w:r>
      </w:hyperlink>
      <w:r>
        <w:rPr>
          <w:rFonts w:ascii="arial" w:eastAsia="arial" w:hAnsi="arial" w:cs="arial"/>
          <w:b w:val="0"/>
          <w:i w:val="0"/>
          <w:strike w:val="0"/>
          <w:noProof w:val="0"/>
          <w:color w:val="000000"/>
          <w:position w:val="0"/>
          <w:sz w:val="20"/>
          <w:u w:val="none"/>
          <w:vertAlign w:val="baseline"/>
        </w:rPr>
        <w:t xml:space="preserve"> fails for the reasons previously outlined by this Court in other cases.</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With regard to Oppel's as-applied challenge, the Court need not reach the second step of the </w:t>
      </w:r>
      <w:hyperlink r:id="rId12"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test, as the text of the </w:t>
      </w:r>
      <w:hyperlink r:id="rId12"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does not apply to Oppel and his conduct.</w:t>
      </w:r>
    </w:p>
    <w:p>
      <w:pPr>
        <w:keepNext w:val="0"/>
        <w:spacing w:before="200" w:after="0" w:line="260" w:lineRule="atLeast"/>
        <w:ind w:left="0" w:right="0" w:firstLine="0"/>
        <w:jc w:val="both"/>
      </w:pPr>
      <w:bookmarkStart w:id="30" w:name="Bookmark_para_9"/>
      <w:bookmarkEnd w:id="30"/>
      <w:r>
        <w:rPr>
          <w:rFonts w:ascii="arial" w:eastAsia="arial" w:hAnsi="arial" w:cs="arial"/>
          <w:b w:val="0"/>
          <w:i w:val="0"/>
          <w:strike w:val="0"/>
          <w:noProof w:val="0"/>
          <w:color w:val="000000"/>
          <w:position w:val="0"/>
          <w:sz w:val="20"/>
          <w:u w:val="none"/>
          <w:vertAlign w:val="baseline"/>
        </w:rPr>
        <w:t>Oppel unlawfully possessed firearms in contravention of the requirements of his parole; parole "is a variation on imprisonment of convicted criminals in which the State accords a limited degree of freedom in return for the parolee's assurance that he will comply with the often strict terms and conditions of his release."</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It is well established that parolees are entitled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only a "conditional liberty properly dependent on observance of special parole restrictions."</w:t>
      </w:r>
      <w:r>
        <w:rPr>
          <w:rFonts w:ascii="arial" w:eastAsia="arial" w:hAnsi="arial" w:cs="arial"/>
          <w:vertAlign w:val="superscript"/>
        </w:rPr>
        <w:footnoteReference w:customMarkFollows="1" w:id="18"/>
        <w:t xml:space="preserve">17</w:t>
      </w:r>
    </w:p>
    <w:p>
      <w:pPr>
        <w:keepNext w:val="0"/>
        <w:spacing w:before="240" w:after="0" w:line="260" w:lineRule="atLeast"/>
        <w:ind w:left="0" w:right="0" w:firstLine="0"/>
        <w:jc w:val="both"/>
      </w:pPr>
      <w:bookmarkStart w:id="33" w:name="Bookmark_para_10"/>
      <w:bookmarkEnd w:id="33"/>
      <w:bookmarkStart w:id="34" w:name="Bookmark_I6BGN33J2HM68H0020000400"/>
      <w:bookmarkEnd w:id="34"/>
      <w:r>
        <w:rPr>
          <w:rFonts w:ascii="arial" w:eastAsia="arial" w:hAnsi="arial" w:cs="arial"/>
          <w:b w:val="0"/>
          <w:i w:val="0"/>
          <w:strike w:val="0"/>
          <w:noProof w:val="0"/>
          <w:color w:val="000000"/>
          <w:position w:val="0"/>
          <w:sz w:val="20"/>
          <w:u w:val="none"/>
          <w:vertAlign w:val="baseline"/>
        </w:rPr>
        <w:t xml:space="preserve">And, to the Court's knowledge, no defendant has yet had the temerity to argue that prisoners or parolees are entitled to possess firearms or other weapons while serving an incarcerative sentence, nor has any court found that incarcerated individuals are entitled to weapons during their confinement. Such an argument would be doomed to failure, as the Supreme Court of the United States has endorsed prohibitions against the possession of even hard cover books in prison on the ground that such books may be used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weapons into prison.</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Although parolees are entitled to greater freedoms than are prisoners, there is no basis upon which to conclude that parolees maintain, without any abridgment whatsoever, their </w:t>
      </w:r>
      <w:hyperlink r:id="rId12"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rights.</w:t>
      </w:r>
      <w:r>
        <w:rPr>
          <w:rFonts w:ascii="arial" w:eastAsia="arial" w:hAnsi="arial" w:cs="arial"/>
          <w:vertAlign w:val="superscript"/>
        </w:rPr>
        <w:footnoteReference w:customMarkFollows="1" w:id="20"/>
        <w:t xml:space="preserve">19</w:t>
      </w:r>
    </w:p>
    <w:p>
      <w:pPr>
        <w:keepNext w:val="0"/>
        <w:spacing w:before="200" w:after="0" w:line="260" w:lineRule="atLeast"/>
        <w:ind w:left="0" w:right="0" w:firstLine="0"/>
        <w:jc w:val="both"/>
      </w:pPr>
      <w:bookmarkStart w:id="38" w:name="Bookmark_para_11"/>
      <w:bookmarkEnd w:id="38"/>
      <w:r>
        <w:rPr>
          <w:rFonts w:ascii="arial" w:eastAsia="arial" w:hAnsi="arial" w:cs="arial"/>
          <w:b w:val="0"/>
          <w:i w:val="0"/>
          <w:strike w:val="0"/>
          <w:noProof w:val="0"/>
          <w:color w:val="000000"/>
          <w:position w:val="0"/>
          <w:sz w:val="20"/>
          <w:u w:val="none"/>
          <w:vertAlign w:val="baseline"/>
        </w:rPr>
        <w:t xml:space="preserve">Oppel does not challenge as unconstitutional the underlying probationary restrictions placed upon him, and he was properly prohibited from possessing the firearms at issue here, even beyond the application of any federal criminal statute. Because Oppel's </w:t>
      </w:r>
      <w:hyperlink r:id="rId12"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rights were lawfully suspended by the terms of his parole,</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the text of the </w:t>
      </w:r>
      <w:hyperlink r:id="rId12"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does not apply to Oppel and his conduct,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his as-applied challenge fails.</w:t>
      </w:r>
      <w:r>
        <w:rPr>
          <w:rFonts w:ascii="arial" w:eastAsia="arial" w:hAnsi="arial" w:cs="arial"/>
          <w:vertAlign w:val="superscript"/>
        </w:rPr>
        <w:footnoteReference w:customMarkFollows="1" w:id="22"/>
        <w:t xml:space="preserve">21</w:t>
      </w:r>
    </w:p>
    <w:p>
      <w:pPr>
        <w:keepNext w:val="0"/>
        <w:spacing w:before="200" w:after="0" w:line="260" w:lineRule="atLeast"/>
        <w:ind w:left="0" w:right="0" w:firstLine="0"/>
        <w:jc w:val="both"/>
      </w:pPr>
      <w:bookmarkStart w:id="41" w:name="Bookmark_para_12"/>
      <w:bookmarkEnd w:id="41"/>
      <w:r>
        <w:rPr>
          <w:rFonts w:ascii="arial" w:eastAsia="arial" w:hAnsi="arial" w:cs="arial"/>
          <w:b w:val="0"/>
          <w:i w:val="0"/>
          <w:strike w:val="0"/>
          <w:noProof w:val="0"/>
          <w:color w:val="000000"/>
          <w:position w:val="0"/>
          <w:sz w:val="20"/>
          <w:u w:val="none"/>
          <w:vertAlign w:val="baseline"/>
        </w:rPr>
        <w:t xml:space="preserve">Accordingly, </w:t>
      </w:r>
      <w:r>
        <w:rPr>
          <w:rFonts w:ascii="arial" w:eastAsia="arial" w:hAnsi="arial" w:cs="arial"/>
          <w:b/>
          <w:i w:val="0"/>
          <w:strike w:val="0"/>
          <w:noProof w:val="0"/>
          <w:color w:val="000000"/>
          <w:position w:val="0"/>
          <w:sz w:val="20"/>
          <w:u w:val="none"/>
          <w:vertAlign w:val="baseline"/>
        </w:rPr>
        <w:t>IT IS HEREBY ORDERED</w:t>
      </w:r>
      <w:r>
        <w:rPr>
          <w:rFonts w:ascii="arial" w:eastAsia="arial" w:hAnsi="arial" w:cs="arial"/>
          <w:b w:val="0"/>
          <w:i w:val="0"/>
          <w:strike w:val="0"/>
          <w:noProof w:val="0"/>
          <w:color w:val="000000"/>
          <w:position w:val="0"/>
          <w:sz w:val="20"/>
          <w:u w:val="none"/>
          <w:vertAlign w:val="baseline"/>
        </w:rPr>
        <w:t xml:space="preserve"> that Oppel's motion to dismiss the indictment (Doc. 35)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 w:name="Bookmark_para_13"/>
      <w:bookmarkEnd w:id="42"/>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43" w:name="Bookmark_para_14"/>
      <w:bookmarkEnd w:id="43"/>
      <w:r>
        <w:rPr>
          <w:rFonts w:ascii="arial" w:eastAsia="arial" w:hAnsi="arial" w:cs="arial"/>
          <w:b w:val="0"/>
          <w:i/>
          <w:strike w:val="0"/>
          <w:noProof w:val="0"/>
          <w:color w:val="000000"/>
          <w:position w:val="0"/>
          <w:sz w:val="20"/>
          <w:u w:val="none"/>
          <w:vertAlign w:val="baseline"/>
        </w:rPr>
        <w:t>/s/ Matthew W. Brann</w:t>
      </w:r>
    </w:p>
    <w:p>
      <w:pPr>
        <w:keepNext w:val="0"/>
        <w:spacing w:before="200" w:after="0" w:line="260" w:lineRule="atLeast"/>
        <w:ind w:left="0" w:right="0" w:firstLine="0"/>
        <w:jc w:val="both"/>
      </w:pPr>
      <w:bookmarkStart w:id="44" w:name="Bookmark_para_15"/>
      <w:bookmarkEnd w:id="44"/>
      <w:r>
        <w:rPr>
          <w:rFonts w:ascii="arial" w:eastAsia="arial" w:hAnsi="arial" w:cs="arial"/>
          <w:b w:val="0"/>
          <w:i w:val="0"/>
          <w:strike w:val="0"/>
          <w:noProof w:val="0"/>
          <w:color w:val="000000"/>
          <w:position w:val="0"/>
          <w:sz w:val="20"/>
          <w:u w:val="none"/>
          <w:vertAlign w:val="baseline"/>
        </w:rPr>
        <w:t>Matthew W. Brann</w:t>
      </w:r>
    </w:p>
    <w:p>
      <w:pPr>
        <w:keepNext w:val="0"/>
        <w:spacing w:before="200" w:after="0" w:line="260" w:lineRule="atLeast"/>
        <w:ind w:left="0" w:right="0" w:firstLine="0"/>
        <w:jc w:val="both"/>
      </w:pPr>
      <w:bookmarkStart w:id="45" w:name="Bookmark_para_16"/>
      <w:bookmarkEnd w:id="45"/>
      <w:r>
        <w:rPr>
          <w:rFonts w:ascii="arial" w:eastAsia="arial" w:hAnsi="arial" w:cs="arial"/>
          <w:b w:val="0"/>
          <w:i w:val="0"/>
          <w:strike w:val="0"/>
          <w:noProof w:val="0"/>
          <w:color w:val="000000"/>
          <w:position w:val="0"/>
          <w:sz w:val="20"/>
          <w:u w:val="none"/>
          <w:vertAlign w:val="baseline"/>
        </w:rPr>
        <w:t>Chief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 xml:space="preserve">Doc. 1. The indictment also includes a forfeiture allegation. </w:t>
      </w:r>
      <w:r>
        <w:rPr>
          <w:rFonts w:ascii="arial" w:eastAsia="arial" w:hAnsi="arial" w:cs="arial"/>
          <w:b w:val="0"/>
          <w:i/>
          <w:strike w:val="0"/>
          <w:noProof w:val="0"/>
          <w:color w:val="000000"/>
          <w:position w:val="0"/>
          <w:sz w:val="18"/>
          <w:u w:val="none"/>
          <w:vertAlign w:val="baseline"/>
        </w:rPr>
        <w:t>Id.</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strike w:val="0"/>
          <w:noProof w:val="0"/>
          <w:color w:val="000000"/>
          <w:position w:val="0"/>
          <w:sz w:val="18"/>
          <w:u w:val="none"/>
          <w:vertAlign w:val="baseline"/>
        </w:rPr>
        <w:t>Id.</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r>
        <w:rPr>
          <w:rFonts w:ascii="arial" w:eastAsia="arial" w:hAnsi="arial" w:cs="arial"/>
          <w:b w:val="0"/>
          <w:i w:val="0"/>
          <w:strike w:val="0"/>
          <w:noProof w:val="0"/>
          <w:color w:val="000000"/>
          <w:position w:val="0"/>
          <w:sz w:val="18"/>
          <w:u w:val="none"/>
          <w:vertAlign w:val="baseline"/>
        </w:rPr>
        <w:t>Doc. 37 at 2-3.</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2" w:name="Bookmark_fnpara_4"/>
      <w:bookmarkEnd w:id="1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Criminal Docket Sheet, </w:t>
      </w:r>
      <w:r>
        <w:rPr>
          <w:rFonts w:ascii="arial" w:eastAsia="arial" w:hAnsi="arial" w:cs="arial"/>
          <w:b w:val="0"/>
          <w:i/>
          <w:strike w:val="0"/>
          <w:noProof w:val="0"/>
          <w:color w:val="000000"/>
          <w:position w:val="0"/>
          <w:sz w:val="18"/>
          <w:u w:val="none"/>
          <w:vertAlign w:val="baseline"/>
        </w:rPr>
        <w:t>Commonwealth v. Oppel</w:t>
      </w:r>
      <w:r>
        <w:rPr>
          <w:rFonts w:ascii="arial" w:eastAsia="arial" w:hAnsi="arial" w:cs="arial"/>
          <w:b w:val="0"/>
          <w:i w:val="0"/>
          <w:strike w:val="0"/>
          <w:noProof w:val="0"/>
          <w:color w:val="000000"/>
          <w:position w:val="0"/>
          <w:sz w:val="18"/>
          <w:u w:val="none"/>
          <w:vertAlign w:val="baseline"/>
        </w:rPr>
        <w:t>, No. CP-19-CR-0000727-2018 (Pa. Com. Pl.).</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3" w:name="Bookmark_fnpara_5"/>
      <w:bookmarkEnd w:id="13"/>
      <w:r>
        <w:rPr>
          <w:rFonts w:ascii="arial" w:eastAsia="arial" w:hAnsi="arial" w:cs="arial"/>
          <w:b w:val="0"/>
          <w:i/>
          <w:strike w:val="0"/>
          <w:noProof w:val="0"/>
          <w:color w:val="000000"/>
          <w:position w:val="0"/>
          <w:sz w:val="18"/>
          <w:u w:val="none"/>
          <w:vertAlign w:val="baseline"/>
        </w:rPr>
        <w:t>Id.</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5" w:name="Bookmark_fnpara_6"/>
      <w:bookmarkEnd w:id="15"/>
      <w:hyperlink r:id="rId1" w:history="1">
        <w:r>
          <w:rPr>
            <w:rFonts w:ascii="arial" w:eastAsia="arial" w:hAnsi="arial" w:cs="arial"/>
            <w:b w:val="0"/>
            <w:i/>
            <w:strike w:val="0"/>
            <w:noProof w:val="0"/>
            <w:color w:val="0077CC"/>
            <w:position w:val="0"/>
            <w:sz w:val="18"/>
            <w:u w:val="single"/>
            <w:vertAlign w:val="baseline"/>
          </w:rPr>
          <w:t>597 U.S. 1, 142 S. Ct. 2111, 213 L. Ed. 2d 387 (2022)</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6" w:name="Bookmark_fnpara_7"/>
      <w:bookmarkEnd w:id="16"/>
      <w:r>
        <w:rPr>
          <w:rFonts w:ascii="arial" w:eastAsia="arial" w:hAnsi="arial" w:cs="arial"/>
          <w:b w:val="0"/>
          <w:i w:val="0"/>
          <w:strike w:val="0"/>
          <w:noProof w:val="0"/>
          <w:color w:val="000000"/>
          <w:position w:val="0"/>
          <w:sz w:val="18"/>
          <w:u w:val="none"/>
          <w:vertAlign w:val="baseline"/>
        </w:rPr>
        <w:t>Docs. 35, 36.</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7" w:name="Bookmark_fnpara_8"/>
      <w:bookmarkEnd w:id="17"/>
      <w:r>
        <w:rPr>
          <w:rFonts w:ascii="arial" w:eastAsia="arial" w:hAnsi="arial" w:cs="arial"/>
          <w:b w:val="0"/>
          <w:i w:val="0"/>
          <w:strike w:val="0"/>
          <w:noProof w:val="0"/>
          <w:color w:val="000000"/>
          <w:position w:val="0"/>
          <w:sz w:val="18"/>
          <w:u w:val="none"/>
          <w:vertAlign w:val="baseline"/>
        </w:rPr>
        <w:t>Doc. 37.</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0" w:name="Bookmark_fnpara_9"/>
      <w:bookmarkEnd w:id="20"/>
      <w:hyperlink r:id="rId1" w:history="1">
        <w:r>
          <w:rPr>
            <w:rFonts w:ascii="arial" w:eastAsia="arial" w:hAnsi="arial" w:cs="arial"/>
            <w:b w:val="0"/>
            <w:i/>
            <w:strike w:val="0"/>
            <w:noProof w:val="0"/>
            <w:color w:val="0077CC"/>
            <w:position w:val="0"/>
            <w:sz w:val="18"/>
            <w:u w:val="single"/>
            <w:vertAlign w:val="baseline"/>
          </w:rPr>
          <w:t>Bruen</w:t>
        </w:r>
      </w:hyperlink>
      <w:hyperlink r:id="rId1" w:history="1">
        <w:r>
          <w:rPr>
            <w:rFonts w:ascii="arial" w:eastAsia="arial" w:hAnsi="arial" w:cs="arial"/>
            <w:b w:val="0"/>
            <w:i/>
            <w:strike w:val="0"/>
            <w:noProof w:val="0"/>
            <w:color w:val="0077CC"/>
            <w:position w:val="0"/>
            <w:sz w:val="18"/>
            <w:u w:val="single"/>
            <w:vertAlign w:val="baseline"/>
          </w:rPr>
          <w:t>, 142 S. Ct. at 2126</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2" w:name="Bookmark_fnpara_10"/>
      <w:bookmarkEnd w:id="22"/>
      <w:hyperlink r:id="rId2" w:history="1">
        <w:r>
          <w:rPr>
            <w:rFonts w:ascii="arial" w:eastAsia="arial" w:hAnsi="arial" w:cs="arial"/>
            <w:b w:val="0"/>
            <w:i/>
            <w:strike w:val="0"/>
            <w:noProof w:val="0"/>
            <w:color w:val="0077CC"/>
            <w:position w:val="0"/>
            <w:sz w:val="18"/>
            <w:u w:val="single"/>
            <w:vertAlign w:val="baseline"/>
          </w:rPr>
          <w:t>Range v. Att'y Gen. U.S. of Am.</w:t>
        </w:r>
      </w:hyperlink>
      <w:hyperlink r:id="rId2" w:history="1">
        <w:r>
          <w:rPr>
            <w:rFonts w:ascii="arial" w:eastAsia="arial" w:hAnsi="arial" w:cs="arial"/>
            <w:b w:val="0"/>
            <w:i/>
            <w:strike w:val="0"/>
            <w:noProof w:val="0"/>
            <w:color w:val="0077CC"/>
            <w:position w:val="0"/>
            <w:sz w:val="18"/>
            <w:u w:val="single"/>
            <w:vertAlign w:val="baseline"/>
          </w:rPr>
          <w:t>, 69 F.4th 96, 101 (3d Cir. 2023)</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3" w:name="Bookmark_fnpara_11"/>
      <w:bookmarkEnd w:id="2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(quoting </w:t>
      </w:r>
      <w:hyperlink r:id="rId1" w:history="1">
        <w:r>
          <w:rPr>
            <w:rFonts w:ascii="arial" w:eastAsia="arial" w:hAnsi="arial" w:cs="arial"/>
            <w:b w:val="0"/>
            <w:i/>
            <w:strike w:val="0"/>
            <w:noProof w:val="0"/>
            <w:color w:val="0077CC"/>
            <w:position w:val="0"/>
            <w:sz w:val="18"/>
            <w:u w:val="single"/>
            <w:vertAlign w:val="baseline"/>
          </w:rPr>
          <w:t>Bruen</w:t>
        </w:r>
      </w:hyperlink>
      <w:hyperlink r:id="rId1" w:history="1">
        <w:r>
          <w:rPr>
            <w:rFonts w:ascii="arial" w:eastAsia="arial" w:hAnsi="arial" w:cs="arial"/>
            <w:b w:val="0"/>
            <w:i/>
            <w:strike w:val="0"/>
            <w:noProof w:val="0"/>
            <w:color w:val="0077CC"/>
            <w:position w:val="0"/>
            <w:sz w:val="18"/>
            <w:u w:val="single"/>
            <w:vertAlign w:val="baseline"/>
          </w:rPr>
          <w:t>, 142 S. Ct. at 2127</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5" w:name="Bookmark_fnpara_12"/>
      <w:bookmarkEnd w:id="25"/>
      <w:hyperlink r:id="rId1" w:history="1">
        <w:r>
          <w:rPr>
            <w:rFonts w:ascii="arial" w:eastAsia="arial" w:hAnsi="arial" w:cs="arial"/>
            <w:b w:val="0"/>
            <w:i/>
            <w:strike w:val="0"/>
            <w:noProof w:val="0"/>
            <w:color w:val="0077CC"/>
            <w:position w:val="0"/>
            <w:sz w:val="18"/>
            <w:u w:val="single"/>
            <w:vertAlign w:val="baseline"/>
          </w:rPr>
          <w:t>Bruen</w:t>
        </w:r>
      </w:hyperlink>
      <w:hyperlink r:id="rId1" w:history="1">
        <w:r>
          <w:rPr>
            <w:rFonts w:ascii="arial" w:eastAsia="arial" w:hAnsi="arial" w:cs="arial"/>
            <w:b w:val="0"/>
            <w:i/>
            <w:strike w:val="0"/>
            <w:noProof w:val="0"/>
            <w:color w:val="0077CC"/>
            <w:position w:val="0"/>
            <w:sz w:val="18"/>
            <w:u w:val="single"/>
            <w:vertAlign w:val="baseline"/>
          </w:rPr>
          <w:t>, 142 S. Ct. at 2133</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6" w:name="Bookmark_fnpara_13"/>
      <w:bookmarkEnd w:id="26"/>
      <w:r>
        <w:rPr>
          <w:rFonts w:ascii="arial" w:eastAsia="arial" w:hAnsi="arial" w:cs="arial"/>
          <w:b w:val="0"/>
          <w:i/>
          <w:strike w:val="0"/>
          <w:noProof w:val="0"/>
          <w:color w:val="000000"/>
          <w:position w:val="0"/>
          <w:sz w:val="18"/>
          <w:u w:val="none"/>
          <w:vertAlign w:val="baseline"/>
        </w:rPr>
        <w:t>Id.</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7" w:name="Bookmark_fnpara_14"/>
      <w:bookmarkEnd w:id="2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2132-33.</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9" w:name="Bookmark_fnpara_15"/>
      <w:bookmarkEnd w:id="29"/>
      <w:r>
        <w:rPr>
          <w:rFonts w:ascii="arial" w:eastAsia="arial" w:hAnsi="arial" w:cs="arial"/>
          <w:b w:val="0"/>
          <w:i/>
          <w:strike w:val="0"/>
          <w:noProof w:val="0"/>
          <w:color w:val="000000"/>
          <w:position w:val="0"/>
          <w:sz w:val="18"/>
          <w:u w:val="none"/>
          <w:vertAlign w:val="baseline"/>
        </w:rPr>
        <w:t xml:space="preserve">See </w:t>
      </w:r>
      <w:hyperlink r:id="rId3" w:history="1">
        <w:r>
          <w:rPr>
            <w:rFonts w:ascii="arial" w:eastAsia="arial" w:hAnsi="arial" w:cs="arial"/>
            <w:b w:val="0"/>
            <w:i/>
            <w:strike w:val="0"/>
            <w:noProof w:val="0"/>
            <w:color w:val="0077CC"/>
            <w:position w:val="0"/>
            <w:sz w:val="18"/>
            <w:u w:val="single"/>
            <w:vertAlign w:val="baseline"/>
          </w:rPr>
          <w:t>United States v. Reichenbach</w:t>
        </w:r>
      </w:hyperlink>
      <w:hyperlink r:id="rId3" w:history="1">
        <w:r>
          <w:rPr>
            <w:rFonts w:ascii="arial" w:eastAsia="arial" w:hAnsi="arial" w:cs="arial"/>
            <w:b w:val="0"/>
            <w:i/>
            <w:strike w:val="0"/>
            <w:noProof w:val="0"/>
            <w:color w:val="0077CC"/>
            <w:position w:val="0"/>
            <w:sz w:val="18"/>
            <w:u w:val="single"/>
            <w:vertAlign w:val="baseline"/>
          </w:rPr>
          <w:t>, No. 4:22-CR-00057, 2023 U.S. Dist. LEXIS 160684, 2023 WL 5916467, at *5-6 (M.D. Pa. Sept. 11, 2023)</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31" w:name="Bookmark_fnpara_16"/>
      <w:bookmarkEnd w:id="31"/>
      <w:hyperlink r:id="rId4" w:history="1">
        <w:r>
          <w:rPr>
            <w:rFonts w:ascii="arial" w:eastAsia="arial" w:hAnsi="arial" w:cs="arial"/>
            <w:b w:val="0"/>
            <w:i/>
            <w:strike w:val="0"/>
            <w:noProof w:val="0"/>
            <w:color w:val="0077CC"/>
            <w:position w:val="0"/>
            <w:sz w:val="18"/>
            <w:u w:val="single"/>
            <w:vertAlign w:val="baseline"/>
          </w:rPr>
          <w:t>Pa. Bd. of Prob. &amp; Parole v. Scott</w:t>
        </w:r>
      </w:hyperlink>
      <w:hyperlink r:id="rId4" w:history="1">
        <w:r>
          <w:rPr>
            <w:rFonts w:ascii="arial" w:eastAsia="arial" w:hAnsi="arial" w:cs="arial"/>
            <w:b w:val="0"/>
            <w:i/>
            <w:strike w:val="0"/>
            <w:noProof w:val="0"/>
            <w:color w:val="0077CC"/>
            <w:position w:val="0"/>
            <w:sz w:val="18"/>
            <w:u w:val="single"/>
            <w:vertAlign w:val="baseline"/>
          </w:rPr>
          <w:t>, 524 U.S. 357, 365, 118 S. Ct. 2014, 141 L. Ed. 2d 344 (1998)</w:t>
        </w:r>
      </w:hyperlink>
      <w:r>
        <w:rPr>
          <w:rFonts w:ascii="arial" w:eastAsia="arial" w:hAnsi="arial" w:cs="arial"/>
          <w:b w:val="0"/>
          <w:i w:val="0"/>
          <w:strike w:val="0"/>
          <w:noProof w:val="0"/>
          <w:color w:val="000000"/>
          <w:position w:val="0"/>
          <w:sz w:val="18"/>
          <w:u w:val="none"/>
          <w:vertAlign w:val="baseline"/>
        </w:rPr>
        <w:t xml:space="preserve"> (internal citation omitted).</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2" w:name="Bookmark_fnpara_17"/>
      <w:bookmarkEnd w:id="32"/>
      <w:hyperlink r:id="rId5" w:history="1">
        <w:r>
          <w:rPr>
            <w:rFonts w:ascii="arial" w:eastAsia="arial" w:hAnsi="arial" w:cs="arial"/>
            <w:b w:val="0"/>
            <w:i/>
            <w:strike w:val="0"/>
            <w:noProof w:val="0"/>
            <w:color w:val="0077CC"/>
            <w:position w:val="0"/>
            <w:sz w:val="18"/>
            <w:u w:val="single"/>
            <w:vertAlign w:val="baseline"/>
          </w:rPr>
          <w:t>Morrissey v. Brewer</w:t>
        </w:r>
      </w:hyperlink>
      <w:hyperlink r:id="rId5" w:history="1">
        <w:r>
          <w:rPr>
            <w:rFonts w:ascii="arial" w:eastAsia="arial" w:hAnsi="arial" w:cs="arial"/>
            <w:b w:val="0"/>
            <w:i/>
            <w:strike w:val="0"/>
            <w:noProof w:val="0"/>
            <w:color w:val="0077CC"/>
            <w:position w:val="0"/>
            <w:sz w:val="18"/>
            <w:u w:val="single"/>
            <w:vertAlign w:val="baseline"/>
          </w:rPr>
          <w:t>, 408 U.S. 471, 480, 92 S. Ct. 2593, 33 L. Ed. 2d 484 (1972)</w:t>
        </w:r>
      </w:hyperlink>
      <w:r>
        <w:rPr>
          <w:rFonts w:ascii="arial" w:eastAsia="arial" w:hAnsi="arial" w:cs="arial"/>
          <w:b w:val="0"/>
          <w:i w:val="0"/>
          <w:strike w:val="0"/>
          <w:noProof w:val="0"/>
          <w:color w:val="000000"/>
          <w:position w:val="0"/>
          <w:sz w:val="18"/>
          <w:u w:val="none"/>
          <w:vertAlign w:val="baseline"/>
        </w:rPr>
        <w: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35" w:name="Bookmark_fnpara_18"/>
      <w:bookmarkEnd w:id="35"/>
      <w:hyperlink r:id="rId6" w:history="1">
        <w:r>
          <w:rPr>
            <w:rFonts w:ascii="arial" w:eastAsia="arial" w:hAnsi="arial" w:cs="arial"/>
            <w:b w:val="0"/>
            <w:i/>
            <w:strike w:val="0"/>
            <w:noProof w:val="0"/>
            <w:color w:val="0077CC"/>
            <w:position w:val="0"/>
            <w:sz w:val="18"/>
            <w:u w:val="single"/>
            <w:vertAlign w:val="baseline"/>
          </w:rPr>
          <w:t>Bell v. Wolfish</w:t>
        </w:r>
      </w:hyperlink>
      <w:hyperlink r:id="rId6" w:history="1">
        <w:r>
          <w:rPr>
            <w:rFonts w:ascii="arial" w:eastAsia="arial" w:hAnsi="arial" w:cs="arial"/>
            <w:b w:val="0"/>
            <w:i/>
            <w:strike w:val="0"/>
            <w:noProof w:val="0"/>
            <w:color w:val="0077CC"/>
            <w:position w:val="0"/>
            <w:sz w:val="18"/>
            <w:u w:val="single"/>
            <w:vertAlign w:val="baseline"/>
          </w:rPr>
          <w:t>, 441 U.S. 520, 550-51, 99 S. Ct. 1861, 60 L. Ed. 2d 447 (1979)</w:t>
        </w:r>
      </w:hyperlink>
      <w:r>
        <w:rPr>
          <w:rFonts w:ascii="arial" w:eastAsia="arial" w:hAnsi="arial" w:cs="arial"/>
          <w:b w:val="0"/>
          <w:i w:val="0"/>
          <w:strike w:val="0"/>
          <w:noProof w:val="0"/>
          <w:color w:val="000000"/>
          <w:position w:val="0"/>
          <w:sz w:val="18"/>
          <w:u w:val="none"/>
          <w:vertAlign w:val="baseline"/>
        </w:rPr>
        <w:t>.</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36" w:name="Bookmark_fnpara_19"/>
      <w:bookmarkEnd w:id="36"/>
      <w:r>
        <w:rPr>
          <w:rFonts w:ascii="arial" w:eastAsia="arial" w:hAnsi="arial" w:cs="arial"/>
          <w:b w:val="0"/>
          <w:i/>
          <w:strike w:val="0"/>
          <w:noProof w:val="0"/>
          <w:color w:val="000000"/>
          <w:position w:val="0"/>
          <w:sz w:val="18"/>
          <w:u w:val="none"/>
          <w:vertAlign w:val="baseline"/>
        </w:rPr>
        <w:t xml:space="preserve">See </w:t>
      </w:r>
      <w:bookmarkStart w:id="37" w:name="Bookmark_I6BGN33J2HM68H0010000400"/>
      <w:bookmarkEnd w:id="37"/>
      <w:hyperlink r:id="rId7" w:history="1">
        <w:r>
          <w:rPr>
            <w:rFonts w:ascii="arial" w:eastAsia="arial" w:hAnsi="arial" w:cs="arial"/>
            <w:b w:val="0"/>
            <w:i/>
            <w:strike w:val="0"/>
            <w:noProof w:val="0"/>
            <w:color w:val="0077CC"/>
            <w:position w:val="0"/>
            <w:sz w:val="18"/>
            <w:u w:val="single"/>
            <w:vertAlign w:val="baseline"/>
          </w:rPr>
          <w:t>Benson</w:t>
        </w:r>
      </w:hyperlink>
      <w:hyperlink r:id="rId7" w:history="1">
        <w:r>
          <w:rPr>
            <w:rFonts w:ascii="arial" w:eastAsia="arial" w:hAnsi="arial" w:cs="arial"/>
            <w:b w:val="0"/>
            <w:i/>
            <w:strike w:val="0"/>
            <w:noProof w:val="0"/>
            <w:color w:val="0077CC"/>
            <w:position w:val="0"/>
            <w:sz w:val="18"/>
            <w:u w:val="single"/>
            <w:vertAlign w:val="baseline"/>
          </w:rPr>
          <w:t>, 2023 U.S. Dist. LEXIS 214824, 2023 WL 8373161 at *4-5</w:t>
        </w:r>
      </w:hyperlink>
      <w:r>
        <w:rPr>
          <w:rFonts w:ascii="arial" w:eastAsia="arial" w:hAnsi="arial" w:cs="arial"/>
          <w:b w:val="0"/>
          <w:i w:val="0"/>
          <w:strike w:val="0"/>
          <w:noProof w:val="0"/>
          <w:color w:val="000000"/>
          <w:position w:val="0"/>
          <w:sz w:val="18"/>
          <w:u w:val="none"/>
          <w:vertAlign w:val="baseline"/>
        </w:rPr>
        <w:t>.</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39" w:name="Bookmark_fnpara_20"/>
      <w:bookmarkEnd w:id="39"/>
      <w:r>
        <w:rPr>
          <w:rFonts w:ascii="arial" w:eastAsia="arial" w:hAnsi="arial" w:cs="arial"/>
          <w:b w:val="0"/>
          <w:i/>
          <w:strike w:val="0"/>
          <w:noProof w:val="0"/>
          <w:color w:val="000000"/>
          <w:position w:val="0"/>
          <w:sz w:val="18"/>
          <w:u w:val="none"/>
          <w:vertAlign w:val="baseline"/>
        </w:rPr>
        <w:t xml:space="preserve">Cf. </w:t>
      </w:r>
      <w:hyperlink r:id="rId8" w:history="1">
        <w:r>
          <w:rPr>
            <w:rFonts w:ascii="arial" w:eastAsia="arial" w:hAnsi="arial" w:cs="arial"/>
            <w:b w:val="0"/>
            <w:i/>
            <w:strike w:val="0"/>
            <w:noProof w:val="0"/>
            <w:color w:val="0077CC"/>
            <w:position w:val="0"/>
            <w:sz w:val="18"/>
            <w:u w:val="single"/>
            <w:vertAlign w:val="baseline"/>
          </w:rPr>
          <w:t>Samson v. California</w:t>
        </w:r>
      </w:hyperlink>
      <w:hyperlink r:id="rId8" w:history="1">
        <w:r>
          <w:rPr>
            <w:rFonts w:ascii="arial" w:eastAsia="arial" w:hAnsi="arial" w:cs="arial"/>
            <w:b w:val="0"/>
            <w:i/>
            <w:strike w:val="0"/>
            <w:noProof w:val="0"/>
            <w:color w:val="0077CC"/>
            <w:position w:val="0"/>
            <w:sz w:val="18"/>
            <w:u w:val="single"/>
            <w:vertAlign w:val="baseline"/>
          </w:rPr>
          <w:t>, 547 U.S. 843, 857, 126 S. Ct. 2193, 165 L. Ed. 2d 250 (2006)</w:t>
        </w:r>
      </w:hyperlink>
      <w:r>
        <w:rPr>
          <w:rFonts w:ascii="arial" w:eastAsia="arial" w:hAnsi="arial" w:cs="arial"/>
          <w:b w:val="0"/>
          <w:i w:val="0"/>
          <w:strike w:val="0"/>
          <w:noProof w:val="0"/>
          <w:color w:val="000000"/>
          <w:position w:val="0"/>
          <w:sz w:val="18"/>
          <w:u w:val="none"/>
          <w:vertAlign w:val="baseline"/>
        </w:rPr>
        <w:t xml:space="preserve"> (holding "that the </w:t>
      </w:r>
      <w:hyperlink r:id="rId9"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does not prohibit a police officer from conducting a suspicionless search of a parolee").</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40" w:name="Bookmark_fnpara_21"/>
      <w:bookmarkEnd w:id="40"/>
      <w:r>
        <w:rPr>
          <w:rFonts w:ascii="arial" w:eastAsia="arial" w:hAnsi="arial" w:cs="arial"/>
          <w:b w:val="0"/>
          <w:i/>
          <w:strike w:val="0"/>
          <w:noProof w:val="0"/>
          <w:color w:val="000000"/>
          <w:position w:val="0"/>
          <w:sz w:val="18"/>
          <w:u w:val="none"/>
          <w:vertAlign w:val="baseline"/>
        </w:rPr>
        <w:t xml:space="preserve">See </w:t>
      </w:r>
      <w:hyperlink r:id="rId7" w:history="1">
        <w:r>
          <w:rPr>
            <w:rFonts w:ascii="arial" w:eastAsia="arial" w:hAnsi="arial" w:cs="arial"/>
            <w:b w:val="0"/>
            <w:i/>
            <w:strike w:val="0"/>
            <w:noProof w:val="0"/>
            <w:color w:val="0077CC"/>
            <w:position w:val="0"/>
            <w:sz w:val="18"/>
            <w:u w:val="single"/>
            <w:vertAlign w:val="baseline"/>
          </w:rPr>
          <w:t>United States v. Benson</w:t>
        </w:r>
      </w:hyperlink>
      <w:hyperlink r:id="rId7" w:history="1">
        <w:r>
          <w:rPr>
            <w:rFonts w:ascii="arial" w:eastAsia="arial" w:hAnsi="arial" w:cs="arial"/>
            <w:b w:val="0"/>
            <w:i/>
            <w:strike w:val="0"/>
            <w:noProof w:val="0"/>
            <w:color w:val="0077CC"/>
            <w:position w:val="0"/>
            <w:sz w:val="18"/>
            <w:u w:val="single"/>
            <w:vertAlign w:val="baseline"/>
          </w:rPr>
          <w:t>, No. CR 22-225, 2023 U.S. Dist. LEXIS 214824, 2023 WL 8373161, at *4-5 (E.D. Pa. Dec. 4, 2023)</w:t>
        </w:r>
      </w:hyperlink>
      <w:r>
        <w:rPr>
          <w:rFonts w:ascii="arial" w:eastAsia="arial" w:hAnsi="arial" w:cs="arial"/>
          <w:b w:val="0"/>
          <w:i w:val="0"/>
          <w:strike w:val="0"/>
          <w:noProof w:val="0"/>
          <w:color w:val="000000"/>
          <w:position w:val="0"/>
          <w:sz w:val="18"/>
          <w:u w:val="none"/>
          <w:vertAlign w:val="baseline"/>
        </w:rPr>
        <w:t xml:space="preserve">; </w:t>
      </w:r>
      <w:hyperlink r:id="rId10" w:history="1">
        <w:r>
          <w:rPr>
            <w:rFonts w:ascii="arial" w:eastAsia="arial" w:hAnsi="arial" w:cs="arial"/>
            <w:b w:val="0"/>
            <w:i/>
            <w:strike w:val="0"/>
            <w:noProof w:val="0"/>
            <w:color w:val="0077CC"/>
            <w:position w:val="0"/>
            <w:sz w:val="18"/>
            <w:u w:val="single"/>
            <w:vertAlign w:val="baseline"/>
          </w:rPr>
          <w:t>United States v. Terry</w:t>
        </w:r>
      </w:hyperlink>
      <w:hyperlink r:id="rId10" w:history="1">
        <w:r>
          <w:rPr>
            <w:rFonts w:ascii="arial" w:eastAsia="arial" w:hAnsi="arial" w:cs="arial"/>
            <w:b w:val="0"/>
            <w:i/>
            <w:strike w:val="0"/>
            <w:noProof w:val="0"/>
            <w:color w:val="0077CC"/>
            <w:position w:val="0"/>
            <w:sz w:val="18"/>
            <w:u w:val="single"/>
            <w:vertAlign w:val="baseline"/>
          </w:rPr>
          <w:t>, No. 2:20-CR-43, 2023 U.S. Dist. LEXIS 163609, 2023 WL 6049551, at *4 (W.D. Pa. Sept. 14, 2023)</w:t>
        </w:r>
      </w:hyperlink>
      <w:r>
        <w:rPr>
          <w:rFonts w:ascii="arial" w:eastAsia="arial" w:hAnsi="arial" w:cs="arial"/>
          <w:b w:val="0"/>
          <w:i w:val="0"/>
          <w:strike w:val="0"/>
          <w:noProof w:val="0"/>
          <w:color w:val="000000"/>
          <w:position w:val="0"/>
          <w:sz w:val="18"/>
          <w:u w:val="none"/>
          <w:vertAlign w:val="baseline"/>
        </w:rPr>
        <w:t xml:space="preserve">; </w:t>
      </w:r>
      <w:hyperlink r:id="rId11" w:history="1">
        <w:r>
          <w:rPr>
            <w:rFonts w:ascii="arial" w:eastAsia="arial" w:hAnsi="arial" w:cs="arial"/>
            <w:b w:val="0"/>
            <w:i/>
            <w:strike w:val="0"/>
            <w:noProof w:val="0"/>
            <w:color w:val="0077CC"/>
            <w:position w:val="0"/>
            <w:sz w:val="18"/>
            <w:u w:val="single"/>
            <w:vertAlign w:val="baseline"/>
          </w:rPr>
          <w:t>United States v. Shaw</w:t>
        </w:r>
      </w:hyperlink>
      <w:hyperlink r:id="rId11" w:history="1">
        <w:r>
          <w:rPr>
            <w:rFonts w:ascii="arial" w:eastAsia="arial" w:hAnsi="arial" w:cs="arial"/>
            <w:b w:val="0"/>
            <w:i/>
            <w:strike w:val="0"/>
            <w:noProof w:val="0"/>
            <w:color w:val="0077CC"/>
            <w:position w:val="0"/>
            <w:sz w:val="18"/>
            <w:u w:val="single"/>
            <w:vertAlign w:val="baseline"/>
          </w:rPr>
          <w:t>, No. CR 22-1 (JEB), 2023 U.S. Dist. LEXIS 91065, 2023 WL 3619416, at *7 (D.D.C. May 24, 2023)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Oppel, 2023 U.S. Dist. LEXIS 218322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C7N-FD63-RRVR-741R-00000-00&amp;context=1519360" TargetMode="External" /><Relationship Id="rId11" Type="http://schemas.openxmlformats.org/officeDocument/2006/relationships/hyperlink" Target="https://advance.lexis.com/api/document?collection=statutes-legislation&amp;id=urn:contentItem:8SN7-CJF2-D6RV-H3GR-00000-00&amp;context=1519360" TargetMode="External" /><Relationship Id="rId12" Type="http://schemas.openxmlformats.org/officeDocument/2006/relationships/hyperlink" Target="https://advance.lexis.com/api/document?collection=statutes-legislation&amp;id=urn:contentItem:8T9R-T352-D6RV-H379-00000-00&amp;context=1519360"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TP-5WC1-FFTT-X247-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5S3-40F1-F1H1-20MS-00000-00&amp;context=1519360" TargetMode="External" /><Relationship Id="rId10" Type="http://schemas.openxmlformats.org/officeDocument/2006/relationships/hyperlink" Target="https://advance.lexis.com/api/document?collection=cases&amp;id=urn:contentItem:695T-4DG1-JJSF-22BN-00000-00&amp;context=1519360" TargetMode="External" /><Relationship Id="rId11" Type="http://schemas.openxmlformats.org/officeDocument/2006/relationships/hyperlink" Target="https://advance.lexis.com/api/document?collection=cases&amp;id=urn:contentItem:689P-CVJ1-JJYN-B335-00000-00&amp;context=1519360" TargetMode="External" /><Relationship Id="rId2" Type="http://schemas.openxmlformats.org/officeDocument/2006/relationships/hyperlink" Target="https://advance.lexis.com/api/document?collection=cases&amp;id=urn:contentItem:68D9-BPX1-JNS1-M44H-00000-00&amp;context=1519360" TargetMode="External" /><Relationship Id="rId3" Type="http://schemas.openxmlformats.org/officeDocument/2006/relationships/hyperlink" Target="https://advance.lexis.com/api/document?collection=cases&amp;id=urn:contentItem:6955-J201-JSXV-G25M-00000-00&amp;context=1519360" TargetMode="External" /><Relationship Id="rId4" Type="http://schemas.openxmlformats.org/officeDocument/2006/relationships/hyperlink" Target="https://advance.lexis.com/api/document?collection=cases&amp;id=urn:contentItem:3TGV-N250-002K-6005-00000-00&amp;context=1519360" TargetMode="External" /><Relationship Id="rId5" Type="http://schemas.openxmlformats.org/officeDocument/2006/relationships/hyperlink" Target="https://advance.lexis.com/api/document?collection=cases&amp;id=urn:contentItem:3S4X-D510-003B-S236-00000-00&amp;context=1519360" TargetMode="External" /><Relationship Id="rId6" Type="http://schemas.openxmlformats.org/officeDocument/2006/relationships/hyperlink" Target="https://advance.lexis.com/api/document?collection=cases&amp;id=urn:contentItem:3S4X-87Y0-003B-S1RX-00000-00&amp;context=1519360" TargetMode="External" /><Relationship Id="rId7" Type="http://schemas.openxmlformats.org/officeDocument/2006/relationships/hyperlink" Target="https://advance.lexis.com/api/document?collection=cases&amp;id=urn:contentItem:69SY-4PP1-F57G-S010-00000-00&amp;context=1519360" TargetMode="External" /><Relationship Id="rId8" Type="http://schemas.openxmlformats.org/officeDocument/2006/relationships/hyperlink" Target="https://advance.lexis.com/api/document?collection=cases&amp;id=urn:contentItem:4K71-3710-004C-0022-00000-00&amp;context=1519360" TargetMode="External" /><Relationship Id="rId9" Type="http://schemas.openxmlformats.org/officeDocument/2006/relationships/hyperlink" Target="https://advance.lexis.com/api/document?collection=statutes-legislation&amp;id=urn:contentItem:8T9R-T3H2-D6RV-H37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Oppel, 2023 U.S. Dist. LEXIS 218322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59</vt:lpwstr>
  </property>
  <property fmtid="{D5CDD505-2E9C-101B-9397-08002B2CF9AE}" pid="3" name="LADocCount">
    <vt:lpwstr>1</vt:lpwstr>
  </property>
  <property fmtid="{D5CDD505-2E9C-101B-9397-08002B2CF9AE}" pid="4" name="LADocumentID:59">
    <vt:lpwstr>Doc::urn:hlct:5|contextualFeaturePermID::1519360</vt:lpwstr>
  </property>
  <property fmtid="{D5CDD505-2E9C-101B-9397-08002B2CF9AE}" pid="5" name="UserPermID">
    <vt:lpwstr>urn:user:PA186186283</vt:lpwstr>
  </property>
</Properties>
</file>