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Vaughn v. Duran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Decided; December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1:17-cv-00966-NODJ-HBK</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223732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9111162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 A. VAUGHN, Plaintiff, v. NURSE DURAN and TERAN,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Vaughn v. Teran, 2017 U.S. Dist. LEXIS 159352, 2017 WL 4284649 (E.D. Cal., Sept. 26,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extrinsic evidence, Settlement, ambiguous, Parties, terms, susceptible, custom</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Mark A. Vaughn, Plaintiff: Ken I. Karan, Law Office of Ken I. Karan,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Teran, Nurse Duran, Defendants: Matthew Roman, LEAD ATTORNEY, California Department of Justice, Office of the Attorney General, Sacramento,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HELENA M. BARCH-KUCHTA,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HELENA M. BARCH-KUCHTA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 DIRECTING PARTIES TO SUBMIT SUPPLEMENTAL BRIEFING</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(Doc. No. 99)</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JANUARY 30, 2023 DEADLINE</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Pending before the Court is the Motion to Enforce Settlement Agreement, filed by Plaintiff's Counsel on May 17, 2023. (Doc. No. 99, "Motion"). As the Court advised the Parties at the telephonic status conference held on December 7, 2023, the Court intends to address the pending Motion by applying standard contract principles to the October 2022 Settlement Agreement resolving this litigation. As set forth below, the Court directs the Parties to submit supplemental briefing as to (1) whether the manner of payment of the settlement funds was a material term of the Settlement Agreement; (2) whether the Settlement Agreement is silent or ambiguous as to the manner of payment of the settlement funds, and if so; (3) what extrinsic evidence, if any, the Court should consider in supplying a missing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term or interpreting the settlement agreement's language regarding payment of those funds.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To guide the Parties in their briefing, the Court sets forth the basic principles it applies in interpreting the Settlement Agreement. Because the Settlement Agreement is explicitly governed by California law, (Doc. No. 100-1 at 4 ¶ 2), this Court applies California state law in interpreting the Agreement.</w:t>
      </w:r>
    </w:p>
    <w:p>
      <w:pPr>
        <w:keepNext w:val="0"/>
        <w:spacing w:before="240" w:after="0" w:line="260" w:lineRule="atLeast"/>
        <w:ind w:left="0" w:right="0" w:firstLine="0"/>
        <w:jc w:val="both"/>
      </w:pPr>
      <w:bookmarkStart w:id="12" w:name="Bookmark_para_5"/>
      <w:bookmarkEnd w:id="12"/>
      <w:bookmarkStart w:id="13" w:name="Bookmark_I69X7V762SF8T90020000400"/>
      <w:bookmarkEnd w:id="13"/>
      <w:bookmarkStart w:id="14" w:name="Bookmark_I69X7V7928T3VR0010000400"/>
      <w:bookmarkEnd w:id="14"/>
      <w:r>
        <w:rPr>
          <w:rFonts w:ascii="arial" w:eastAsia="arial" w:hAnsi="arial" w:cs="arial"/>
          <w:b w:val="0"/>
          <w:i w:val="0"/>
          <w:strike w:val="0"/>
          <w:noProof w:val="0"/>
          <w:color w:val="000000"/>
          <w:position w:val="0"/>
          <w:sz w:val="20"/>
          <w:u w:val="none"/>
          <w:vertAlign w:val="baseline"/>
        </w:rPr>
        <w:t xml:space="preserve">An agreement to settle a legal dispute is a contract and its enforceability is governed by familiar principles of contract law. </w:t>
      </w:r>
      <w:bookmarkStart w:id="15" w:name="Bookmark_I69X7V762SF8T90010000400"/>
      <w:bookmarkEnd w:id="15"/>
      <w:hyperlink r:id="rId10" w:history="1">
        <w:r>
          <w:rPr>
            <w:rFonts w:ascii="arial" w:eastAsia="arial" w:hAnsi="arial" w:cs="arial"/>
            <w:b w:val="0"/>
            <w:i/>
            <w:strike w:val="0"/>
            <w:noProof w:val="0"/>
            <w:color w:val="0077CC"/>
            <w:position w:val="0"/>
            <w:sz w:val="20"/>
            <w:u w:val="single"/>
            <w:vertAlign w:val="baseline"/>
          </w:rPr>
          <w:t>Miller v. Fairchild Indus.</w:t>
        </w:r>
      </w:hyperlink>
      <w:hyperlink r:id="rId10" w:history="1">
        <w:r>
          <w:rPr>
            <w:rFonts w:ascii="arial" w:eastAsia="arial" w:hAnsi="arial" w:cs="arial"/>
            <w:b w:val="0"/>
            <w:i/>
            <w:strike w:val="0"/>
            <w:noProof w:val="0"/>
            <w:color w:val="0077CC"/>
            <w:position w:val="0"/>
            <w:sz w:val="20"/>
            <w:u w:val="single"/>
            <w:vertAlign w:val="baseline"/>
          </w:rPr>
          <w:t>, 797 F.2d 727, 733 (9th Cir. 1986)</w:t>
        </w:r>
      </w:hyperlink>
      <w:r>
        <w:rPr>
          <w:rFonts w:ascii="arial" w:eastAsia="arial" w:hAnsi="arial" w:cs="arial"/>
          <w:b w:val="0"/>
          <w:i w:val="0"/>
          <w:strike w:val="0"/>
          <w:noProof w:val="0"/>
          <w:color w:val="000000"/>
          <w:position w:val="0"/>
          <w:sz w:val="20"/>
          <w:u w:val="none"/>
          <w:vertAlign w:val="baseline"/>
        </w:rPr>
        <w:t xml:space="preserve">; </w:t>
      </w:r>
      <w:bookmarkStart w:id="16" w:name="Bookmark_I69X7V762SF8T90030000400"/>
      <w:bookmarkEnd w:id="16"/>
      <w:hyperlink r:id="rId11" w:history="1">
        <w:r>
          <w:rPr>
            <w:rFonts w:ascii="arial" w:eastAsia="arial" w:hAnsi="arial" w:cs="arial"/>
            <w:b w:val="0"/>
            <w:i/>
            <w:strike w:val="0"/>
            <w:noProof w:val="0"/>
            <w:color w:val="0077CC"/>
            <w:position w:val="0"/>
            <w:sz w:val="20"/>
            <w:u w:val="single"/>
            <w:vertAlign w:val="baseline"/>
          </w:rPr>
          <w:t>Village of Kaktovik v. Watt</w:t>
        </w:r>
      </w:hyperlink>
      <w:hyperlink r:id="rId11" w:history="1">
        <w:r>
          <w:rPr>
            <w:rFonts w:ascii="arial" w:eastAsia="arial" w:hAnsi="arial" w:cs="arial"/>
            <w:b w:val="0"/>
            <w:i/>
            <w:strike w:val="0"/>
            <w:noProof w:val="0"/>
            <w:color w:val="0077CC"/>
            <w:position w:val="0"/>
            <w:sz w:val="20"/>
            <w:u w:val="single"/>
            <w:vertAlign w:val="baseline"/>
          </w:rPr>
          <w:t>, 689 F.2d 222, 230, 223 U.S. App. D.C. 39 and n. 62 (D.C.Cir.1982)</w:t>
        </w:r>
      </w:hyperlink>
      <w:r>
        <w:rPr>
          <w:rFonts w:ascii="arial" w:eastAsia="arial" w:hAnsi="arial" w:cs="arial"/>
          <w:b w:val="0"/>
          <w:i w:val="0"/>
          <w:strike w:val="0"/>
          <w:noProof w:val="0"/>
          <w:color w:val="000000"/>
          <w:position w:val="0"/>
          <w:sz w:val="20"/>
          <w:u w:val="none"/>
          <w:vertAlign w:val="baseline"/>
        </w:rPr>
        <w:t xml:space="preserve">. </w:t>
      </w:r>
      <w:bookmarkStart w:id="17" w:name="Bookmark_I69X7V7928T3VR0050000400"/>
      <w:bookmarkEnd w:id="17"/>
      <w:r>
        <w:rPr>
          <w:rFonts w:ascii="arial" w:eastAsia="arial" w:hAnsi="arial" w:cs="arial"/>
          <w:b w:val="0"/>
          <w:i w:val="0"/>
          <w:strike w:val="0"/>
          <w:noProof w:val="0"/>
          <w:color w:val="000000"/>
          <w:position w:val="0"/>
          <w:sz w:val="20"/>
          <w:u w:val="none"/>
          <w:vertAlign w:val="baseline"/>
        </w:rPr>
        <w:t xml:space="preserve">Each party agrees to "extinguish those legal rights it sought to enforce through litigation in exchange for those rights secured by the contract." </w:t>
      </w:r>
      <w:bookmarkStart w:id="18" w:name="Bookmark_I69X7V762SF8T90050000400"/>
      <w:bookmarkEnd w:id="18"/>
      <w:hyperlink r:id="rId11" w:history="1">
        <w:r>
          <w:rPr>
            <w:rFonts w:ascii="arial" w:eastAsia="arial" w:hAnsi="arial" w:cs="arial"/>
            <w:b w:val="0"/>
            <w:i/>
            <w:strike w:val="0"/>
            <w:noProof w:val="0"/>
            <w:color w:val="0077CC"/>
            <w:position w:val="0"/>
            <w:sz w:val="20"/>
            <w:u w:val="single"/>
            <w:vertAlign w:val="baseline"/>
          </w:rPr>
          <w:t>Village of Kaktovik</w:t>
        </w:r>
      </w:hyperlink>
      <w:hyperlink r:id="rId11" w:history="1">
        <w:r>
          <w:rPr>
            <w:rFonts w:ascii="arial" w:eastAsia="arial" w:hAnsi="arial" w:cs="arial"/>
            <w:b w:val="0"/>
            <w:i/>
            <w:strike w:val="0"/>
            <w:noProof w:val="0"/>
            <w:color w:val="0077CC"/>
            <w:position w:val="0"/>
            <w:sz w:val="20"/>
            <w:u w:val="single"/>
            <w:vertAlign w:val="baseline"/>
          </w:rPr>
          <w:t>, 689 F.2d at 230</w:t>
        </w:r>
      </w:hyperlink>
      <w:r>
        <w:rPr>
          <w:rFonts w:ascii="arial" w:eastAsia="arial" w:hAnsi="arial" w:cs="arial"/>
          <w:b w:val="0"/>
          <w:i w:val="0"/>
          <w:strike w:val="0"/>
          <w:noProof w:val="0"/>
          <w:color w:val="000000"/>
          <w:position w:val="0"/>
          <w:sz w:val="20"/>
          <w:u w:val="none"/>
          <w:vertAlign w:val="baseline"/>
        </w:rPr>
        <w:t xml:space="preserve">; </w:t>
      </w:r>
      <w:bookmarkStart w:id="19" w:name="Bookmark_I69X7V7928T3VR0020000400"/>
      <w:bookmarkEnd w:id="19"/>
      <w:hyperlink r:id="rId12" w:history="1">
        <w:r>
          <w:rPr>
            <w:rFonts w:ascii="arial" w:eastAsia="arial" w:hAnsi="arial" w:cs="arial"/>
            <w:b w:val="0"/>
            <w:i/>
            <w:strike w:val="0"/>
            <w:noProof w:val="0"/>
            <w:color w:val="0077CC"/>
            <w:position w:val="0"/>
            <w:sz w:val="20"/>
            <w:u w:val="single"/>
            <w:vertAlign w:val="baseline"/>
          </w:rPr>
          <w:t>Protective Closures Co. v. Clover Inds., Inc.</w:t>
        </w:r>
      </w:hyperlink>
      <w:hyperlink r:id="rId12" w:history="1">
        <w:r>
          <w:rPr>
            <w:rFonts w:ascii="arial" w:eastAsia="arial" w:hAnsi="arial" w:cs="arial"/>
            <w:b w:val="0"/>
            <w:i/>
            <w:strike w:val="0"/>
            <w:noProof w:val="0"/>
            <w:color w:val="0077CC"/>
            <w:position w:val="0"/>
            <w:sz w:val="20"/>
            <w:u w:val="single"/>
            <w:vertAlign w:val="baseline"/>
          </w:rPr>
          <w:t>, 394 F.2d 809, 812 (2d Cir. 1968)</w:t>
        </w:r>
      </w:hyperlink>
      <w:r>
        <w:rPr>
          <w:rFonts w:ascii="arial" w:eastAsia="arial" w:hAnsi="arial" w:cs="arial"/>
          <w:b w:val="0"/>
          <w:i w:val="0"/>
          <w:strike w:val="0"/>
          <w:noProof w:val="0"/>
          <w:color w:val="000000"/>
          <w:position w:val="0"/>
          <w:sz w:val="20"/>
          <w:u w:val="none"/>
          <w:vertAlign w:val="baseline"/>
        </w:rPr>
        <w:t xml:space="preserve">. Since consent decrees and orders have many of the attributes of ordinary contracts, they should be construed basically as contracts. </w:t>
      </w:r>
      <w:bookmarkStart w:id="20" w:name="Bookmark_I69X7V7928T3VR0050000400_2"/>
      <w:bookmarkEnd w:id="20"/>
      <w:bookmarkStart w:id="21" w:name="Bookmark_I69X7V7928T3VR0040000400"/>
      <w:bookmarkEnd w:id="21"/>
      <w:hyperlink r:id="rId11" w:history="1">
        <w:r>
          <w:rPr>
            <w:rFonts w:ascii="arial" w:eastAsia="arial" w:hAnsi="arial" w:cs="arial"/>
            <w:b w:val="0"/>
            <w:i/>
            <w:strike w:val="0"/>
            <w:noProof w:val="0"/>
            <w:color w:val="0077CC"/>
            <w:position w:val="0"/>
            <w:sz w:val="20"/>
            <w:u w:val="single"/>
            <w:vertAlign w:val="baseline"/>
          </w:rPr>
          <w:t>Vertex Distributing, Inc.</w:t>
        </w:r>
      </w:hyperlink>
      <w:hyperlink r:id="rId11" w:history="1">
        <w:r>
          <w:rPr>
            <w:rFonts w:ascii="arial" w:eastAsia="arial" w:hAnsi="arial" w:cs="arial"/>
            <w:b w:val="0"/>
            <w:i/>
            <w:strike w:val="0"/>
            <w:noProof w:val="0"/>
            <w:color w:val="0077CC"/>
            <w:position w:val="0"/>
            <w:sz w:val="20"/>
            <w:u w:val="single"/>
            <w:vertAlign w:val="baseline"/>
          </w:rPr>
          <w:t>, 689 F.2d at 892</w:t>
        </w:r>
      </w:hyperlink>
      <w:r>
        <w:rPr>
          <w:rFonts w:ascii="arial" w:eastAsia="arial" w:hAnsi="arial" w:cs="arial"/>
          <w:b w:val="0"/>
          <w:i w:val="0"/>
          <w:strike w:val="0"/>
          <w:noProof w:val="0"/>
          <w:color w:val="000000"/>
          <w:position w:val="0"/>
          <w:sz w:val="20"/>
          <w:u w:val="none"/>
          <w:vertAlign w:val="baseline"/>
        </w:rPr>
        <w:t xml:space="preserve"> (quoting </w:t>
      </w:r>
      <w:bookmarkStart w:id="22" w:name="Bookmark_I69X7V7928T3VS0010000400"/>
      <w:bookmarkEnd w:id="22"/>
      <w:hyperlink r:id="rId13" w:history="1">
        <w:r>
          <w:rPr>
            <w:rFonts w:ascii="arial" w:eastAsia="arial" w:hAnsi="arial" w:cs="arial"/>
            <w:b w:val="0"/>
            <w:i/>
            <w:strike w:val="0"/>
            <w:noProof w:val="0"/>
            <w:color w:val="0077CC"/>
            <w:position w:val="0"/>
            <w:sz w:val="20"/>
            <w:u w:val="single"/>
            <w:vertAlign w:val="baseline"/>
          </w:rPr>
          <w:t>United States v. ITT Continental Baking Co.</w:t>
        </w:r>
      </w:hyperlink>
      <w:hyperlink r:id="rId13" w:history="1">
        <w:r>
          <w:rPr>
            <w:rFonts w:ascii="arial" w:eastAsia="arial" w:hAnsi="arial" w:cs="arial"/>
            <w:b w:val="0"/>
            <w:i/>
            <w:strike w:val="0"/>
            <w:noProof w:val="0"/>
            <w:color w:val="0077CC"/>
            <w:position w:val="0"/>
            <w:sz w:val="20"/>
            <w:u w:val="single"/>
            <w:vertAlign w:val="baseline"/>
          </w:rPr>
          <w:t>, 420 U.S. 223, 236-37, 95 S. Ct. 926, 43 L. Ed. 2d 148 (1975)</w:t>
        </w:r>
      </w:hyperlink>
      <w:r>
        <w:rPr>
          <w:rFonts w:ascii="arial" w:eastAsia="arial" w:hAnsi="arial" w:cs="arial"/>
          <w:b w:val="0"/>
          <w:i w:val="0"/>
          <w:strike w:val="0"/>
          <w:noProof w:val="0"/>
          <w:color w:val="000000"/>
          <w:position w:val="0"/>
          <w:sz w:val="20"/>
          <w:u w:val="none"/>
          <w:vertAlign w:val="baseline"/>
        </w:rPr>
        <w:t>). Furthermore, enforceability of these compromise agreements is favored in the law.</w:t>
      </w:r>
    </w:p>
    <w:p>
      <w:pPr>
        <w:keepNext w:val="0"/>
        <w:spacing w:before="240" w:after="0" w:line="260" w:lineRule="atLeast"/>
        <w:ind w:left="0" w:right="0" w:firstLine="0"/>
        <w:jc w:val="both"/>
      </w:pPr>
      <w:bookmarkStart w:id="23" w:name="Bookmark_para_6"/>
      <w:bookmarkEnd w:id="23"/>
      <w:bookmarkStart w:id="24" w:name="Bookmark_I69X7V7928T3VS0040000400"/>
      <w:bookmarkEnd w:id="24"/>
      <w:r>
        <w:rPr>
          <w:rFonts w:ascii="arial" w:eastAsia="arial" w:hAnsi="arial" w:cs="arial"/>
          <w:b w:val="0"/>
          <w:i w:val="0"/>
          <w:strike w:val="0"/>
          <w:noProof w:val="0"/>
          <w:color w:val="000000"/>
          <w:position w:val="0"/>
          <w:sz w:val="20"/>
          <w:u w:val="none"/>
          <w:vertAlign w:val="baseline"/>
        </w:rPr>
        <w:t xml:space="preserve">The fundamental goal of contract interpretation is to give effect to the mutual intention of the parties at the time of contracting. </w:t>
      </w:r>
      <w:bookmarkStart w:id="25" w:name="Bookmark_I69X7V792N1R6W0010000400"/>
      <w:bookmarkEnd w:id="25"/>
      <w:hyperlink r:id="rId14" w:history="1">
        <w:r>
          <w:rPr>
            <w:rFonts w:ascii="arial" w:eastAsia="arial" w:hAnsi="arial" w:cs="arial"/>
            <w:b w:val="0"/>
            <w:i/>
            <w:strike w:val="0"/>
            <w:noProof w:val="0"/>
            <w:color w:val="0077CC"/>
            <w:position w:val="0"/>
            <w:sz w:val="20"/>
            <w:u w:val="single"/>
            <w:vertAlign w:val="baseline"/>
          </w:rPr>
          <w:t>Cal. Civ. Code § 1636</w:t>
        </w:r>
      </w:hyperlink>
      <w:r>
        <w:rPr>
          <w:rFonts w:ascii="arial" w:eastAsia="arial" w:hAnsi="arial" w:cs="arial"/>
          <w:b w:val="0"/>
          <w:i w:val="0"/>
          <w:strike w:val="0"/>
          <w:noProof w:val="0"/>
          <w:color w:val="000000"/>
          <w:position w:val="0"/>
          <w:sz w:val="20"/>
          <w:u w:val="none"/>
          <w:vertAlign w:val="baseline"/>
        </w:rPr>
        <w:t xml:space="preserve">; </w:t>
      </w:r>
      <w:bookmarkStart w:id="26" w:name="Bookmark_I69X7V7928T3VS0030000400"/>
      <w:bookmarkEnd w:id="26"/>
      <w:hyperlink r:id="rId15" w:history="1">
        <w:r>
          <w:rPr>
            <w:rFonts w:ascii="arial" w:eastAsia="arial" w:hAnsi="arial" w:cs="arial"/>
            <w:b w:val="0"/>
            <w:i/>
            <w:strike w:val="0"/>
            <w:noProof w:val="0"/>
            <w:color w:val="0077CC"/>
            <w:position w:val="0"/>
            <w:sz w:val="20"/>
            <w:u w:val="single"/>
            <w:vertAlign w:val="baseline"/>
          </w:rPr>
          <w:t>Morey v. Vannucci</w:t>
        </w:r>
      </w:hyperlink>
      <w:hyperlink r:id="rId15" w:history="1">
        <w:r>
          <w:rPr>
            <w:rFonts w:ascii="arial" w:eastAsia="arial" w:hAnsi="arial" w:cs="arial"/>
            <w:b w:val="0"/>
            <w:i/>
            <w:strike w:val="0"/>
            <w:noProof w:val="0"/>
            <w:color w:val="0077CC"/>
            <w:position w:val="0"/>
            <w:sz w:val="20"/>
            <w:u w:val="single"/>
            <w:vertAlign w:val="baseline"/>
          </w:rPr>
          <w:t>, 64 Cal.App.4th 904, 912, 75 Cal. Rptr. 2d 573 (1998)</w:t>
        </w:r>
      </w:hyperlink>
      <w:r>
        <w:rPr>
          <w:rFonts w:ascii="arial" w:eastAsia="arial" w:hAnsi="arial" w:cs="arial"/>
          <w:b w:val="0"/>
          <w:i w:val="0"/>
          <w:strike w:val="0"/>
          <w:noProof w:val="0"/>
          <w:color w:val="000000"/>
          <w:position w:val="0"/>
          <w:sz w:val="20"/>
          <w:u w:val="none"/>
          <w:vertAlign w:val="baseline"/>
        </w:rPr>
        <w:t xml:space="preserve">. A court must determine what the parties meant by the words used, in light of all the circumstances. </w:t>
      </w:r>
      <w:bookmarkStart w:id="27" w:name="Bookmark_I69X7V792N1R6W0010000400_2"/>
      <w:bookmarkEnd w:id="27"/>
      <w:bookmarkStart w:id="28" w:name="Bookmark_I69X7V7928T3VS0050000400"/>
      <w:bookmarkEnd w:id="28"/>
      <w:hyperlink r:id="rId16" w:history="1">
        <w:r>
          <w:rPr>
            <w:rFonts w:ascii="arial" w:eastAsia="arial" w:hAnsi="arial" w:cs="arial"/>
            <w:b w:val="0"/>
            <w:i/>
            <w:strike w:val="0"/>
            <w:noProof w:val="0"/>
            <w:color w:val="0077CC"/>
            <w:position w:val="0"/>
            <w:sz w:val="20"/>
            <w:u w:val="single"/>
            <w:vertAlign w:val="baseline"/>
          </w:rPr>
          <w:t>Pac. Gas &amp; Elec. Co. v. G.W. Thomas Drayage &amp; Rigging Co.</w:t>
        </w:r>
      </w:hyperlink>
      <w:hyperlink r:id="rId16" w:history="1">
        <w:r>
          <w:rPr>
            <w:rFonts w:ascii="arial" w:eastAsia="arial" w:hAnsi="arial" w:cs="arial"/>
            <w:b w:val="0"/>
            <w:i/>
            <w:strike w:val="0"/>
            <w:noProof w:val="0"/>
            <w:color w:val="0077CC"/>
            <w:position w:val="0"/>
            <w:sz w:val="20"/>
            <w:u w:val="single"/>
            <w:vertAlign w:val="baseline"/>
          </w:rPr>
          <w:t>, 69 Cal.2d 33, 38, 69 Cal. Rptr. 561, 442 P.2d 641 (1968)</w:t>
        </w:r>
      </w:hyperlink>
      <w:r>
        <w:rPr>
          <w:rFonts w:ascii="arial" w:eastAsia="arial" w:hAnsi="arial" w:cs="arial"/>
          <w:b w:val="0"/>
          <w:i w:val="0"/>
          <w:strike w:val="0"/>
          <w:noProof w:val="0"/>
          <w:color w:val="000000"/>
          <w:position w:val="0"/>
          <w:sz w:val="20"/>
          <w:u w:val="none"/>
          <w:vertAlign w:val="baseline"/>
        </w:rPr>
        <w:t xml:space="preserve"> ("PG&amp;E"); </w:t>
      </w:r>
      <w:hyperlink r:id="rId17" w:history="1">
        <w:r>
          <w:rPr>
            <w:rFonts w:ascii="arial" w:eastAsia="arial" w:hAnsi="arial" w:cs="arial"/>
            <w:b w:val="0"/>
            <w:i/>
            <w:strike w:val="0"/>
            <w:noProof w:val="0"/>
            <w:color w:val="0077CC"/>
            <w:position w:val="0"/>
            <w:sz w:val="20"/>
            <w:u w:val="single"/>
            <w:vertAlign w:val="baseline"/>
          </w:rPr>
          <w:t>Cal. Civ. Code § 1638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7"/>
      <w:bookmarkEnd w:id="29"/>
      <w:bookmarkStart w:id="30" w:name="Bookmark_I69X7V792N1R6W0030000400"/>
      <w:bookmarkEnd w:id="30"/>
      <w:r>
        <w:rPr>
          <w:rFonts w:ascii="arial" w:eastAsia="arial" w:hAnsi="arial" w:cs="arial"/>
          <w:b w:val="0"/>
          <w:i w:val="0"/>
          <w:strike w:val="0"/>
          <w:noProof w:val="0"/>
          <w:color w:val="000000"/>
          <w:position w:val="0"/>
          <w:sz w:val="20"/>
          <w:u w:val="none"/>
          <w:vertAlign w:val="baseline"/>
        </w:rPr>
        <w:t>Contract language is ambiguous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when it is susceptible to two or more reasonable constructions. </w:t>
      </w:r>
      <w:bookmarkStart w:id="31" w:name="Bookmark_I69X7V792N1R6W0020000400"/>
      <w:bookmarkEnd w:id="31"/>
      <w:hyperlink r:id="rId18" w:history="1">
        <w:r>
          <w:rPr>
            <w:rFonts w:ascii="arial" w:eastAsia="arial" w:hAnsi="arial" w:cs="arial"/>
            <w:b w:val="0"/>
            <w:i/>
            <w:strike w:val="0"/>
            <w:noProof w:val="0"/>
            <w:color w:val="0077CC"/>
            <w:position w:val="0"/>
            <w:sz w:val="20"/>
            <w:u w:val="single"/>
            <w:vertAlign w:val="baseline"/>
          </w:rPr>
          <w:t>E.</w:t>
        </w:r>
      </w:hyperlink>
      <w:hyperlink r:id="rId18" w:history="1">
        <w:r>
          <w:rPr>
            <w:rFonts w:ascii="arial" w:eastAsia="arial" w:hAnsi="arial" w:cs="arial"/>
            <w:b w:val="0"/>
            <w:i/>
            <w:strike w:val="0"/>
            <w:noProof w:val="0"/>
            <w:color w:val="0077CC"/>
            <w:position w:val="0"/>
            <w:sz w:val="20"/>
            <w:u w:val="single"/>
            <w:vertAlign w:val="baseline"/>
          </w:rPr>
          <w:t>M.M.I. Inc. v. Zurich American Ins. Co.</w:t>
        </w:r>
      </w:hyperlink>
      <w:hyperlink r:id="rId18" w:history="1">
        <w:r>
          <w:rPr>
            <w:rFonts w:ascii="arial" w:eastAsia="arial" w:hAnsi="arial" w:cs="arial"/>
            <w:b w:val="0"/>
            <w:i/>
            <w:strike w:val="0"/>
            <w:noProof w:val="0"/>
            <w:color w:val="0077CC"/>
            <w:position w:val="0"/>
            <w:sz w:val="20"/>
            <w:u w:val="single"/>
            <w:vertAlign w:val="baseline"/>
          </w:rPr>
          <w:t xml:space="preserve"> 32 Cal.4th 465, 470, 9 Cal. Rptr. 3d 701, 84 P.3d 385 (2004)</w:t>
        </w:r>
      </w:hyperlink>
      <w:r>
        <w:rPr>
          <w:rFonts w:ascii="arial" w:eastAsia="arial" w:hAnsi="arial" w:cs="arial"/>
          <w:b w:val="0"/>
          <w:i w:val="0"/>
          <w:strike w:val="0"/>
          <w:noProof w:val="0"/>
          <w:color w:val="000000"/>
          <w:position w:val="0"/>
          <w:sz w:val="20"/>
          <w:u w:val="none"/>
          <w:vertAlign w:val="baseline"/>
        </w:rPr>
        <w:t xml:space="preserve"> "'[W]here the language of the contract is ambiguous, it is the duty of the court to resolve the ambiguity by taking into account all the facts, circumstances and conditions surrounding the execution of the contract.'") </w:t>
      </w:r>
      <w:bookmarkStart w:id="32" w:name="Bookmark_I69X7V792N1R6W0040000400"/>
      <w:bookmarkEnd w:id="32"/>
      <w:hyperlink r:id="rId19" w:history="1">
        <w:r>
          <w:rPr>
            <w:rFonts w:ascii="arial" w:eastAsia="arial" w:hAnsi="arial" w:cs="arial"/>
            <w:b w:val="0"/>
            <w:i/>
            <w:strike w:val="0"/>
            <w:noProof w:val="0"/>
            <w:color w:val="0077CC"/>
            <w:position w:val="0"/>
            <w:sz w:val="20"/>
            <w:u w:val="single"/>
            <w:vertAlign w:val="baseline"/>
          </w:rPr>
          <w:t>Frankel v. Board of Dental Examiners</w:t>
        </w:r>
      </w:hyperlink>
      <w:hyperlink r:id="rId19" w:history="1">
        <w:r>
          <w:rPr>
            <w:rFonts w:ascii="arial" w:eastAsia="arial" w:hAnsi="arial" w:cs="arial"/>
            <w:b w:val="0"/>
            <w:i/>
            <w:strike w:val="0"/>
            <w:noProof w:val="0"/>
            <w:color w:val="0077CC"/>
            <w:position w:val="0"/>
            <w:sz w:val="20"/>
            <w:u w:val="single"/>
            <w:vertAlign w:val="baseline"/>
          </w:rPr>
          <w:t>, 46 Cal.App.4th 534, 544, 54 Cal. Rptr. 2d 128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8"/>
      <w:bookmarkEnd w:id="33"/>
      <w:bookmarkStart w:id="34" w:name="Bookmark_I69X7V7B2D6NDS0020000400"/>
      <w:bookmarkEnd w:id="34"/>
      <w:r>
        <w:rPr>
          <w:rFonts w:ascii="arial" w:eastAsia="arial" w:hAnsi="arial" w:cs="arial"/>
          <w:b w:val="0"/>
          <w:i w:val="0"/>
          <w:strike w:val="0"/>
          <w:noProof w:val="0"/>
          <w:color w:val="000000"/>
          <w:position w:val="0"/>
          <w:sz w:val="20"/>
          <w:u w:val="none"/>
          <w:vertAlign w:val="baseline"/>
        </w:rPr>
        <w:t xml:space="preserve">Contract law allows admission of extrinsic evidence "to resolve an ambiguity," even when the contract is an integrated agreement. </w:t>
      </w:r>
      <w:bookmarkStart w:id="35" w:name="Bookmark_I69X7V7B2N1R720010000400"/>
      <w:bookmarkEnd w:id="35"/>
      <w:bookmarkStart w:id="36" w:name="Bookmark_I69X7V7B2D6NDS0010000400"/>
      <w:bookmarkEnd w:id="36"/>
      <w:hyperlink r:id="rId20" w:history="1">
        <w:r>
          <w:rPr>
            <w:rFonts w:ascii="arial" w:eastAsia="arial" w:hAnsi="arial" w:cs="arial"/>
            <w:b w:val="0"/>
            <w:i/>
            <w:strike w:val="0"/>
            <w:noProof w:val="0"/>
            <w:color w:val="0077CC"/>
            <w:position w:val="0"/>
            <w:sz w:val="20"/>
            <w:u w:val="single"/>
            <w:vertAlign w:val="baseline"/>
          </w:rPr>
          <w:t>WYDA Assocs. v. Merner</w:t>
        </w:r>
      </w:hyperlink>
      <w:hyperlink r:id="rId20" w:history="1">
        <w:r>
          <w:rPr>
            <w:rFonts w:ascii="arial" w:eastAsia="arial" w:hAnsi="arial" w:cs="arial"/>
            <w:b w:val="0"/>
            <w:i/>
            <w:strike w:val="0"/>
            <w:noProof w:val="0"/>
            <w:color w:val="0077CC"/>
            <w:position w:val="0"/>
            <w:sz w:val="20"/>
            <w:u w:val="single"/>
            <w:vertAlign w:val="baseline"/>
          </w:rPr>
          <w:t>, 42 Cal.App.4th 1702, 1710, 50 Cal. Rptr. 2d 323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Cal. Code Civ. Proc § 1856(g)</w:t>
        </w:r>
      </w:hyperlink>
      <w:r>
        <w:rPr>
          <w:rFonts w:ascii="arial" w:eastAsia="arial" w:hAnsi="arial" w:cs="arial"/>
          <w:b w:val="0"/>
          <w:i w:val="0"/>
          <w:strike w:val="0"/>
          <w:noProof w:val="0"/>
          <w:color w:val="000000"/>
          <w:position w:val="0"/>
          <w:sz w:val="20"/>
          <w:u w:val="none"/>
          <w:vertAlign w:val="baseline"/>
        </w:rPr>
        <w:t xml:space="preserve">; </w:t>
      </w:r>
      <w:bookmarkStart w:id="37" w:name="Bookmark_I69X7V7B2D6NDS0030000400"/>
      <w:bookmarkEnd w:id="37"/>
      <w:hyperlink r:id="rId22" w:history="1">
        <w:r>
          <w:rPr>
            <w:rFonts w:ascii="arial" w:eastAsia="arial" w:hAnsi="arial" w:cs="arial"/>
            <w:b w:val="0"/>
            <w:i/>
            <w:strike w:val="0"/>
            <w:noProof w:val="0"/>
            <w:color w:val="0077CC"/>
            <w:position w:val="0"/>
            <w:sz w:val="20"/>
            <w:u w:val="single"/>
            <w:vertAlign w:val="baseline"/>
          </w:rPr>
          <w:t>Winet v. Price</w:t>
        </w:r>
      </w:hyperlink>
      <w:hyperlink r:id="rId22" w:history="1">
        <w:r>
          <w:rPr>
            <w:rFonts w:ascii="arial" w:eastAsia="arial" w:hAnsi="arial" w:cs="arial"/>
            <w:b w:val="0"/>
            <w:i/>
            <w:strike w:val="0"/>
            <w:noProof w:val="0"/>
            <w:color w:val="0077CC"/>
            <w:position w:val="0"/>
            <w:sz w:val="20"/>
            <w:u w:val="single"/>
            <w:vertAlign w:val="baseline"/>
          </w:rPr>
          <w:t>, 4 Cal.App.4th 1159, 1165, 6 Cal. Rptr. 2d 554 (1992)</w:t>
        </w:r>
      </w:hyperlink>
      <w:r>
        <w:rPr>
          <w:rFonts w:ascii="arial" w:eastAsia="arial" w:hAnsi="arial" w:cs="arial"/>
          <w:b w:val="0"/>
          <w:i w:val="0"/>
          <w:strike w:val="0"/>
          <w:noProof w:val="0"/>
          <w:color w:val="000000"/>
          <w:position w:val="0"/>
          <w:sz w:val="20"/>
          <w:u w:val="none"/>
          <w:vertAlign w:val="baseline"/>
        </w:rPr>
        <w:t xml:space="preserve">. Extrinsic evidence may be offered both to explain an obviously ambiguous term and to reveal a latent ambiguity. </w:t>
      </w:r>
      <w:bookmarkStart w:id="38" w:name="Bookmark_I69X7V7B2N1R720010000400_2"/>
      <w:bookmarkEnd w:id="38"/>
      <w:bookmarkStart w:id="39" w:name="Bookmark_I69X7V7B2D6NDS0050000400"/>
      <w:bookmarkEnd w:id="39"/>
      <w:hyperlink r:id="rId16" w:history="1">
        <w:r>
          <w:rPr>
            <w:rFonts w:ascii="arial" w:eastAsia="arial" w:hAnsi="arial" w:cs="arial"/>
            <w:b w:val="0"/>
            <w:i/>
            <w:strike w:val="0"/>
            <w:noProof w:val="0"/>
            <w:color w:val="0077CC"/>
            <w:position w:val="0"/>
            <w:sz w:val="20"/>
            <w:u w:val="single"/>
            <w:vertAlign w:val="baseline"/>
          </w:rPr>
          <w:t>Pac. Gas &amp; E. Co. v. G.W. Thomas Drayage etc. Co.</w:t>
        </w:r>
      </w:hyperlink>
      <w:hyperlink r:id="rId16" w:history="1">
        <w:r>
          <w:rPr>
            <w:rFonts w:ascii="arial" w:eastAsia="arial" w:hAnsi="arial" w:cs="arial"/>
            <w:b w:val="0"/>
            <w:i/>
            <w:strike w:val="0"/>
            <w:noProof w:val="0"/>
            <w:color w:val="0077CC"/>
            <w:position w:val="0"/>
            <w:sz w:val="20"/>
            <w:u w:val="single"/>
            <w:vertAlign w:val="baseline"/>
          </w:rPr>
          <w:t>, 69 Cal.2d 33, 37, 69 Cal. Rptr. 561, 442 P.2d 641 (1968)</w:t>
        </w:r>
      </w:hyperlink>
      <w:r>
        <w:rPr>
          <w:rFonts w:ascii="arial" w:eastAsia="arial" w:hAnsi="arial" w:cs="arial"/>
          <w:b w:val="0"/>
          <w:i w:val="0"/>
          <w:strike w:val="0"/>
          <w:noProof w:val="0"/>
          <w:color w:val="000000"/>
          <w:position w:val="0"/>
          <w:sz w:val="20"/>
          <w:u w:val="none"/>
          <w:vertAlign w:val="baseline"/>
        </w:rPr>
        <w:t xml:space="preserve">; </w:t>
      </w:r>
      <w:bookmarkStart w:id="40" w:name="Bookmark_I69X7V7B2N1R720020000400"/>
      <w:bookmarkEnd w:id="40"/>
      <w:hyperlink r:id="rId23" w:history="1">
        <w:r>
          <w:rPr>
            <w:rFonts w:ascii="arial" w:eastAsia="arial" w:hAnsi="arial" w:cs="arial"/>
            <w:b w:val="0"/>
            <w:i/>
            <w:strike w:val="0"/>
            <w:noProof w:val="0"/>
            <w:color w:val="0077CC"/>
            <w:position w:val="0"/>
            <w:sz w:val="20"/>
            <w:u w:val="single"/>
            <w:vertAlign w:val="baseline"/>
          </w:rPr>
          <w:t>Emp'rs Reinsurance Co. v. Superior Court</w:t>
        </w:r>
      </w:hyperlink>
      <w:hyperlink r:id="rId23" w:history="1">
        <w:r>
          <w:rPr>
            <w:rFonts w:ascii="arial" w:eastAsia="arial" w:hAnsi="arial" w:cs="arial"/>
            <w:b w:val="0"/>
            <w:i/>
            <w:strike w:val="0"/>
            <w:noProof w:val="0"/>
            <w:color w:val="0077CC"/>
            <w:position w:val="0"/>
            <w:sz w:val="20"/>
            <w:u w:val="single"/>
            <w:vertAlign w:val="baseline"/>
          </w:rPr>
          <w:t>, 161 Cal.App.4th 906, 920, 74 Cal. Rptr. 3d 733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9"/>
      <w:bookmarkEnd w:id="41"/>
      <w:bookmarkStart w:id="42" w:name="Bookmark_I69X7V7B2N1R720050000400"/>
      <w:bookmarkEnd w:id="42"/>
      <w:bookmarkStart w:id="43" w:name="Bookmark_I69X7V7D2D6NF80020000400"/>
      <w:bookmarkEnd w:id="43"/>
      <w:r>
        <w:rPr>
          <w:rFonts w:ascii="arial" w:eastAsia="arial" w:hAnsi="arial" w:cs="arial"/>
          <w:b w:val="0"/>
          <w:i w:val="0"/>
          <w:strike w:val="0"/>
          <w:noProof w:val="0"/>
          <w:color w:val="000000"/>
          <w:position w:val="0"/>
          <w:sz w:val="20"/>
          <w:u w:val="none"/>
          <w:vertAlign w:val="baseline"/>
        </w:rPr>
        <w:t xml:space="preserve">"An agreement is not ambiguous merely because the parties (or judges) disagree about its meaning." </w:t>
      </w:r>
      <w:bookmarkStart w:id="44" w:name="Bookmark_I69X7V7B2N1R720040000400"/>
      <w:bookmarkEnd w:id="44"/>
      <w:hyperlink r:id="rId24" w:history="1">
        <w:r>
          <w:rPr>
            <w:rFonts w:ascii="arial" w:eastAsia="arial" w:hAnsi="arial" w:cs="arial"/>
            <w:b w:val="0"/>
            <w:i/>
            <w:strike w:val="0"/>
            <w:noProof w:val="0"/>
            <w:color w:val="0077CC"/>
            <w:position w:val="0"/>
            <w:sz w:val="20"/>
            <w:u w:val="single"/>
            <w:vertAlign w:val="baseline"/>
          </w:rPr>
          <w:t>Abers v. Rounsavell</w:t>
        </w:r>
      </w:hyperlink>
      <w:hyperlink r:id="rId24" w:history="1">
        <w:r>
          <w:rPr>
            <w:rFonts w:ascii="arial" w:eastAsia="arial" w:hAnsi="arial" w:cs="arial"/>
            <w:b w:val="0"/>
            <w:i/>
            <w:strike w:val="0"/>
            <w:noProof w:val="0"/>
            <w:color w:val="0077CC"/>
            <w:position w:val="0"/>
            <w:sz w:val="20"/>
            <w:u w:val="single"/>
            <w:vertAlign w:val="baseline"/>
          </w:rPr>
          <w:t>, 189 Cal.App.4th 348, 356, 116 Cal. Rptr. 3d 860 (2010)</w:t>
        </w:r>
      </w:hyperlink>
      <w:r>
        <w:rPr>
          <w:rFonts w:ascii="arial" w:eastAsia="arial" w:hAnsi="arial" w:cs="arial"/>
          <w:b w:val="0"/>
          <w:i w:val="0"/>
          <w:strike w:val="0"/>
          <w:noProof w:val="0"/>
          <w:color w:val="000000"/>
          <w:position w:val="0"/>
          <w:sz w:val="20"/>
          <w:u w:val="none"/>
          <w:vertAlign w:val="baseline"/>
        </w:rPr>
        <w:t xml:space="preserve">. </w:t>
      </w:r>
      <w:bookmarkStart w:id="45" w:name="Bookmark_I69X7V7D2D6NF80040000400"/>
      <w:bookmarkEnd w:id="45"/>
      <w:r>
        <w:rPr>
          <w:rFonts w:ascii="arial" w:eastAsia="arial" w:hAnsi="arial" w:cs="arial"/>
          <w:b w:val="0"/>
          <w:i w:val="0"/>
          <w:strike w:val="0"/>
          <w:noProof w:val="0"/>
          <w:color w:val="000000"/>
          <w:position w:val="0"/>
          <w:sz w:val="20"/>
          <w:u w:val="none"/>
          <w:vertAlign w:val="baseline"/>
        </w:rPr>
        <w:t xml:space="preserve">Rather, the determination of ambiguity involves two steps. </w:t>
      </w:r>
      <w:bookmarkStart w:id="46" w:name="Bookmark_I69X7V7F28T3WK0010000400"/>
      <w:bookmarkEnd w:id="46"/>
      <w:r>
        <w:rPr>
          <w:rFonts w:ascii="arial" w:eastAsia="arial" w:hAnsi="arial" w:cs="arial"/>
          <w:b w:val="0"/>
          <w:i w:val="0"/>
          <w:strike w:val="0"/>
          <w:noProof w:val="0"/>
          <w:color w:val="000000"/>
          <w:position w:val="0"/>
          <w:sz w:val="20"/>
          <w:u w:val="none"/>
          <w:vertAlign w:val="baseline"/>
        </w:rPr>
        <w:t xml:space="preserve">"First, the court provisionally receives (without actually admitting) all credible evidence concerning the parties' intentions to determine 'ambiguity,' i.e., whether the language is 'reasonably susceptible' to the interpretation urged by a party." </w:t>
      </w:r>
      <w:bookmarkStart w:id="47" w:name="Bookmark_I69X7V7D2D6NF80010000400"/>
      <w:bookmarkEnd w:id="47"/>
      <w:hyperlink r:id="rId22" w:history="1">
        <w:r>
          <w:rPr>
            <w:rFonts w:ascii="arial" w:eastAsia="arial" w:hAnsi="arial" w:cs="arial"/>
            <w:b w:val="0"/>
            <w:i/>
            <w:strike w:val="0"/>
            <w:noProof w:val="0"/>
            <w:color w:val="0077CC"/>
            <w:position w:val="0"/>
            <w:sz w:val="20"/>
            <w:u w:val="single"/>
            <w:vertAlign w:val="baseline"/>
          </w:rPr>
          <w:t>Winet</w:t>
        </w:r>
      </w:hyperlink>
      <w:hyperlink r:id="rId22" w:history="1">
        <w:r>
          <w:rPr>
            <w:rFonts w:ascii="arial" w:eastAsia="arial" w:hAnsi="arial" w:cs="arial"/>
            <w:b w:val="0"/>
            <w:i/>
            <w:strike w:val="0"/>
            <w:noProof w:val="0"/>
            <w:color w:val="0077CC"/>
            <w:position w:val="0"/>
            <w:sz w:val="20"/>
            <w:u w:val="single"/>
            <w:vertAlign w:val="baseline"/>
          </w:rPr>
          <w:t>, 4 Cal.App.4th at 1165</w:t>
        </w:r>
      </w:hyperlink>
      <w:r>
        <w:rPr>
          <w:rFonts w:ascii="arial" w:eastAsia="arial" w:hAnsi="arial" w:cs="arial"/>
          <w:b w:val="0"/>
          <w:i w:val="0"/>
          <w:strike w:val="0"/>
          <w:noProof w:val="0"/>
          <w:color w:val="000000"/>
          <w:position w:val="0"/>
          <w:sz w:val="20"/>
          <w:u w:val="none"/>
          <w:vertAlign w:val="baseline"/>
        </w:rPr>
        <w:t xml:space="preserve">. </w:t>
      </w:r>
      <w:bookmarkStart w:id="48" w:name="Bookmark_I69X7V7F28T3WK0010000400_2"/>
      <w:bookmarkEnd w:id="48"/>
      <w:bookmarkStart w:id="49" w:name="Bookmark_I69X7V7D2D6NF80040000400_2"/>
      <w:bookmarkEnd w:id="49"/>
      <w:r>
        <w:rPr>
          <w:rFonts w:ascii="arial" w:eastAsia="arial" w:hAnsi="arial" w:cs="arial"/>
          <w:b w:val="0"/>
          <w:i w:val="0"/>
          <w:strike w:val="0"/>
          <w:noProof w:val="0"/>
          <w:color w:val="000000"/>
          <w:position w:val="0"/>
          <w:sz w:val="20"/>
          <w:u w:val="none"/>
          <w:vertAlign w:val="baseline"/>
        </w:rPr>
        <w:t xml:space="preserve">If the contract is not "'reasonably susceptible' to the interpretation urged," then "the case is over." </w:t>
      </w:r>
      <w:bookmarkStart w:id="50" w:name="Bookmark_I69X7V7D2D6NF80030000400"/>
      <w:bookmarkEnd w:id="50"/>
      <w:hyperlink r:id="rId25" w:history="1">
        <w:r>
          <w:rPr>
            <w:rFonts w:ascii="arial" w:eastAsia="arial" w:hAnsi="arial" w:cs="arial"/>
            <w:b w:val="0"/>
            <w:i/>
            <w:strike w:val="0"/>
            <w:noProof w:val="0"/>
            <w:color w:val="0077CC"/>
            <w:position w:val="0"/>
            <w:sz w:val="20"/>
            <w:u w:val="single"/>
            <w:vertAlign w:val="baseline"/>
          </w:rPr>
          <w:t>S. Cal. Edison Co. v. Superior Court</w:t>
        </w:r>
      </w:hyperlink>
      <w:hyperlink r:id="rId25" w:history="1">
        <w:r>
          <w:rPr>
            <w:rFonts w:ascii="arial" w:eastAsia="arial" w:hAnsi="arial" w:cs="arial"/>
            <w:b w:val="0"/>
            <w:i/>
            <w:strike w:val="0"/>
            <w:noProof w:val="0"/>
            <w:color w:val="0077CC"/>
            <w:position w:val="0"/>
            <w:sz w:val="20"/>
            <w:u w:val="single"/>
            <w:vertAlign w:val="baseline"/>
          </w:rPr>
          <w:t>, 37 Cal.App.4th 839, 847-48, 44 Cal. Rptr. 2d 227 (1995)</w:t>
        </w:r>
      </w:hyperlink>
      <w:r>
        <w:rPr>
          <w:rFonts w:ascii="arial" w:eastAsia="arial" w:hAnsi="arial" w:cs="arial"/>
          <w:b w:val="0"/>
          <w:i w:val="0"/>
          <w:strike w:val="0"/>
          <w:noProof w:val="0"/>
          <w:color w:val="000000"/>
          <w:position w:val="0"/>
          <w:sz w:val="20"/>
          <w:u w:val="none"/>
          <w:vertAlign w:val="baseline"/>
        </w:rPr>
        <w:t xml:space="preserve">. </w:t>
      </w:r>
      <w:bookmarkStart w:id="51" w:name="Bookmark_I69X7V7F28T3WK0030000400"/>
      <w:bookmarkEnd w:id="51"/>
      <w:r>
        <w:rPr>
          <w:rFonts w:ascii="arial" w:eastAsia="arial" w:hAnsi="arial" w:cs="arial"/>
          <w:b w:val="0"/>
          <w:i w:val="0"/>
          <w:strike w:val="0"/>
          <w:noProof w:val="0"/>
          <w:color w:val="000000"/>
          <w:position w:val="0"/>
          <w:sz w:val="20"/>
          <w:u w:val="none"/>
          <w:vertAlign w:val="baseline"/>
        </w:rPr>
        <w:t>But "[i]f in light of the extrinsic evidence the court decides the language is 'reasonably susceptible' to the interpretation urged, the extrinsic</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evidence is then admitted to aid in the second step—interpreting the contract." </w:t>
      </w:r>
      <w:bookmarkStart w:id="52" w:name="Bookmark_I69X7V7D2D6NF80050000400"/>
      <w:bookmarkEnd w:id="52"/>
      <w:hyperlink r:id="rId22" w:history="1">
        <w:r>
          <w:rPr>
            <w:rFonts w:ascii="arial" w:eastAsia="arial" w:hAnsi="arial" w:cs="arial"/>
            <w:b w:val="0"/>
            <w:i/>
            <w:strike w:val="0"/>
            <w:noProof w:val="0"/>
            <w:color w:val="0077CC"/>
            <w:position w:val="0"/>
            <w:sz w:val="20"/>
            <w:u w:val="single"/>
            <w:vertAlign w:val="baseline"/>
          </w:rPr>
          <w:t>Winet</w:t>
        </w:r>
      </w:hyperlink>
      <w:hyperlink r:id="rId22" w:history="1">
        <w:r>
          <w:rPr>
            <w:rFonts w:ascii="arial" w:eastAsia="arial" w:hAnsi="arial" w:cs="arial"/>
            <w:b w:val="0"/>
            <w:i/>
            <w:strike w:val="0"/>
            <w:noProof w:val="0"/>
            <w:color w:val="0077CC"/>
            <w:position w:val="0"/>
            <w:sz w:val="20"/>
            <w:u w:val="single"/>
            <w:vertAlign w:val="baseline"/>
          </w:rPr>
          <w:t>, 4 Cal.App.4th at 1165</w:t>
        </w:r>
      </w:hyperlink>
      <w:r>
        <w:rPr>
          <w:rFonts w:ascii="arial" w:eastAsia="arial" w:hAnsi="arial" w:cs="arial"/>
          <w:b w:val="0"/>
          <w:i w:val="0"/>
          <w:strike w:val="0"/>
          <w:noProof w:val="0"/>
          <w:color w:val="000000"/>
          <w:position w:val="0"/>
          <w:sz w:val="20"/>
          <w:u w:val="none"/>
          <w:vertAlign w:val="baseline"/>
        </w:rPr>
        <w:t xml:space="preserve">. </w:t>
      </w:r>
      <w:bookmarkStart w:id="53" w:name="Bookmark_I69X7V7F28T3WK0030000400_2"/>
      <w:bookmarkEnd w:id="53"/>
      <w:r>
        <w:rPr>
          <w:rFonts w:ascii="arial" w:eastAsia="arial" w:hAnsi="arial" w:cs="arial"/>
          <w:b w:val="0"/>
          <w:i w:val="0"/>
          <w:strike w:val="0"/>
          <w:noProof w:val="0"/>
          <w:color w:val="000000"/>
          <w:position w:val="0"/>
          <w:sz w:val="20"/>
          <w:u w:val="none"/>
          <w:vertAlign w:val="baseline"/>
        </w:rPr>
        <w:t xml:space="preserve">Because extrinsic evidence must be "relevant to prove a meaning to which the language of the contract is reasonably susceptible," any extrinsic evidence must be tethered to specific contract language. </w:t>
      </w:r>
      <w:bookmarkStart w:id="54" w:name="Bookmark_I69X7V7F28T3WK0020000400"/>
      <w:bookmarkEnd w:id="54"/>
      <w:hyperlink r:id="rId26" w:history="1">
        <w:r>
          <w:rPr>
            <w:rFonts w:ascii="arial" w:eastAsia="arial" w:hAnsi="arial" w:cs="arial"/>
            <w:b w:val="0"/>
            <w:i/>
            <w:strike w:val="0"/>
            <w:noProof w:val="0"/>
            <w:color w:val="0077CC"/>
            <w:position w:val="0"/>
            <w:sz w:val="20"/>
            <w:u w:val="single"/>
            <w:vertAlign w:val="baseline"/>
          </w:rPr>
          <w:t>Alameda Cnty. Flood Control v. Dep't of Water Res.</w:t>
        </w:r>
      </w:hyperlink>
      <w:hyperlink r:id="rId26" w:history="1">
        <w:r>
          <w:rPr>
            <w:rFonts w:ascii="arial" w:eastAsia="arial" w:hAnsi="arial" w:cs="arial"/>
            <w:b w:val="0"/>
            <w:i/>
            <w:strike w:val="0"/>
            <w:noProof w:val="0"/>
            <w:color w:val="0077CC"/>
            <w:position w:val="0"/>
            <w:sz w:val="20"/>
            <w:u w:val="single"/>
            <w:vertAlign w:val="baseline"/>
          </w:rPr>
          <w:t>, 213 Cal.App.4th 1163, 1188-89, 152 Cal. Rptr. 3d 845 (2013)</w:t>
        </w:r>
      </w:hyperlink>
      <w:r>
        <w:rPr>
          <w:rFonts w:ascii="arial" w:eastAsia="arial" w:hAnsi="arial" w:cs="arial"/>
          <w:b w:val="0"/>
          <w:i w:val="0"/>
          <w:strike w:val="0"/>
          <w:noProof w:val="0"/>
          <w:color w:val="000000"/>
          <w:position w:val="0"/>
          <w:sz w:val="20"/>
          <w:u w:val="none"/>
          <w:vertAlign w:val="baseline"/>
        </w:rPr>
        <w:t xml:space="preserve"> (quoting </w:t>
      </w:r>
      <w:bookmarkStart w:id="55" w:name="Bookmark_I69X7V7F28T3WK0040000400"/>
      <w:bookmarkEnd w:id="55"/>
      <w:hyperlink r:id="rId27" w:history="1">
        <w:r>
          <w:rPr>
            <w:rFonts w:ascii="arial" w:eastAsia="arial" w:hAnsi="arial" w:cs="arial"/>
            <w:b w:val="0"/>
            <w:i/>
            <w:strike w:val="0"/>
            <w:noProof w:val="0"/>
            <w:color w:val="0077CC"/>
            <w:position w:val="0"/>
            <w:sz w:val="20"/>
            <w:u w:val="single"/>
            <w:vertAlign w:val="baseline"/>
          </w:rPr>
          <w:t>Dore v. Arnold Worldwide, Inc.</w:t>
        </w:r>
      </w:hyperlink>
      <w:hyperlink r:id="rId27" w:history="1">
        <w:r>
          <w:rPr>
            <w:rFonts w:ascii="arial" w:eastAsia="arial" w:hAnsi="arial" w:cs="arial"/>
            <w:b w:val="0"/>
            <w:i/>
            <w:strike w:val="0"/>
            <w:noProof w:val="0"/>
            <w:color w:val="0077CC"/>
            <w:position w:val="0"/>
            <w:sz w:val="20"/>
            <w:u w:val="single"/>
            <w:vertAlign w:val="baseline"/>
          </w:rPr>
          <w:t>, 39 Cal.4th 384, 391, 46 Cal. Rptr. 3d 668, 139 P.3d 56 (2006)</w:t>
        </w:r>
      </w:hyperlink>
      <w:r>
        <w:rPr>
          <w:rFonts w:ascii="arial" w:eastAsia="arial" w:hAnsi="arial" w:cs="arial"/>
          <w:b w:val="0"/>
          <w:i w:val="0"/>
          <w:strike w:val="0"/>
          <w:noProof w:val="0"/>
          <w:color w:val="000000"/>
          <w:position w:val="0"/>
          <w:sz w:val="20"/>
          <w:u w:val="none"/>
          <w:vertAlign w:val="baseline"/>
        </w:rPr>
        <w:t>) (emphasis omitted).</w:t>
      </w:r>
    </w:p>
    <w:p>
      <w:pPr>
        <w:keepNext w:val="0"/>
        <w:spacing w:before="240" w:after="0" w:line="260" w:lineRule="atLeast"/>
        <w:ind w:left="0" w:right="0" w:firstLine="0"/>
        <w:jc w:val="both"/>
      </w:pPr>
      <w:bookmarkStart w:id="56" w:name="Bookmark_para_10"/>
      <w:bookmarkEnd w:id="56"/>
      <w:bookmarkStart w:id="57" w:name="Bookmark_I69X7V7F2SF7K10020000400"/>
      <w:bookmarkEnd w:id="57"/>
      <w:r>
        <w:rPr>
          <w:rFonts w:ascii="arial" w:eastAsia="arial" w:hAnsi="arial" w:cs="arial"/>
          <w:b w:val="0"/>
          <w:i w:val="0"/>
          <w:strike w:val="0"/>
          <w:noProof w:val="0"/>
          <w:color w:val="000000"/>
          <w:position w:val="0"/>
          <w:sz w:val="20"/>
          <w:u w:val="none"/>
          <w:vertAlign w:val="baseline"/>
        </w:rPr>
        <w:t>Admissible extrinsic evidence includes: (1) the circumstances, under which the contract was made and the matter to which it relates (</w:t>
      </w:r>
      <w:hyperlink r:id="rId28" w:history="1">
        <w:r>
          <w:rPr>
            <w:rFonts w:ascii="arial" w:eastAsia="arial" w:hAnsi="arial" w:cs="arial"/>
            <w:b w:val="0"/>
            <w:i/>
            <w:strike w:val="0"/>
            <w:noProof w:val="0"/>
            <w:color w:val="0077CC"/>
            <w:position w:val="0"/>
            <w:sz w:val="20"/>
            <w:u w:val="single"/>
            <w:vertAlign w:val="baseline"/>
          </w:rPr>
          <w:t>Cal. Civ. Code § 1647</w:t>
        </w:r>
      </w:hyperlink>
      <w:r>
        <w:rPr>
          <w:rFonts w:ascii="arial" w:eastAsia="arial" w:hAnsi="arial" w:cs="arial"/>
          <w:b w:val="0"/>
          <w:i w:val="0"/>
          <w:strike w:val="0"/>
          <w:noProof w:val="0"/>
          <w:color w:val="000000"/>
          <w:position w:val="0"/>
          <w:sz w:val="20"/>
          <w:u w:val="none"/>
          <w:vertAlign w:val="baseline"/>
        </w:rPr>
        <w:t>); (2) the parties' statements during negotiations and communicated intent (</w:t>
      </w:r>
      <w:bookmarkStart w:id="58" w:name="Bookmark_I69X7V7F2SF7K10010000400"/>
      <w:bookmarkEnd w:id="58"/>
      <w:hyperlink r:id="rId29" w:history="1">
        <w:r>
          <w:rPr>
            <w:rFonts w:ascii="arial" w:eastAsia="arial" w:hAnsi="arial" w:cs="arial"/>
            <w:b w:val="0"/>
            <w:i/>
            <w:strike w:val="0"/>
            <w:noProof w:val="0"/>
            <w:color w:val="0077CC"/>
            <w:position w:val="0"/>
            <w:sz w:val="20"/>
            <w:u w:val="single"/>
            <w:vertAlign w:val="baseline"/>
          </w:rPr>
          <w:t>Heston v. Farmers Ins. Group</w:t>
        </w:r>
      </w:hyperlink>
      <w:hyperlink r:id="rId29" w:history="1">
        <w:r>
          <w:rPr>
            <w:rFonts w:ascii="arial" w:eastAsia="arial" w:hAnsi="arial" w:cs="arial"/>
            <w:b w:val="0"/>
            <w:i/>
            <w:strike w:val="0"/>
            <w:noProof w:val="0"/>
            <w:color w:val="0077CC"/>
            <w:position w:val="0"/>
            <w:sz w:val="20"/>
            <w:u w:val="single"/>
            <w:vertAlign w:val="baseline"/>
          </w:rPr>
          <w:t>, 160 Cal.App.3d 402, 412, 206 Cal. Rptr. 585 (1984)</w:t>
        </w:r>
      </w:hyperlink>
      <w:r>
        <w:rPr>
          <w:rFonts w:ascii="arial" w:eastAsia="arial" w:hAnsi="arial" w:cs="arial"/>
          <w:b w:val="0"/>
          <w:i w:val="0"/>
          <w:strike w:val="0"/>
          <w:noProof w:val="0"/>
          <w:color w:val="000000"/>
          <w:position w:val="0"/>
          <w:sz w:val="20"/>
          <w:u w:val="none"/>
          <w:vertAlign w:val="baseline"/>
        </w:rPr>
        <w:t>); (3) the parties' "course of dealing" and "course of performance," including pre-dispute conduct (</w:t>
      </w:r>
      <w:hyperlink r:id="rId21" w:history="1">
        <w:r>
          <w:rPr>
            <w:rFonts w:ascii="arial" w:eastAsia="arial" w:hAnsi="arial" w:cs="arial"/>
            <w:b w:val="0"/>
            <w:i/>
            <w:strike w:val="0"/>
            <w:noProof w:val="0"/>
            <w:color w:val="0077CC"/>
            <w:position w:val="0"/>
            <w:sz w:val="20"/>
            <w:u w:val="single"/>
            <w:vertAlign w:val="baseline"/>
          </w:rPr>
          <w:t>Cal. Code Civ. Proc. § 1856(c)</w:t>
        </w:r>
      </w:hyperlink>
      <w:r>
        <w:rPr>
          <w:rFonts w:ascii="arial" w:eastAsia="arial" w:hAnsi="arial" w:cs="arial"/>
          <w:b w:val="0"/>
          <w:i w:val="0"/>
          <w:strike w:val="0"/>
          <w:noProof w:val="0"/>
          <w:color w:val="000000"/>
          <w:position w:val="0"/>
          <w:sz w:val="20"/>
          <w:u w:val="none"/>
          <w:vertAlign w:val="baseline"/>
        </w:rPr>
        <w:t xml:space="preserve">; </w:t>
      </w:r>
      <w:bookmarkStart w:id="59" w:name="Bookmark_I69X7V7F2SF7K10030000400"/>
      <w:bookmarkEnd w:id="59"/>
      <w:hyperlink r:id="rId30" w:history="1">
        <w:r>
          <w:rPr>
            <w:rFonts w:ascii="arial" w:eastAsia="arial" w:hAnsi="arial" w:cs="arial"/>
            <w:b w:val="0"/>
            <w:i/>
            <w:strike w:val="0"/>
            <w:noProof w:val="0"/>
            <w:color w:val="0077CC"/>
            <w:position w:val="0"/>
            <w:sz w:val="20"/>
            <w:u w:val="single"/>
            <w:vertAlign w:val="baseline"/>
          </w:rPr>
          <w:t>City of Hope Nat'l Med. Ctr. v. Genentech, Inc.</w:t>
        </w:r>
      </w:hyperlink>
      <w:hyperlink r:id="rId30" w:history="1">
        <w:r>
          <w:rPr>
            <w:rFonts w:ascii="arial" w:eastAsia="arial" w:hAnsi="arial" w:cs="arial"/>
            <w:b w:val="0"/>
            <w:i/>
            <w:strike w:val="0"/>
            <w:noProof w:val="0"/>
            <w:color w:val="0077CC"/>
            <w:position w:val="0"/>
            <w:sz w:val="20"/>
            <w:u w:val="single"/>
            <w:vertAlign w:val="baseline"/>
          </w:rPr>
          <w:t>, 43 Cal.4th 375, 393, 75 Cal. Rptr. 3d 333, 181 P.3d 142 (2008)</w:t>
        </w:r>
      </w:hyperlink>
      <w:r>
        <w:rPr>
          <w:rFonts w:ascii="arial" w:eastAsia="arial" w:hAnsi="arial" w:cs="arial"/>
          <w:b w:val="0"/>
          <w:i w:val="0"/>
          <w:strike w:val="0"/>
          <w:noProof w:val="0"/>
          <w:color w:val="000000"/>
          <w:position w:val="0"/>
          <w:sz w:val="20"/>
          <w:u w:val="none"/>
          <w:vertAlign w:val="baseline"/>
        </w:rPr>
        <w:t>); and (4) usage of trade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60" w:name="Bookmark_I69X7V7F2SF7K10050000400"/>
      <w:bookmarkEnd w:id="60"/>
      <w:hyperlink r:id="rId31" w:history="1">
        <w:r>
          <w:rPr>
            <w:rFonts w:ascii="arial" w:eastAsia="arial" w:hAnsi="arial" w:cs="arial"/>
            <w:b w:val="0"/>
            <w:i/>
            <w:strike w:val="0"/>
            <w:noProof w:val="0"/>
            <w:color w:val="0077CC"/>
            <w:position w:val="0"/>
            <w:sz w:val="20"/>
            <w:u w:val="single"/>
            <w:vertAlign w:val="baseline"/>
          </w:rPr>
          <w:t>Midwest Television, Inc. v. Scott</w:t>
        </w:r>
      </w:hyperlink>
      <w:hyperlink r:id="rId31" w:history="1">
        <w:r>
          <w:rPr>
            <w:rFonts w:ascii="arial" w:eastAsia="arial" w:hAnsi="arial" w:cs="arial"/>
            <w:b w:val="0"/>
            <w:i/>
            <w:strike w:val="0"/>
            <w:noProof w:val="0"/>
            <w:color w:val="0077CC"/>
            <w:position w:val="0"/>
            <w:sz w:val="20"/>
            <w:u w:val="single"/>
            <w:vertAlign w:val="baseline"/>
          </w:rPr>
          <w:t xml:space="preserve">, </w:t>
        </w:r>
      </w:hyperlink>
      <w:hyperlink r:id="rId31" w:history="1">
        <w:r>
          <w:rPr>
            <w:rFonts w:ascii="arial" w:eastAsia="arial" w:hAnsi="arial" w:cs="arial"/>
            <w:b w:val="0"/>
            <w:i/>
            <w:strike w:val="0"/>
            <w:noProof w:val="0"/>
            <w:color w:val="0077CC"/>
            <w:position w:val="0"/>
            <w:sz w:val="20"/>
            <w:u w:val="single"/>
            <w:vertAlign w:val="baseline"/>
          </w:rPr>
          <w:t>Lancaster, Mills &amp; Atha, Inc.</w:t>
        </w:r>
      </w:hyperlink>
      <w:hyperlink r:id="rId31" w:history="1">
        <w:r>
          <w:rPr>
            <w:rFonts w:ascii="arial" w:eastAsia="arial" w:hAnsi="arial" w:cs="arial"/>
            <w:b w:val="0"/>
            <w:i/>
            <w:strike w:val="0"/>
            <w:noProof w:val="0"/>
            <w:color w:val="0077CC"/>
            <w:position w:val="0"/>
            <w:sz w:val="20"/>
            <w:u w:val="single"/>
            <w:vertAlign w:val="baseline"/>
          </w:rPr>
          <w:t>, 205 Cal.App.3d 442, 451, 252 Cal. Rptr. 573 (1988)</w:t>
        </w:r>
      </w:hyperlink>
      <w:r>
        <w:rPr>
          <w:rFonts w:ascii="arial" w:eastAsia="arial" w:hAnsi="arial" w:cs="arial"/>
          <w:b w:val="0"/>
          <w:i w:val="0"/>
          <w:strike w:val="0"/>
          <w:noProof w:val="0"/>
          <w:color w:val="000000"/>
          <w:position w:val="0"/>
          <w:sz w:val="20"/>
          <w:u w:val="none"/>
          <w:vertAlign w:val="baseline"/>
        </w:rPr>
        <w:t xml:space="preserve"> ("industry custom binds those engaged in the business even though there is no specific proof that the particular party to the litigation knew of the custom") (citation omitted)).</w:t>
      </w:r>
    </w:p>
    <w:p>
      <w:pPr>
        <w:keepNext w:val="0"/>
        <w:spacing w:before="240" w:after="0" w:line="260" w:lineRule="atLeast"/>
        <w:ind w:left="0" w:right="0" w:firstLine="0"/>
        <w:jc w:val="both"/>
      </w:pPr>
      <w:bookmarkStart w:id="61" w:name="Bookmark_para_11"/>
      <w:bookmarkEnd w:id="61"/>
      <w:bookmarkStart w:id="62" w:name="Bookmark_I69X7V7F2HM6510030000400"/>
      <w:bookmarkEnd w:id="62"/>
      <w:bookmarkStart w:id="63" w:name="Bookmark_I69X7V7G2HM6540040000400"/>
      <w:bookmarkEnd w:id="63"/>
      <w:r>
        <w:rPr>
          <w:rFonts w:ascii="arial" w:eastAsia="arial" w:hAnsi="arial" w:cs="arial"/>
          <w:b w:val="0"/>
          <w:i w:val="0"/>
          <w:strike w:val="0"/>
          <w:noProof w:val="0"/>
          <w:color w:val="000000"/>
          <w:position w:val="0"/>
          <w:sz w:val="20"/>
          <w:u w:val="none"/>
          <w:vertAlign w:val="baseline"/>
        </w:rPr>
        <w:t xml:space="preserve">"Custom and usage of words in a certain trade are admissible to explain the meaning of the terms used in a contract" </w:t>
      </w:r>
      <w:bookmarkStart w:id="64" w:name="Bookmark_I69X7V7F2HM6510020000400"/>
      <w:bookmarkEnd w:id="64"/>
      <w:hyperlink r:id="rId32" w:history="1">
        <w:r>
          <w:rPr>
            <w:rFonts w:ascii="arial" w:eastAsia="arial" w:hAnsi="arial" w:cs="arial"/>
            <w:b w:val="0"/>
            <w:i/>
            <w:strike w:val="0"/>
            <w:noProof w:val="0"/>
            <w:color w:val="0077CC"/>
            <w:position w:val="0"/>
            <w:sz w:val="20"/>
            <w:u w:val="single"/>
            <w:vertAlign w:val="baseline"/>
          </w:rPr>
          <w:t>Horsemen's Benevolent &amp; Protective Assn. v. Valley Racing Assn.</w:t>
        </w:r>
      </w:hyperlink>
      <w:hyperlink r:id="rId32" w:history="1">
        <w:r>
          <w:rPr>
            <w:rFonts w:ascii="arial" w:eastAsia="arial" w:hAnsi="arial" w:cs="arial"/>
            <w:b w:val="0"/>
            <w:i/>
            <w:strike w:val="0"/>
            <w:noProof w:val="0"/>
            <w:color w:val="0077CC"/>
            <w:position w:val="0"/>
            <w:sz w:val="20"/>
            <w:u w:val="single"/>
            <w:vertAlign w:val="baseline"/>
          </w:rPr>
          <w:t xml:space="preserve"> (1992) 4 Cal.App.4th 1538, 1560, 6 Cal. Rptr. 2d 698</w:t>
        </w:r>
      </w:hyperlink>
      <w:r>
        <w:rPr>
          <w:rFonts w:ascii="arial" w:eastAsia="arial" w:hAnsi="arial" w:cs="arial"/>
          <w:b w:val="0"/>
          <w:i w:val="0"/>
          <w:strike w:val="0"/>
          <w:noProof w:val="0"/>
          <w:color w:val="000000"/>
          <w:position w:val="0"/>
          <w:sz w:val="20"/>
          <w:u w:val="none"/>
          <w:vertAlign w:val="baseline"/>
        </w:rPr>
        <w:t xml:space="preserve">, or "to supply a missing term." </w:t>
      </w:r>
      <w:bookmarkStart w:id="65" w:name="Bookmark_I69X7V7F2HM6510040000400"/>
      <w:bookmarkEnd w:id="65"/>
      <w:hyperlink r:id="rId31" w:history="1">
        <w:r>
          <w:rPr>
            <w:rFonts w:ascii="arial" w:eastAsia="arial" w:hAnsi="arial" w:cs="arial"/>
            <w:b w:val="0"/>
            <w:i/>
            <w:strike w:val="0"/>
            <w:noProof w:val="0"/>
            <w:color w:val="0077CC"/>
            <w:position w:val="0"/>
            <w:sz w:val="20"/>
            <w:u w:val="single"/>
            <w:vertAlign w:val="baseline"/>
          </w:rPr>
          <w:t>Midwest Television, Inc. v. Scott, Lancaster, Mills &amp; Atha, Inc</w:t>
        </w:r>
      </w:hyperlink>
      <w:hyperlink r:id="rId31" w:history="1">
        <w:r>
          <w:rPr>
            <w:rFonts w:ascii="arial" w:eastAsia="arial" w:hAnsi="arial" w:cs="arial"/>
            <w:b w:val="0"/>
            <w:i/>
            <w:strike w:val="0"/>
            <w:noProof w:val="0"/>
            <w:color w:val="0077CC"/>
            <w:position w:val="0"/>
            <w:sz w:val="20"/>
            <w:u w:val="single"/>
            <w:vertAlign w:val="baseline"/>
          </w:rPr>
          <w:t>. 205 Cal.App.3d 442, 451, 252 Cal. Rptr. 573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6" w:name="Bookmark_I69X7V7G2HM6540010000400"/>
      <w:bookmarkEnd w:id="66"/>
      <w:hyperlink r:id="rId33" w:history="1">
        <w:r>
          <w:rPr>
            <w:rFonts w:ascii="arial" w:eastAsia="arial" w:hAnsi="arial" w:cs="arial"/>
            <w:b w:val="0"/>
            <w:i/>
            <w:strike w:val="0"/>
            <w:noProof w:val="0"/>
            <w:color w:val="0077CC"/>
            <w:position w:val="0"/>
            <w:sz w:val="20"/>
            <w:u w:val="single"/>
            <w:vertAlign w:val="baseline"/>
          </w:rPr>
          <w:t>Varni Bros. Corp. v. Wine World, Inc.</w:t>
        </w:r>
      </w:hyperlink>
      <w:hyperlink r:id="rId33" w:history="1">
        <w:r>
          <w:rPr>
            <w:rFonts w:ascii="arial" w:eastAsia="arial" w:hAnsi="arial" w:cs="arial"/>
            <w:b w:val="0"/>
            <w:i/>
            <w:strike w:val="0"/>
            <w:noProof w:val="0"/>
            <w:color w:val="0077CC"/>
            <w:position w:val="0"/>
            <w:sz w:val="20"/>
            <w:u w:val="single"/>
            <w:vertAlign w:val="baseline"/>
          </w:rPr>
          <w:t>, 35 Cal.App.4th 880, 889, 41 Cal. Rptr. 2d 740 (1995)</w:t>
        </w:r>
      </w:hyperlink>
      <w:r>
        <w:rPr>
          <w:rFonts w:ascii="arial" w:eastAsia="arial" w:hAnsi="arial" w:cs="arial"/>
          <w:b w:val="0"/>
          <w:i w:val="0"/>
          <w:strike w:val="0"/>
          <w:noProof w:val="0"/>
          <w:color w:val="000000"/>
          <w:position w:val="0"/>
          <w:sz w:val="20"/>
          <w:u w:val="none"/>
          <w:vertAlign w:val="baseline"/>
        </w:rPr>
        <w:t xml:space="preserve"> [" 'Usage or custom may be looked to, both to explain the meaning of language and to imply terms . . . "].) "Custom and usage may not[, however,] be used to vary the terms of the contract." </w:t>
      </w:r>
      <w:bookmarkStart w:id="67" w:name="Bookmark_I69X7V7G2HM6540030000400"/>
      <w:bookmarkEnd w:id="67"/>
      <w:hyperlink r:id="rId32" w:history="1">
        <w:r>
          <w:rPr>
            <w:rFonts w:ascii="arial" w:eastAsia="arial" w:hAnsi="arial" w:cs="arial"/>
            <w:b w:val="0"/>
            <w:i/>
            <w:strike w:val="0"/>
            <w:noProof w:val="0"/>
            <w:color w:val="0077CC"/>
            <w:position w:val="0"/>
            <w:sz w:val="20"/>
            <w:u w:val="single"/>
            <w:vertAlign w:val="baseline"/>
          </w:rPr>
          <w:t>Horsemen's</w:t>
        </w:r>
      </w:hyperlink>
      <w:hyperlink r:id="rId32" w:history="1">
        <w:r>
          <w:rPr>
            <w:rFonts w:ascii="arial" w:eastAsia="arial" w:hAnsi="arial" w:cs="arial"/>
            <w:b w:val="0"/>
            <w:i/>
            <w:strike w:val="0"/>
            <w:noProof w:val="0"/>
            <w:color w:val="0077CC"/>
            <w:position w:val="0"/>
            <w:sz w:val="20"/>
            <w:u w:val="single"/>
            <w:vertAlign w:val="baseline"/>
          </w:rPr>
          <w:t>, 4 Cal.App.4th at p. 1560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2"/>
      <w:bookmarkEnd w:id="68"/>
      <w:bookmarkStart w:id="69" w:name="Bookmark_I69X7V7G2N1R800010000400"/>
      <w:bookmarkEnd w:id="69"/>
      <w:r>
        <w:rPr>
          <w:rFonts w:ascii="arial" w:eastAsia="arial" w:hAnsi="arial" w:cs="arial"/>
          <w:b w:val="0"/>
          <w:i w:val="0"/>
          <w:strike w:val="0"/>
          <w:noProof w:val="0"/>
          <w:color w:val="000000"/>
          <w:position w:val="0"/>
          <w:sz w:val="20"/>
          <w:u w:val="none"/>
          <w:vertAlign w:val="baseline"/>
        </w:rPr>
        <w:t>The use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extrinsic evidence is limited. First, a party's undisclosed intent or understanding is not relevant. </w:t>
      </w:r>
      <w:bookmarkStart w:id="70" w:name="Bookmark_I69X7V7G2HM6540050000400"/>
      <w:bookmarkEnd w:id="70"/>
      <w:hyperlink r:id="rId34" w:history="1">
        <w:r>
          <w:rPr>
            <w:rFonts w:ascii="arial" w:eastAsia="arial" w:hAnsi="arial" w:cs="arial"/>
            <w:b w:val="0"/>
            <w:i/>
            <w:strike w:val="0"/>
            <w:noProof w:val="0"/>
            <w:color w:val="0077CC"/>
            <w:position w:val="0"/>
            <w:sz w:val="20"/>
            <w:u w:val="single"/>
            <w:vertAlign w:val="baseline"/>
          </w:rPr>
          <w:t>Founding Members of the Newport Beach Country Club v. Newport Beach Country Club, Inc.</w:t>
        </w:r>
      </w:hyperlink>
      <w:hyperlink r:id="rId34" w:history="1">
        <w:r>
          <w:rPr>
            <w:rFonts w:ascii="arial" w:eastAsia="arial" w:hAnsi="arial" w:cs="arial"/>
            <w:b w:val="0"/>
            <w:i/>
            <w:strike w:val="0"/>
            <w:noProof w:val="0"/>
            <w:color w:val="0077CC"/>
            <w:position w:val="0"/>
            <w:sz w:val="20"/>
            <w:u w:val="single"/>
            <w:vertAlign w:val="baseline"/>
          </w:rPr>
          <w:t>, 109 Cal.App.4th 944, 956, 135 Cal. Rptr. 2d 505 (2003)</w:t>
        </w:r>
      </w:hyperlink>
      <w:r>
        <w:rPr>
          <w:rFonts w:ascii="arial" w:eastAsia="arial" w:hAnsi="arial" w:cs="arial"/>
          <w:b w:val="0"/>
          <w:i w:val="0"/>
          <w:strike w:val="0"/>
          <w:noProof w:val="0"/>
          <w:color w:val="000000"/>
          <w:position w:val="0"/>
          <w:sz w:val="20"/>
          <w:u w:val="none"/>
          <w:vertAlign w:val="baseline"/>
        </w:rPr>
        <w:t xml:space="preserve">; </w:t>
      </w:r>
      <w:bookmarkStart w:id="71" w:name="Bookmark_I69X7V7G2N1R800020000400"/>
      <w:bookmarkEnd w:id="71"/>
      <w:hyperlink r:id="rId22" w:history="1">
        <w:r>
          <w:rPr>
            <w:rFonts w:ascii="arial" w:eastAsia="arial" w:hAnsi="arial" w:cs="arial"/>
            <w:b w:val="0"/>
            <w:i/>
            <w:strike w:val="0"/>
            <w:noProof w:val="0"/>
            <w:color w:val="0077CC"/>
            <w:position w:val="0"/>
            <w:sz w:val="20"/>
            <w:u w:val="single"/>
            <w:vertAlign w:val="baseline"/>
          </w:rPr>
          <w:t>Winet v. Price</w:t>
        </w:r>
      </w:hyperlink>
      <w:hyperlink r:id="rId22" w:history="1">
        <w:r>
          <w:rPr>
            <w:rFonts w:ascii="arial" w:eastAsia="arial" w:hAnsi="arial" w:cs="arial"/>
            <w:b w:val="0"/>
            <w:i/>
            <w:strike w:val="0"/>
            <w:noProof w:val="0"/>
            <w:color w:val="0077CC"/>
            <w:position w:val="0"/>
            <w:sz w:val="20"/>
            <w:u w:val="single"/>
            <w:vertAlign w:val="baseline"/>
          </w:rPr>
          <w:t>, 4 Cal.App.4th 1159, 1166, 6 Cal. Rptr. 2d 554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13"/>
      <w:bookmarkEnd w:id="72"/>
      <w:bookmarkStart w:id="73" w:name="Bookmark_I69X7V7G2N1R800050000400"/>
      <w:bookmarkEnd w:id="73"/>
      <w:r>
        <w:rPr>
          <w:rFonts w:ascii="arial" w:eastAsia="arial" w:hAnsi="arial" w:cs="arial"/>
          <w:b w:val="0"/>
          <w:i w:val="0"/>
          <w:strike w:val="0"/>
          <w:noProof w:val="0"/>
          <w:color w:val="000000"/>
          <w:position w:val="0"/>
          <w:sz w:val="20"/>
          <w:u w:val="none"/>
          <w:vertAlign w:val="baseline"/>
        </w:rPr>
        <w:t xml:space="preserve">Second, extrinsic evidence and other rules of construction may be used to interpret the words chosen, but not to add, subtract, or vary the words used in the written agreement. </w:t>
      </w:r>
      <w:r>
        <w:rPr>
          <w:rFonts w:ascii="arial" w:eastAsia="arial" w:hAnsi="arial" w:cs="arial"/>
          <w:b w:val="0"/>
          <w:i/>
          <w:strike w:val="0"/>
          <w:noProof w:val="0"/>
          <w:color w:val="000000"/>
          <w:position w:val="0"/>
          <w:sz w:val="20"/>
          <w:u w:val="none"/>
          <w:vertAlign w:val="baseline"/>
        </w:rPr>
        <w:t xml:space="preserve">See </w:t>
      </w:r>
      <w:bookmarkStart w:id="74" w:name="Bookmark_I69X7V7G2N1R800040000400"/>
      <w:bookmarkEnd w:id="74"/>
      <w:hyperlink r:id="rId35" w:history="1">
        <w:r>
          <w:rPr>
            <w:rFonts w:ascii="arial" w:eastAsia="arial" w:hAnsi="arial" w:cs="arial"/>
            <w:b w:val="0"/>
            <w:i/>
            <w:strike w:val="0"/>
            <w:noProof w:val="0"/>
            <w:color w:val="0077CC"/>
            <w:position w:val="0"/>
            <w:sz w:val="20"/>
            <w:u w:val="single"/>
            <w:vertAlign w:val="baseline"/>
          </w:rPr>
          <w:t>Wagner v. Columbia Pictures Indus., Inc.</w:t>
        </w:r>
      </w:hyperlink>
      <w:hyperlink r:id="rId35" w:history="1">
        <w:r>
          <w:rPr>
            <w:rFonts w:ascii="arial" w:eastAsia="arial" w:hAnsi="arial" w:cs="arial"/>
            <w:b w:val="0"/>
            <w:i/>
            <w:strike w:val="0"/>
            <w:noProof w:val="0"/>
            <w:color w:val="0077CC"/>
            <w:position w:val="0"/>
            <w:sz w:val="20"/>
            <w:u w:val="single"/>
            <w:vertAlign w:val="baseline"/>
          </w:rPr>
          <w:t>, 146 Cal.App.4th 586, 592, 52 Cal. Rptr. 3d 898 (2007)</w:t>
        </w:r>
      </w:hyperlink>
      <w:r>
        <w:rPr>
          <w:rFonts w:ascii="arial" w:eastAsia="arial" w:hAnsi="arial" w:cs="arial"/>
          <w:b w:val="0"/>
          <w:i w:val="0"/>
          <w:strike w:val="0"/>
          <w:noProof w:val="0"/>
          <w:color w:val="000000"/>
          <w:position w:val="0"/>
          <w:sz w:val="20"/>
          <w:u w:val="none"/>
          <w:vertAlign w:val="baseline"/>
        </w:rPr>
        <w:t xml:space="preserve"> (extrinsic evidence not credible because "it does not explain the contract language, it contradicts it."); </w:t>
      </w:r>
      <w:bookmarkStart w:id="75" w:name="Bookmark_I69X7V7G2N1R840010000400"/>
      <w:bookmarkEnd w:id="75"/>
      <w:hyperlink r:id="rId36" w:history="1">
        <w:r>
          <w:rPr>
            <w:rFonts w:ascii="arial" w:eastAsia="arial" w:hAnsi="arial" w:cs="arial"/>
            <w:b w:val="0"/>
            <w:i/>
            <w:strike w:val="0"/>
            <w:noProof w:val="0"/>
            <w:color w:val="0077CC"/>
            <w:position w:val="0"/>
            <w:sz w:val="20"/>
            <w:u w:val="single"/>
            <w:vertAlign w:val="baseline"/>
          </w:rPr>
          <w:t>Bionghi v. Metro. Water Dist. of S. Cal.</w:t>
        </w:r>
      </w:hyperlink>
      <w:hyperlink r:id="rId36" w:history="1">
        <w:r>
          <w:rPr>
            <w:rFonts w:ascii="arial" w:eastAsia="arial" w:hAnsi="arial" w:cs="arial"/>
            <w:b w:val="0"/>
            <w:i/>
            <w:strike w:val="0"/>
            <w:noProof w:val="0"/>
            <w:color w:val="0077CC"/>
            <w:position w:val="0"/>
            <w:sz w:val="20"/>
            <w:u w:val="single"/>
            <w:vertAlign w:val="baseline"/>
          </w:rPr>
          <w:t>, 70 Cal.App.4th 1358, 1364-65, 83 Cal. Rptr. 2d 388 (1999)</w:t>
        </w:r>
      </w:hyperlink>
      <w:r>
        <w:rPr>
          <w:rFonts w:ascii="arial" w:eastAsia="arial" w:hAnsi="arial" w:cs="arial"/>
          <w:b w:val="0"/>
          <w:i w:val="0"/>
          <w:strike w:val="0"/>
          <w:noProof w:val="0"/>
          <w:color w:val="000000"/>
          <w:position w:val="0"/>
          <w:sz w:val="20"/>
          <w:u w:val="none"/>
          <w:vertAlign w:val="baseline"/>
        </w:rPr>
        <w:t xml:space="preserve"> (party cannot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extrinsic evidence to add a term to an integrated contract"); </w:t>
      </w:r>
      <w:bookmarkStart w:id="76" w:name="Bookmark_I69X7V7G2N1R840030000400"/>
      <w:bookmarkEnd w:id="76"/>
      <w:hyperlink r:id="rId37" w:history="1">
        <w:r>
          <w:rPr>
            <w:rFonts w:ascii="arial" w:eastAsia="arial" w:hAnsi="arial" w:cs="arial"/>
            <w:b w:val="0"/>
            <w:i/>
            <w:strike w:val="0"/>
            <w:noProof w:val="0"/>
            <w:color w:val="0077CC"/>
            <w:position w:val="0"/>
            <w:sz w:val="20"/>
            <w:u w:val="single"/>
            <w:vertAlign w:val="baseline"/>
          </w:rPr>
          <w:t>Appling v. State Farm Mut. Auto. Ins. Co.</w:t>
        </w:r>
      </w:hyperlink>
      <w:hyperlink r:id="rId37" w:history="1">
        <w:r>
          <w:rPr>
            <w:rFonts w:ascii="arial" w:eastAsia="arial" w:hAnsi="arial" w:cs="arial"/>
            <w:b w:val="0"/>
            <w:i/>
            <w:strike w:val="0"/>
            <w:noProof w:val="0"/>
            <w:color w:val="0077CC"/>
            <w:position w:val="0"/>
            <w:sz w:val="20"/>
            <w:u w:val="single"/>
            <w:vertAlign w:val="baseline"/>
          </w:rPr>
          <w:t>, 340 F.3d 769, 778 (9th Cir. 2003)</w:t>
        </w:r>
      </w:hyperlink>
      <w:r>
        <w:rPr>
          <w:rFonts w:ascii="arial" w:eastAsia="arial" w:hAnsi="arial" w:cs="arial"/>
          <w:b w:val="0"/>
          <w:i w:val="0"/>
          <w:strike w:val="0"/>
          <w:noProof w:val="0"/>
          <w:color w:val="000000"/>
          <w:position w:val="0"/>
          <w:sz w:val="20"/>
          <w:u w:val="none"/>
          <w:vertAlign w:val="baseline"/>
        </w:rPr>
        <w:t xml:space="preserve"> (extrinsic evidence cannot be used to graft on a "good cause" requirement); </w:t>
      </w:r>
      <w:bookmarkStart w:id="77" w:name="Bookmark_I69X7V7G2N1R840050000400"/>
      <w:bookmarkEnd w:id="77"/>
      <w:hyperlink r:id="rId38" w:history="1">
        <w:r>
          <w:rPr>
            <w:rFonts w:ascii="arial" w:eastAsia="arial" w:hAnsi="arial" w:cs="arial"/>
            <w:b w:val="0"/>
            <w:i/>
            <w:strike w:val="0"/>
            <w:noProof w:val="0"/>
            <w:color w:val="0077CC"/>
            <w:position w:val="0"/>
            <w:sz w:val="20"/>
            <w:u w:val="single"/>
            <w:vertAlign w:val="baseline"/>
          </w:rPr>
          <w:t>Levi Strauss &amp; Co. v. Aetna Cas. &amp; Surety Co.</w:t>
        </w:r>
      </w:hyperlink>
      <w:hyperlink r:id="rId38" w:history="1">
        <w:r>
          <w:rPr>
            <w:rFonts w:ascii="arial" w:eastAsia="arial" w:hAnsi="arial" w:cs="arial"/>
            <w:b w:val="0"/>
            <w:i/>
            <w:strike w:val="0"/>
            <w:noProof w:val="0"/>
            <w:color w:val="0077CC"/>
            <w:position w:val="0"/>
            <w:sz w:val="20"/>
            <w:u w:val="single"/>
            <w:vertAlign w:val="baseline"/>
          </w:rPr>
          <w:t>, 184 Cal.App.3d 1479, 1486, 237 Cal. Rptr. 473 (1986)</w:t>
        </w:r>
      </w:hyperlink>
      <w:r>
        <w:rPr>
          <w:rFonts w:ascii="arial" w:eastAsia="arial" w:hAnsi="arial" w:cs="arial"/>
          <w:b w:val="0"/>
          <w:i w:val="0"/>
          <w:strike w:val="0"/>
          <w:noProof w:val="0"/>
          <w:color w:val="000000"/>
          <w:position w:val="0"/>
          <w:sz w:val="20"/>
          <w:u w:val="none"/>
          <w:vertAlign w:val="baseline"/>
        </w:rPr>
        <w:t xml:space="preserve"> ("[t]he court does not have the power to create for the parties a contract which they did not make, and it cannot insert in the contract language which one of the parties now wishes were there.") (citation omitted).</w:t>
      </w:r>
    </w:p>
    <w:p>
      <w:pPr>
        <w:keepNext w:val="0"/>
        <w:spacing w:before="240" w:after="0" w:line="260" w:lineRule="atLeast"/>
        <w:ind w:left="0" w:right="0" w:firstLine="0"/>
        <w:jc w:val="both"/>
      </w:pPr>
      <w:bookmarkStart w:id="78" w:name="Bookmark_para_14"/>
      <w:bookmarkEnd w:id="78"/>
      <w:r>
        <w:rPr>
          <w:rFonts w:ascii="arial" w:eastAsia="arial" w:hAnsi="arial" w:cs="arial"/>
          <w:b w:val="0"/>
          <w:i w:val="0"/>
          <w:strike w:val="0"/>
          <w:noProof w:val="0"/>
          <w:color w:val="000000"/>
          <w:position w:val="0"/>
          <w:sz w:val="20"/>
          <w:u w:val="none"/>
          <w:vertAlign w:val="baseline"/>
        </w:rPr>
        <w:t>Third, a written agreement "supersedes all the negotiations or stipulations concerning its matter which preceded or accompanied the execution of the instrument" (</w:t>
      </w:r>
      <w:hyperlink r:id="rId39" w:history="1">
        <w:r>
          <w:rPr>
            <w:rFonts w:ascii="arial" w:eastAsia="arial" w:hAnsi="arial" w:cs="arial"/>
            <w:b w:val="0"/>
            <w:i/>
            <w:strike w:val="0"/>
            <w:noProof w:val="0"/>
            <w:color w:val="0077CC"/>
            <w:position w:val="0"/>
            <w:sz w:val="20"/>
            <w:u w:val="single"/>
            <w:vertAlign w:val="baseline"/>
          </w:rPr>
          <w:t>Cal. Civ. Code § 1625</w:t>
        </w:r>
      </w:hyperlink>
      <w:r>
        <w:rPr>
          <w:rFonts w:ascii="arial" w:eastAsia="arial" w:hAnsi="arial" w:cs="arial"/>
          <w:b w:val="0"/>
          <w:i w:val="0"/>
          <w:strike w:val="0"/>
          <w:noProof w:val="0"/>
          <w:color w:val="000000"/>
          <w:position w:val="0"/>
          <w:sz w:val="20"/>
          <w:u w:val="none"/>
          <w:vertAlign w:val="baseline"/>
        </w:rPr>
        <w:t xml:space="preserve">), and those terms "may not be contradicted by evidence of any prior agreement or of a contemporaneous oral agreement." </w:t>
      </w:r>
      <w:hyperlink r:id="rId21" w:history="1">
        <w:r>
          <w:rPr>
            <w:rFonts w:ascii="arial" w:eastAsia="arial" w:hAnsi="arial" w:cs="arial"/>
            <w:b w:val="0"/>
            <w:i/>
            <w:strike w:val="0"/>
            <w:noProof w:val="0"/>
            <w:color w:val="0077CC"/>
            <w:position w:val="0"/>
            <w:sz w:val="20"/>
            <w:u w:val="single"/>
            <w:vertAlign w:val="baseline"/>
          </w:rPr>
          <w:t>Cal. Code Civ. Proc. § 1856(a)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15"/>
      <w:bookmarkEnd w:id="79"/>
      <w:r>
        <w:rPr>
          <w:rFonts w:ascii="arial" w:eastAsia="arial" w:hAnsi="arial" w:cs="arial"/>
          <w:b w:val="0"/>
          <w:i w:val="0"/>
          <w:strike w:val="0"/>
          <w:noProof w:val="0"/>
          <w:color w:val="000000"/>
          <w:position w:val="0"/>
          <w:sz w:val="20"/>
          <w:u w:val="none"/>
          <w:vertAlign w:val="baseline"/>
        </w:rPr>
        <w:t>Fourth, the terms of a writing may be "explained or supplemented by extrinsic evidence of consistent additional terms," but not if "the writing 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intended also as a complete and exclusive statement of the terms of the agreement." </w:t>
      </w:r>
      <w:hyperlink r:id="rId21" w:history="1">
        <w:r>
          <w:rPr>
            <w:rFonts w:ascii="arial" w:eastAsia="arial" w:hAnsi="arial" w:cs="arial"/>
            <w:b w:val="0"/>
            <w:i/>
            <w:strike w:val="0"/>
            <w:noProof w:val="0"/>
            <w:color w:val="0077CC"/>
            <w:position w:val="0"/>
            <w:sz w:val="20"/>
            <w:u w:val="single"/>
            <w:vertAlign w:val="baseline"/>
          </w:rPr>
          <w:t>Cal. Code Civ. Proc. § 1856(b)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QUESTIONS PRESENTED</w:t>
      </w:r>
    </w:p>
    <w:p>
      <w:pPr>
        <w:keepNext w:val="0"/>
        <w:spacing w:before="200" w:after="0" w:line="260" w:lineRule="atLeast"/>
        <w:ind w:left="0" w:right="0" w:firstLine="0"/>
        <w:jc w:val="both"/>
      </w:pPr>
      <w:bookmarkStart w:id="80" w:name="Bookmark_para_16"/>
      <w:bookmarkEnd w:id="80"/>
      <w:r>
        <w:rPr>
          <w:rFonts w:ascii="arial" w:eastAsia="arial" w:hAnsi="arial" w:cs="arial"/>
          <w:b w:val="0"/>
          <w:i w:val="0"/>
          <w:strike w:val="0"/>
          <w:noProof w:val="0"/>
          <w:color w:val="000000"/>
          <w:position w:val="0"/>
          <w:sz w:val="20"/>
          <w:u w:val="none"/>
          <w:vertAlign w:val="baseline"/>
        </w:rPr>
        <w:t>Considering the above principles, the Court directs the Parties to each brief the following questions:</w:t>
      </w:r>
    </w:p>
    <w:p>
      <w:pPr>
        <w:keepNext w:val="0"/>
        <w:spacing w:after="0" w:line="260" w:lineRule="atLeast"/>
        <w:ind w:left="40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1) Is the manner of paying Plaintiff the settlement funds a material term of the October 2022 Settlement Agreement?</w:t>
      </w:r>
    </w:p>
    <w:p>
      <w:pPr>
        <w:keepNext w:val="0"/>
        <w:spacing w:after="0" w:line="260" w:lineRule="atLeast"/>
        <w:ind w:left="400" w:right="0" w:firstLine="0"/>
        <w:jc w:val="both"/>
      </w:pPr>
      <w:bookmarkStart w:id="82" w:name="Bookmark_para_18"/>
      <w:bookmarkEnd w:id="82"/>
      <w:r>
        <w:rPr>
          <w:rFonts w:ascii="arial" w:eastAsia="arial" w:hAnsi="arial" w:cs="arial"/>
          <w:b w:val="0"/>
          <w:i w:val="0"/>
          <w:strike w:val="0"/>
          <w:noProof w:val="0"/>
          <w:color w:val="000000"/>
          <w:position w:val="0"/>
          <w:sz w:val="20"/>
          <w:u w:val="none"/>
          <w:vertAlign w:val="baseline"/>
        </w:rPr>
        <w:t>2) Is the Settlement Agreement silent and/or ambiguous as to the manner of paying the stipulated settlement amount?</w:t>
      </w:r>
    </w:p>
    <w:p>
      <w:pPr>
        <w:keepNext w:val="0"/>
        <w:spacing w:after="0" w:line="260" w:lineRule="atLeast"/>
        <w:ind w:left="400" w:right="0" w:firstLine="0"/>
        <w:jc w:val="both"/>
      </w:pPr>
      <w:bookmarkStart w:id="83" w:name="Bookmark_para_19"/>
      <w:bookmarkEnd w:id="83"/>
      <w:r>
        <w:rPr>
          <w:rFonts w:ascii="arial" w:eastAsia="arial" w:hAnsi="arial" w:cs="arial"/>
          <w:b w:val="0"/>
          <w:i w:val="0"/>
          <w:strike w:val="0"/>
          <w:noProof w:val="0"/>
          <w:color w:val="000000"/>
          <w:position w:val="0"/>
          <w:sz w:val="20"/>
          <w:u w:val="none"/>
          <w:vertAlign w:val="baseline"/>
        </w:rPr>
        <w:t>3) If so, what extrinsic evidence, including of the types noted above, is relevant to interpret any ambiguous terms or supply missing terms in the Settlement Agreement? The Parties are invited to attach or otherwise reference any relevant extrinsic evidence to their briefing.</w:t>
      </w:r>
    </w:p>
    <w:p>
      <w:pPr>
        <w:keepNext w:val="0"/>
        <w:spacing w:before="20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No later than January 30, 2023</w:t>
      </w:r>
      <w:r>
        <w:rPr>
          <w:rFonts w:ascii="arial" w:eastAsia="arial" w:hAnsi="arial" w:cs="arial"/>
          <w:b w:val="0"/>
          <w:i w:val="0"/>
          <w:strike w:val="0"/>
          <w:noProof w:val="0"/>
          <w:color w:val="000000"/>
          <w:position w:val="0"/>
          <w:sz w:val="20"/>
          <w:u w:val="none"/>
          <w:vertAlign w:val="baseline"/>
        </w:rPr>
        <w:t>, Plaintiff is directed to file a brief responding to the questions set forth above.</w:t>
      </w:r>
    </w:p>
    <w:p>
      <w:pPr>
        <w:keepNext w:val="0"/>
        <w:spacing w:before="200" w:after="0" w:line="260" w:lineRule="atLeast"/>
        <w:ind w:left="0" w:right="0" w:firstLine="0"/>
        <w:jc w:val="both"/>
      </w:pPr>
      <w:bookmarkStart w:id="86" w:name="Bookmark_para_22"/>
      <w:bookmarkEnd w:id="86"/>
      <w:r>
        <w:rPr>
          <w:rFonts w:ascii="arial" w:eastAsia="arial" w:hAnsi="arial" w:cs="arial"/>
          <w:b w:val="0"/>
          <w:i w:val="0"/>
          <w:strike w:val="0"/>
          <w:noProof w:val="0"/>
          <w:color w:val="000000"/>
          <w:position w:val="0"/>
          <w:sz w:val="20"/>
          <w:u w:val="none"/>
          <w:vertAlign w:val="baseline"/>
        </w:rPr>
        <w:t>2. Local Rule 230, as revised March 1, 2022, shall govern the filing of oppositions and replies.</w:t>
      </w:r>
    </w:p>
    <w:p>
      <w:pPr>
        <w:keepNext w:val="0"/>
        <w:spacing w:before="200" w:after="0" w:line="260" w:lineRule="atLeast"/>
        <w:ind w:left="0" w:right="0" w:firstLine="0"/>
        <w:jc w:val="both"/>
      </w:pPr>
      <w:bookmarkStart w:id="87" w:name="Bookmark_para_23"/>
      <w:bookmarkEnd w:id="87"/>
      <w:r>
        <w:rPr>
          <w:rFonts w:ascii="arial" w:eastAsia="arial" w:hAnsi="arial" w:cs="arial"/>
          <w:b w:val="0"/>
          <w:i w:val="0"/>
          <w:strike w:val="0"/>
          <w:noProof w:val="0"/>
          <w:color w:val="000000"/>
          <w:position w:val="0"/>
          <w:sz w:val="20"/>
          <w:u w:val="none"/>
          <w:vertAlign w:val="baseline"/>
        </w:rPr>
        <w:t>Dated: December 14, 2023</w:t>
      </w:r>
    </w:p>
    <w:p>
      <w:pPr>
        <w:keepNext w:val="0"/>
        <w:spacing w:before="200" w:after="0" w:line="260" w:lineRule="atLeast"/>
        <w:ind w:left="0" w:right="0" w:firstLine="0"/>
        <w:jc w:val="both"/>
      </w:pPr>
      <w:bookmarkStart w:id="88" w:name="Bookmark_para_24"/>
      <w:bookmarkEnd w:id="88"/>
      <w:r>
        <w:rPr>
          <w:rFonts w:ascii="arial" w:eastAsia="arial" w:hAnsi="arial" w:cs="arial"/>
          <w:b w:val="0"/>
          <w:i w:val="0"/>
          <w:strike w:val="0"/>
          <w:noProof w:val="0"/>
          <w:color w:val="000000"/>
          <w:position w:val="0"/>
          <w:sz w:val="20"/>
          <w:u w:val="none"/>
          <w:vertAlign w:val="baseline"/>
        </w:rPr>
        <w:t>/s/ Helena M. Barch-Kuchta</w:t>
      </w:r>
    </w:p>
    <w:p>
      <w:pPr>
        <w:keepNext w:val="0"/>
        <w:spacing w:before="200" w:after="0" w:line="260" w:lineRule="atLeast"/>
        <w:ind w:left="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HELENA M. BARCH-KUCHTA</w:t>
      </w:r>
    </w:p>
    <w:p>
      <w:pPr>
        <w:keepNext w:val="0"/>
        <w:spacing w:before="200" w:after="0" w:line="260" w:lineRule="atLeast"/>
        <w:ind w:left="0" w:right="0" w:firstLine="0"/>
        <w:jc w:val="both"/>
      </w:pPr>
      <w:bookmarkStart w:id="90" w:name="Bookmark_para_26"/>
      <w:bookmarkEnd w:id="9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Vaughn v. Duran, 2023 U.S. Dist. LEXIS 223732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4X-2CW0-0039-P2YM-00000-00&amp;context=1519360" TargetMode="External" /><Relationship Id="rId11" Type="http://schemas.openxmlformats.org/officeDocument/2006/relationships/hyperlink" Target="https://advance.lexis.com/api/document?collection=cases&amp;id=urn:contentItem:3S4X-1VX0-003B-G34X-00000-00&amp;context=1519360" TargetMode="External" /><Relationship Id="rId12" Type="http://schemas.openxmlformats.org/officeDocument/2006/relationships/hyperlink" Target="https://advance.lexis.com/api/document?collection=cases&amp;id=urn:contentItem:3S4W-VVM0-0039-Y527-00000-00&amp;context=1519360" TargetMode="External" /><Relationship Id="rId13" Type="http://schemas.openxmlformats.org/officeDocument/2006/relationships/hyperlink" Target="https://advance.lexis.com/api/document?collection=cases&amp;id=urn:contentItem:3S4X-C2N0-003B-S3YM-00000-00&amp;context=1519360" TargetMode="External" /><Relationship Id="rId14" Type="http://schemas.openxmlformats.org/officeDocument/2006/relationships/hyperlink" Target="https://advance.lexis.com/api/document?collection=statutes-legislation&amp;id=urn:contentItem:5J6R-DPH1-66B9-84DV-00000-00&amp;context=1519360" TargetMode="External" /><Relationship Id="rId15" Type="http://schemas.openxmlformats.org/officeDocument/2006/relationships/hyperlink" Target="https://advance.lexis.com/api/document?collection=cases&amp;id=urn:contentItem:3SX7-DJR0-0039-40C0-00000-00&amp;context=1519360" TargetMode="External" /><Relationship Id="rId16" Type="http://schemas.openxmlformats.org/officeDocument/2006/relationships/hyperlink" Target="https://advance.lexis.com/api/document?collection=cases&amp;id=urn:contentItem:3RRK-KCR0-003C-H1DJ-00000-00&amp;context=1519360" TargetMode="External" /><Relationship Id="rId17" Type="http://schemas.openxmlformats.org/officeDocument/2006/relationships/hyperlink" Target="https://advance.lexis.com/api/document?collection=statutes-legislation&amp;id=urn:contentItem:5J6R-DPH1-66B9-84F0-00000-00&amp;context=1519360" TargetMode="External" /><Relationship Id="rId18" Type="http://schemas.openxmlformats.org/officeDocument/2006/relationships/hyperlink" Target="https://advance.lexis.com/api/document?collection=cases&amp;id=urn:contentItem:4BSD-VHN0-0039-40H4-00000-00&amp;context=1519360" TargetMode="External" /><Relationship Id="rId19" Type="http://schemas.openxmlformats.org/officeDocument/2006/relationships/hyperlink" Target="https://advance.lexis.com/api/document?collection=cases&amp;id=urn:contentItem:3RX6-F800-003D-J309-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RX6-FDF0-003D-J3J1-00000-00&amp;context=1519360" TargetMode="External" /><Relationship Id="rId21" Type="http://schemas.openxmlformats.org/officeDocument/2006/relationships/hyperlink" Target="https://advance.lexis.com/api/document?collection=statutes-legislation&amp;id=urn:contentItem:5J6R-DC41-66B9-84HM-00000-00&amp;context=1519360" TargetMode="External" /><Relationship Id="rId22" Type="http://schemas.openxmlformats.org/officeDocument/2006/relationships/hyperlink" Target="https://advance.lexis.com/api/document?collection=cases&amp;id=urn:contentItem:3RX6-H080-003D-J4H6-00000-00&amp;context=1519360" TargetMode="External" /><Relationship Id="rId23" Type="http://schemas.openxmlformats.org/officeDocument/2006/relationships/hyperlink" Target="https://advance.lexis.com/api/document?collection=cases&amp;id=urn:contentItem:4S6H-JCT0-TXFN-73C4-00000-00&amp;context=1519360" TargetMode="External" /><Relationship Id="rId24" Type="http://schemas.openxmlformats.org/officeDocument/2006/relationships/hyperlink" Target="https://advance.lexis.com/api/document?collection=cases&amp;id=urn:contentItem:518D-R8S1-F04B-N13W-00000-00&amp;context=1519360" TargetMode="External" /><Relationship Id="rId25" Type="http://schemas.openxmlformats.org/officeDocument/2006/relationships/hyperlink" Target="https://advance.lexis.com/api/document?collection=cases&amp;id=urn:contentItem:3RX6-FKS0-003D-J48Y-00000-00&amp;context=1519360" TargetMode="External" /><Relationship Id="rId26" Type="http://schemas.openxmlformats.org/officeDocument/2006/relationships/hyperlink" Target="https://advance.lexis.com/api/document?collection=cases&amp;id=urn:contentItem:57RW-T6Y1-F04B-N05K-00000-00&amp;context=1519360" TargetMode="External" /><Relationship Id="rId27" Type="http://schemas.openxmlformats.org/officeDocument/2006/relationships/hyperlink" Target="https://advance.lexis.com/api/document?collection=cases&amp;id=urn:contentItem:4KJN-NH40-0039-43FX-00000-00&amp;context=1519360" TargetMode="External" /><Relationship Id="rId28" Type="http://schemas.openxmlformats.org/officeDocument/2006/relationships/hyperlink" Target="https://advance.lexis.com/api/document?collection=statutes-legislation&amp;id=urn:contentItem:5J6R-DPH1-66B9-84FP-00000-00&amp;context=1519360" TargetMode="External" /><Relationship Id="rId29" Type="http://schemas.openxmlformats.org/officeDocument/2006/relationships/hyperlink" Target="https://advance.lexis.com/api/document?collection=cases&amp;id=urn:contentItem:3RX6-KTK0-003D-J146-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4SC0-RC90-TXFN-821B-00000-00&amp;context=1519360" TargetMode="External" /><Relationship Id="rId31" Type="http://schemas.openxmlformats.org/officeDocument/2006/relationships/hyperlink" Target="https://advance.lexis.com/api/document?collection=cases&amp;id=urn:contentItem:3RX6-J9M0-003D-J4Y7-00000-00&amp;context=1519360" TargetMode="External" /><Relationship Id="rId32" Type="http://schemas.openxmlformats.org/officeDocument/2006/relationships/hyperlink" Target="https://advance.lexis.com/api/document?collection=cases&amp;id=urn:contentItem:3RX6-H0V0-003D-J4KC-00000-00&amp;context=1519360" TargetMode="External" /><Relationship Id="rId33" Type="http://schemas.openxmlformats.org/officeDocument/2006/relationships/hyperlink" Target="https://advance.lexis.com/api/document?collection=cases&amp;id=urn:contentItem:3RX6-FP00-003D-J4KB-00000-00&amp;context=1519360" TargetMode="External" /><Relationship Id="rId34" Type="http://schemas.openxmlformats.org/officeDocument/2006/relationships/hyperlink" Target="https://advance.lexis.com/api/document?collection=cases&amp;id=urn:contentItem:48TW-51J0-0039-40BW-00000-00&amp;context=1519360" TargetMode="External" /><Relationship Id="rId35" Type="http://schemas.openxmlformats.org/officeDocument/2006/relationships/hyperlink" Target="https://advance.lexis.com/api/document?collection=cases&amp;id=urn:contentItem:4MSC-4CP0-0039-418J-00000-00&amp;context=1519360" TargetMode="External" /><Relationship Id="rId36" Type="http://schemas.openxmlformats.org/officeDocument/2006/relationships/hyperlink" Target="https://advance.lexis.com/api/document?collection=cases&amp;id=urn:contentItem:3W4H-WG90-0039-42C7-00000-00&amp;context=1519360" TargetMode="External" /><Relationship Id="rId37" Type="http://schemas.openxmlformats.org/officeDocument/2006/relationships/hyperlink" Target="https://advance.lexis.com/api/document?collection=cases&amp;id=urn:contentItem:4993-8350-0038-X48K-00000-00&amp;context=1519360" TargetMode="External" /><Relationship Id="rId38" Type="http://schemas.openxmlformats.org/officeDocument/2006/relationships/hyperlink" Target="https://advance.lexis.com/api/document?collection=cases&amp;id=urn:contentItem:3RX6-K160-003D-J2WB-00000-00&amp;context=1519360" TargetMode="External" /><Relationship Id="rId39" Type="http://schemas.openxmlformats.org/officeDocument/2006/relationships/hyperlink" Target="https://advance.lexis.com/api/document?collection=statutes-legislation&amp;id=urn:contentItem:5J6R-DPH1-66B9-84BG-00000-00&amp;context=1519360"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W8-H2S1-F8SS-61WS-00000-00&amp;context=1519360" TargetMode="External" /><Relationship Id="rId9" Type="http://schemas.openxmlformats.org/officeDocument/2006/relationships/hyperlink" Target="https://advance.lexis.com/api/document?collection=cases&amp;id=urn:contentItem:5PK9-MKT1-F04C-T52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Vaughn v. Duran, 2023 U.S. Dist. LEXIS 223732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urn:user:PA186186283</vt:lpwstr>
  </property>
</Properties>
</file>