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Balentine v. Shurgot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Decided; October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9:22-CV-285</w:t>
      </w:r>
    </w:p>
    <w:p>
      <w:pPr>
        <w:keepNext w:val="0"/>
        <w:spacing w:after="0" w:line="240" w:lineRule="atLeast"/>
        <w:ind w:right="0"/>
        <w:jc w:val="both"/>
      </w:pPr>
      <w:bookmarkStart w:id="0" w:name="Bookmark_7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182383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6622034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ANDERSON BALENTINE, Plaintiff, vs. CALEIGH SHURGOT and ASHLEE GREEN,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Balentine v. Jane Red, 2022 U.S. Dist. LEXIS 116755, 2022 WL 2314559 (N.D.N.Y., June 28,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motion in limine, probative value, credibility, state law claim, assault, sexual, corrections officer, indemnification, disciplinary, convictions, admit, prejudicial effect, prior conviction, unfair prejudice, incarcerated, frisk, prior lawsuit, conspiracy, outweighs, factors, prison, substantially outweighed, criminal conviction, dismissed claim, dollar amount, years old, departure, damages, courts, weighs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Plaintiff: CHRISTIAN SOLLER, ESQ., SERA YOON, ESQ., OF COUNSEL: HODGSON, RUSS LAW FIRM, Albany, New York.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Defendants: NICHOLAS W. DORANDO, AAG, OF COUNSEL: OFFICE OF THE NEW YORK, STATE ATTORNEY GENERAL, Albany, New York.</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Mae A. D'Agostino,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Mae A. D'Agostino</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Mae A. D'Agostino, U.S. District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MEMORANDUM-DECISION AND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Plaintiff commenced this action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alleging that on December 27, 2021, Defendant Caleigh Shurgot assaulted him, and Defendant Ashlee Green failed to intervene in violation of the </w:t>
      </w:r>
      <w:hyperlink r:id="rId12"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10 at 3-5.</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Trial is scheduled to commence on October 16, 2023. In advance of trial, Plaintiff and Defendants have moved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admit and/or preclude certain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Nos. 36, 46. Plaintiff seeks to preclude evidence of the following: (1) Plaintiff's criminal history; (2) Plaintiff's disciplinary history; and (3) prior lawsuits brought by Plaintiff.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36 at 2-6. Defendants seek the following relief: (1) to admit evidence of Plaintiff's prior criminal acts; (2) to permit Defendants to cross examine Plaintiff about the essential facts of his criminal convictions; (3) to preclude evidence of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conspiracy; (4) to preclude evidence of Defendants' disciplinary histories, personnel files, and prior lawsuits; (5) to preclude evidence of other grievances filed against Defendants by non-party incarcerated individuals; (6) to preclude reference to a specific dollar amount of damages; (7) to preclude reference to indemnification; and (8) to preclude evidence related to dismissed claims.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46 at 3-15.</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their pre-trial brief, Defendants have also moved to dismiss Plaintiff's state law claims pursuant to </w:t>
      </w:r>
      <w:hyperlink r:id="rId13" w:history="1">
        <w:r>
          <w:rPr>
            <w:rFonts w:ascii="arial" w:eastAsia="arial" w:hAnsi="arial" w:cs="arial"/>
            <w:b w:val="0"/>
            <w:i/>
            <w:strike w:val="0"/>
            <w:noProof w:val="0"/>
            <w:color w:val="0077CC"/>
            <w:position w:val="0"/>
            <w:sz w:val="20"/>
            <w:u w:val="single"/>
            <w:vertAlign w:val="baseline"/>
          </w:rPr>
          <w:t>New York Correction Law section 24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39 at 7-8. Plaintiff's and Defendants' respond in opposition to each other's motions.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Nos. 53, 54, 55.</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As set forth below, Plaintiff's and Defendants' motions are granted in part and denied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Motions </w:t>
      </w:r>
      <w:r>
        <w:rPr>
          <w:rFonts w:ascii="arial" w:eastAsia="arial" w:hAnsi="arial" w:cs="arial"/>
          <w:b/>
          <w:i/>
          <w:strike w:val="0"/>
          <w:noProof w:val="0"/>
          <w:color w:val="000000"/>
          <w:position w:val="0"/>
          <w:sz w:val="20"/>
          <w:u w:val="none"/>
          <w:vertAlign w:val="baseline"/>
        </w:rPr>
        <w:t>in Limine</w:t>
      </w:r>
    </w:p>
    <w:p>
      <w:pPr>
        <w:keepNext w:val="0"/>
        <w:spacing w:before="240" w:after="0" w:line="260" w:lineRule="atLeast"/>
        <w:ind w:left="0" w:right="0" w:firstLine="0"/>
        <w:jc w:val="both"/>
      </w:pPr>
      <w:bookmarkStart w:id="13" w:name="Bookmark_para_5"/>
      <w:bookmarkEnd w:id="13"/>
      <w:bookmarkStart w:id="14" w:name="Bookmark_I69CYMTY2N1PX00020000400"/>
      <w:bookmarkEnd w:id="14"/>
      <w:bookmarkStart w:id="15" w:name="Bookmark_I69CYMV02N1PX30010000400"/>
      <w:bookmarkEnd w:id="15"/>
      <w:r>
        <w:rPr>
          <w:rFonts w:ascii="arial" w:eastAsia="arial" w:hAnsi="arial" w:cs="arial"/>
          <w:b w:val="0"/>
          <w:i w:val="0"/>
          <w:strike w:val="0"/>
          <w:noProof w:val="0"/>
          <w:color w:val="000000"/>
          <w:position w:val="0"/>
          <w:sz w:val="20"/>
          <w:u w:val="none"/>
          <w:vertAlign w:val="baseline"/>
        </w:rPr>
        <w:t xml:space="preserve">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enables the Court to make an advance ruling on the admissibility of certain anticipated trial evidence. </w:t>
      </w:r>
      <w:r>
        <w:rPr>
          <w:rFonts w:ascii="arial" w:eastAsia="arial" w:hAnsi="arial" w:cs="arial"/>
          <w:b w:val="0"/>
          <w:i/>
          <w:strike w:val="0"/>
          <w:noProof w:val="0"/>
          <w:color w:val="000000"/>
          <w:position w:val="0"/>
          <w:sz w:val="20"/>
          <w:u w:val="none"/>
          <w:vertAlign w:val="baseline"/>
        </w:rPr>
        <w:t xml:space="preserve">See </w:t>
      </w:r>
      <w:bookmarkStart w:id="16" w:name="Bookmark_I69CYMTY2N1PX00010000400"/>
      <w:bookmarkEnd w:id="16"/>
      <w:hyperlink r:id="rId14" w:history="1">
        <w:r>
          <w:rPr>
            <w:rFonts w:ascii="arial" w:eastAsia="arial" w:hAnsi="arial" w:cs="arial"/>
            <w:b w:val="0"/>
            <w:i/>
            <w:strike w:val="0"/>
            <w:noProof w:val="0"/>
            <w:color w:val="0077CC"/>
            <w:position w:val="0"/>
            <w:sz w:val="20"/>
            <w:u w:val="single"/>
            <w:vertAlign w:val="baseline"/>
          </w:rPr>
          <w:t>Luce v. United States</w:t>
        </w:r>
      </w:hyperlink>
      <w:hyperlink r:id="rId14" w:history="1">
        <w:r>
          <w:rPr>
            <w:rFonts w:ascii="arial" w:eastAsia="arial" w:hAnsi="arial" w:cs="arial"/>
            <w:b w:val="0"/>
            <w:i/>
            <w:strike w:val="0"/>
            <w:noProof w:val="0"/>
            <w:color w:val="0077CC"/>
            <w:position w:val="0"/>
            <w:sz w:val="20"/>
            <w:u w:val="single"/>
            <w:vertAlign w:val="baseline"/>
          </w:rPr>
          <w:t>, 469 U.S. 38, 40 n.2, 105 S. Ct. 460, 83 L. Ed. 2d 443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 w:name="Bookmark_I69CYMTY2N1PX00030000400"/>
      <w:bookmarkEnd w:id="17"/>
      <w:hyperlink r:id="rId15" w:history="1">
        <w:r>
          <w:rPr>
            <w:rFonts w:ascii="arial" w:eastAsia="arial" w:hAnsi="arial" w:cs="arial"/>
            <w:b w:val="0"/>
            <w:i/>
            <w:strike w:val="0"/>
            <w:noProof w:val="0"/>
            <w:color w:val="0077CC"/>
            <w:position w:val="0"/>
            <w:sz w:val="20"/>
            <w:u w:val="single"/>
            <w:vertAlign w:val="baseline"/>
          </w:rPr>
          <w:t>Palmieri v. Defaria</w:t>
        </w:r>
      </w:hyperlink>
      <w:hyperlink r:id="rId15" w:history="1">
        <w:r>
          <w:rPr>
            <w:rFonts w:ascii="arial" w:eastAsia="arial" w:hAnsi="arial" w:cs="arial"/>
            <w:b w:val="0"/>
            <w:i/>
            <w:strike w:val="0"/>
            <w:noProof w:val="0"/>
            <w:color w:val="0077CC"/>
            <w:position w:val="0"/>
            <w:sz w:val="20"/>
            <w:u w:val="single"/>
            <w:vertAlign w:val="baseline"/>
          </w:rPr>
          <w:t>, 88 F.3d 136, 141 (2d Cir. 1996)</w:t>
        </w:r>
      </w:hyperlink>
      <w:r>
        <w:rPr>
          <w:rFonts w:ascii="arial" w:eastAsia="arial" w:hAnsi="arial" w:cs="arial"/>
          <w:b w:val="0"/>
          <w:i w:val="0"/>
          <w:strike w:val="0"/>
          <w:noProof w:val="0"/>
          <w:color w:val="000000"/>
          <w:position w:val="0"/>
          <w:sz w:val="20"/>
          <w:u w:val="none"/>
          <w:vertAlign w:val="baseline"/>
        </w:rPr>
        <w:t xml:space="preserve">. "A court should exclude evidence on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only when the evidence is clearly inadmissible on all potential grounds." </w:t>
      </w:r>
      <w:bookmarkStart w:id="18" w:name="Bookmark_I69CYMTY2N1PX00050000400"/>
      <w:bookmarkEnd w:id="18"/>
      <w:hyperlink r:id="rId16" w:history="1">
        <w:r>
          <w:rPr>
            <w:rFonts w:ascii="arial" w:eastAsia="arial" w:hAnsi="arial" w:cs="arial"/>
            <w:b w:val="0"/>
            <w:i/>
            <w:strike w:val="0"/>
            <w:noProof w:val="0"/>
            <w:color w:val="0077CC"/>
            <w:position w:val="0"/>
            <w:sz w:val="20"/>
            <w:u w:val="single"/>
            <w:vertAlign w:val="baseline"/>
          </w:rPr>
          <w:t>Coleman v. Durkin</w:t>
        </w:r>
      </w:hyperlink>
      <w:hyperlink r:id="rId16" w:history="1">
        <w:r>
          <w:rPr>
            <w:rFonts w:ascii="arial" w:eastAsia="arial" w:hAnsi="arial" w:cs="arial"/>
            <w:b w:val="0"/>
            <w:i/>
            <w:strike w:val="0"/>
            <w:noProof w:val="0"/>
            <w:color w:val="0077CC"/>
            <w:position w:val="0"/>
            <w:sz w:val="20"/>
            <w:u w:val="single"/>
            <w:vertAlign w:val="baseline"/>
          </w:rPr>
          <w:t>, 585 F. Supp. 3d 208, 212 (N.D.N.Y. 2022)</w:t>
        </w:r>
      </w:hyperlink>
      <w:r>
        <w:rPr>
          <w:rFonts w:ascii="arial" w:eastAsia="arial" w:hAnsi="arial" w:cs="arial"/>
          <w:b w:val="0"/>
          <w:i w:val="0"/>
          <w:strike w:val="0"/>
          <w:noProof w:val="0"/>
          <w:color w:val="000000"/>
          <w:position w:val="0"/>
          <w:sz w:val="20"/>
          <w:u w:val="none"/>
          <w:vertAlign w:val="baseline"/>
        </w:rPr>
        <w:t xml:space="preserve">. </w:t>
      </w:r>
      <w:bookmarkStart w:id="19" w:name="Bookmark_I69CYMV02N1PX30030000400"/>
      <w:bookmarkEnd w:id="19"/>
      <w:r>
        <w:rPr>
          <w:rFonts w:ascii="arial" w:eastAsia="arial" w:hAnsi="arial" w:cs="arial"/>
          <w:b w:val="0"/>
          <w:i w:val="0"/>
          <w:strike w:val="0"/>
          <w:noProof w:val="0"/>
          <w:color w:val="000000"/>
          <w:position w:val="0"/>
          <w:sz w:val="20"/>
          <w:u w:val="none"/>
          <w:vertAlign w:val="baseline"/>
        </w:rPr>
        <w:t>Generally, all "[r]elevant evidence is admissible" unless otherwise provided by an Act of Congress, the United States Constitution, or the Federal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Rules of Evidence. </w:t>
      </w:r>
      <w:hyperlink r:id="rId17" w:history="1">
        <w:r>
          <w:rPr>
            <w:rFonts w:ascii="arial" w:eastAsia="arial" w:hAnsi="arial" w:cs="arial"/>
            <w:b w:val="0"/>
            <w:i/>
            <w:strike w:val="0"/>
            <w:noProof w:val="0"/>
            <w:color w:val="0077CC"/>
            <w:position w:val="0"/>
            <w:sz w:val="20"/>
            <w:u w:val="single"/>
            <w:vertAlign w:val="baseline"/>
          </w:rPr>
          <w:t>FED. R. EVID. 402</w:t>
        </w:r>
      </w:hyperlink>
      <w:r>
        <w:rPr>
          <w:rFonts w:ascii="arial" w:eastAsia="arial" w:hAnsi="arial" w:cs="arial"/>
          <w:b w:val="0"/>
          <w:i w:val="0"/>
          <w:strike w:val="0"/>
          <w:noProof w:val="0"/>
          <w:color w:val="000000"/>
          <w:position w:val="0"/>
          <w:sz w:val="20"/>
          <w:u w:val="none"/>
          <w:vertAlign w:val="baseline"/>
        </w:rPr>
        <w:t xml:space="preserve">. </w:t>
      </w:r>
      <w:bookmarkStart w:id="20" w:name="Bookmark_I69CYMV02N1PX50040000400"/>
      <w:bookmarkEnd w:id="20"/>
      <w:r>
        <w:rPr>
          <w:rFonts w:ascii="arial" w:eastAsia="arial" w:hAnsi="arial" w:cs="arial"/>
          <w:b w:val="0"/>
          <w:i w:val="0"/>
          <w:strike w:val="0"/>
          <w:noProof w:val="0"/>
          <w:color w:val="000000"/>
          <w:position w:val="0"/>
          <w:sz w:val="20"/>
          <w:u w:val="none"/>
          <w:vertAlign w:val="baseline"/>
        </w:rPr>
        <w:t xml:space="preserve">For instance, </w:t>
      </w:r>
      <w:hyperlink r:id="rId18"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grants "the trial court broad discretion to exclude even relevant evidence if its probative value is substantially outweighed by the danger of confusion of the issues or if it would be needlessly cumulative." </w:t>
      </w:r>
      <w:bookmarkStart w:id="21" w:name="Bookmark_I69CYMV02N1PX30020000400"/>
      <w:bookmarkEnd w:id="21"/>
      <w:hyperlink r:id="rId19" w:history="1">
        <w:r>
          <w:rPr>
            <w:rFonts w:ascii="arial" w:eastAsia="arial" w:hAnsi="arial" w:cs="arial"/>
            <w:b w:val="0"/>
            <w:i/>
            <w:strike w:val="0"/>
            <w:noProof w:val="0"/>
            <w:color w:val="0077CC"/>
            <w:position w:val="0"/>
            <w:sz w:val="20"/>
            <w:u w:val="single"/>
            <w:vertAlign w:val="baseline"/>
          </w:rPr>
          <w:t>United States v. Beech-Nut Nutrition Corp.</w:t>
        </w:r>
      </w:hyperlink>
      <w:hyperlink r:id="rId19" w:history="1">
        <w:r>
          <w:rPr>
            <w:rFonts w:ascii="arial" w:eastAsia="arial" w:hAnsi="arial" w:cs="arial"/>
            <w:b w:val="0"/>
            <w:i/>
            <w:strike w:val="0"/>
            <w:noProof w:val="0"/>
            <w:color w:val="0077CC"/>
            <w:position w:val="0"/>
            <w:sz w:val="20"/>
            <w:u w:val="single"/>
            <w:vertAlign w:val="baseline"/>
          </w:rPr>
          <w:t>, 871 F.2d 1181, 1193 (2d Cir. 1989)</w:t>
        </w:r>
      </w:hyperlink>
      <w:r>
        <w:rPr>
          <w:rFonts w:ascii="arial" w:eastAsia="arial" w:hAnsi="arial" w:cs="arial"/>
          <w:b w:val="0"/>
          <w:i w:val="0"/>
          <w:strike w:val="0"/>
          <w:noProof w:val="0"/>
          <w:color w:val="000000"/>
          <w:position w:val="0"/>
          <w:sz w:val="20"/>
          <w:u w:val="none"/>
          <w:vertAlign w:val="baseline"/>
        </w:rPr>
        <w:t xml:space="preserve"> (citing </w:t>
      </w:r>
      <w:hyperlink r:id="rId18"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w:t>
      </w:r>
      <w:bookmarkStart w:id="22" w:name="Bookmark_I69CYMV02N1PX30040000400"/>
      <w:bookmarkEnd w:id="22"/>
      <w:hyperlink r:id="rId20" w:history="1">
        <w:r>
          <w:rPr>
            <w:rFonts w:ascii="arial" w:eastAsia="arial" w:hAnsi="arial" w:cs="arial"/>
            <w:b w:val="0"/>
            <w:i/>
            <w:strike w:val="0"/>
            <w:noProof w:val="0"/>
            <w:color w:val="0077CC"/>
            <w:position w:val="0"/>
            <w:sz w:val="20"/>
            <w:u w:val="single"/>
            <w:vertAlign w:val="baseline"/>
          </w:rPr>
          <w:t>United States v. Carter</w:t>
        </w:r>
      </w:hyperlink>
      <w:hyperlink r:id="rId20" w:history="1">
        <w:r>
          <w:rPr>
            <w:rFonts w:ascii="arial" w:eastAsia="arial" w:hAnsi="arial" w:cs="arial"/>
            <w:b w:val="0"/>
            <w:i/>
            <w:strike w:val="0"/>
            <w:noProof w:val="0"/>
            <w:color w:val="0077CC"/>
            <w:position w:val="0"/>
            <w:sz w:val="20"/>
            <w:u w:val="single"/>
            <w:vertAlign w:val="baseline"/>
          </w:rPr>
          <w:t>, 801 F.2d 78, 83 (2d Cir. 1986)</w:t>
        </w:r>
      </w:hyperlink>
      <w:r>
        <w:rPr>
          <w:rFonts w:ascii="arial" w:eastAsia="arial" w:hAnsi="arial" w:cs="arial"/>
          <w:b w:val="0"/>
          <w:i w:val="0"/>
          <w:strike w:val="0"/>
          <w:noProof w:val="0"/>
          <w:color w:val="000000"/>
          <w:position w:val="0"/>
          <w:sz w:val="20"/>
          <w:u w:val="none"/>
          <w:vertAlign w:val="baseline"/>
        </w:rPr>
        <w:t xml:space="preserve">; </w:t>
      </w:r>
      <w:bookmarkStart w:id="23" w:name="Bookmark_I69CYMV02N1PX50010000400"/>
      <w:bookmarkEnd w:id="23"/>
      <w:hyperlink r:id="rId21" w:history="1">
        <w:r>
          <w:rPr>
            <w:rFonts w:ascii="arial" w:eastAsia="arial" w:hAnsi="arial" w:cs="arial"/>
            <w:b w:val="0"/>
            <w:i/>
            <w:strike w:val="0"/>
            <w:noProof w:val="0"/>
            <w:color w:val="0077CC"/>
            <w:position w:val="0"/>
            <w:sz w:val="20"/>
            <w:u w:val="single"/>
            <w:vertAlign w:val="baseline"/>
          </w:rPr>
          <w:t>United States Martinez</w:t>
        </w:r>
      </w:hyperlink>
      <w:hyperlink r:id="rId21" w:history="1">
        <w:r>
          <w:rPr>
            <w:rFonts w:ascii="arial" w:eastAsia="arial" w:hAnsi="arial" w:cs="arial"/>
            <w:b w:val="0"/>
            <w:i/>
            <w:strike w:val="0"/>
            <w:noProof w:val="0"/>
            <w:color w:val="0077CC"/>
            <w:position w:val="0"/>
            <w:sz w:val="20"/>
            <w:u w:val="single"/>
            <w:vertAlign w:val="baseline"/>
          </w:rPr>
          <w:t>, 775 F.2d 31, 37 (2d Cir. 1985)</w:t>
        </w:r>
      </w:hyperlink>
      <w:r>
        <w:rPr>
          <w:rFonts w:ascii="arial" w:eastAsia="arial" w:hAnsi="arial" w:cs="arial"/>
          <w:b w:val="0"/>
          <w:i w:val="0"/>
          <w:strike w:val="0"/>
          <w:noProof w:val="0"/>
          <w:color w:val="000000"/>
          <w:position w:val="0"/>
          <w:sz w:val="20"/>
          <w:u w:val="none"/>
          <w:vertAlign w:val="baseline"/>
        </w:rPr>
        <w:t xml:space="preserve">). </w:t>
      </w:r>
      <w:bookmarkStart w:id="24" w:name="Bookmark_I69CYMV02N1PX50040000400_2"/>
      <w:bookmarkEnd w:id="24"/>
      <w:bookmarkStart w:id="25" w:name="Bookmark_I69CYMV028T47T0010000400"/>
      <w:bookmarkEnd w:id="25"/>
      <w:r>
        <w:rPr>
          <w:rFonts w:ascii="arial" w:eastAsia="arial" w:hAnsi="arial" w:cs="arial"/>
          <w:b w:val="0"/>
          <w:i w:val="0"/>
          <w:strike w:val="0"/>
          <w:noProof w:val="0"/>
          <w:color w:val="000000"/>
          <w:position w:val="0"/>
          <w:sz w:val="20"/>
          <w:u w:val="none"/>
          <w:vertAlign w:val="baseline"/>
        </w:rPr>
        <w:t xml:space="preserve">Courts considering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may reserve decision until trial so that the motion is placed in the appropriate factual context. </w:t>
      </w:r>
      <w:r>
        <w:rPr>
          <w:rFonts w:ascii="arial" w:eastAsia="arial" w:hAnsi="arial" w:cs="arial"/>
          <w:b w:val="0"/>
          <w:i/>
          <w:strike w:val="0"/>
          <w:noProof w:val="0"/>
          <w:color w:val="000000"/>
          <w:position w:val="0"/>
          <w:sz w:val="20"/>
          <w:u w:val="none"/>
          <w:vertAlign w:val="baseline"/>
        </w:rPr>
        <w:t xml:space="preserve">See </w:t>
      </w:r>
      <w:bookmarkStart w:id="26" w:name="Bookmark_I69CYMV02N1PX50030000400"/>
      <w:bookmarkEnd w:id="26"/>
      <w:hyperlink r:id="rId22" w:history="1">
        <w:r>
          <w:rPr>
            <w:rFonts w:ascii="arial" w:eastAsia="arial" w:hAnsi="arial" w:cs="arial"/>
            <w:b w:val="0"/>
            <w:i/>
            <w:strike w:val="0"/>
            <w:noProof w:val="0"/>
            <w:color w:val="0077CC"/>
            <w:position w:val="0"/>
            <w:sz w:val="20"/>
            <w:u w:val="single"/>
            <w:vertAlign w:val="baseline"/>
          </w:rPr>
          <w:t>Nat'l Union Fire Ins. Co. v. L.E. Myers Co. Group</w:t>
        </w:r>
      </w:hyperlink>
      <w:hyperlink r:id="rId22" w:history="1">
        <w:r>
          <w:rPr>
            <w:rFonts w:ascii="arial" w:eastAsia="arial" w:hAnsi="arial" w:cs="arial"/>
            <w:b w:val="0"/>
            <w:i/>
            <w:strike w:val="0"/>
            <w:noProof w:val="0"/>
            <w:color w:val="0077CC"/>
            <w:position w:val="0"/>
            <w:sz w:val="20"/>
            <w:u w:val="single"/>
            <w:vertAlign w:val="baseline"/>
          </w:rPr>
          <w:t>, 937 F. Supp. 276, 287 (S.D.N.Y. 1996)</w:t>
        </w:r>
      </w:hyperlink>
      <w:r>
        <w:rPr>
          <w:rFonts w:ascii="arial" w:eastAsia="arial" w:hAnsi="arial" w:cs="arial"/>
          <w:b w:val="0"/>
          <w:i w:val="0"/>
          <w:strike w:val="0"/>
          <w:noProof w:val="0"/>
          <w:color w:val="000000"/>
          <w:position w:val="0"/>
          <w:sz w:val="20"/>
          <w:u w:val="none"/>
          <w:vertAlign w:val="baseline"/>
        </w:rPr>
        <w:t xml:space="preserve">. </w:t>
      </w:r>
      <w:bookmarkStart w:id="27" w:name="Bookmark_I69CYMV028T47T0010000400_2"/>
      <w:bookmarkEnd w:id="27"/>
      <w:r>
        <w:rPr>
          <w:rFonts w:ascii="arial" w:eastAsia="arial" w:hAnsi="arial" w:cs="arial"/>
          <w:b w:val="0"/>
          <w:i w:val="0"/>
          <w:strike w:val="0"/>
          <w:noProof w:val="0"/>
          <w:color w:val="000000"/>
          <w:position w:val="0"/>
          <w:sz w:val="20"/>
          <w:u w:val="none"/>
          <w:vertAlign w:val="baseline"/>
        </w:rPr>
        <w:t xml:space="preserve">The Court is also "free, in the exercise of sound judicial discretion, to alter a previous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ruling" at trial as "the case unfolds, particularly if the actual testimony differs from what was contained in the [movant's] proffer." </w:t>
      </w:r>
      <w:bookmarkStart w:id="28" w:name="Bookmark_I69CYMV02N1PX50050000400"/>
      <w:bookmarkEnd w:id="28"/>
      <w:hyperlink r:id="rId14" w:history="1">
        <w:r>
          <w:rPr>
            <w:rFonts w:ascii="arial" w:eastAsia="arial" w:hAnsi="arial" w:cs="arial"/>
            <w:b w:val="0"/>
            <w:i/>
            <w:strike w:val="0"/>
            <w:noProof w:val="0"/>
            <w:color w:val="0077CC"/>
            <w:position w:val="0"/>
            <w:sz w:val="20"/>
            <w:u w:val="single"/>
            <w:vertAlign w:val="baseline"/>
          </w:rPr>
          <w:t>Luce</w:t>
        </w:r>
      </w:hyperlink>
      <w:hyperlink r:id="rId14" w:history="1">
        <w:r>
          <w:rPr>
            <w:rFonts w:ascii="arial" w:eastAsia="arial" w:hAnsi="arial" w:cs="arial"/>
            <w:b w:val="0"/>
            <w:i/>
            <w:strike w:val="0"/>
            <w:noProof w:val="0"/>
            <w:color w:val="0077CC"/>
            <w:position w:val="0"/>
            <w:sz w:val="20"/>
            <w:u w:val="single"/>
            <w:vertAlign w:val="baseline"/>
          </w:rPr>
          <w:t>, 469 U.S. at 41-42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none"/>
          <w:vertAlign w:val="baseline"/>
        </w:rPr>
        <w:t>Plaintiff's Prior Convictions</w:t>
      </w:r>
    </w:p>
    <w:p>
      <w:pPr>
        <w:keepNext w:val="0"/>
        <w:spacing w:before="200" w:after="0" w:line="260" w:lineRule="atLeast"/>
        <w:ind w:left="0" w:right="0" w:firstLine="0"/>
        <w:jc w:val="both"/>
      </w:pPr>
      <w:bookmarkStart w:id="29" w:name="Bookmark_para_6"/>
      <w:bookmarkEnd w:id="29"/>
      <w:r>
        <w:rPr>
          <w:rFonts w:ascii="arial" w:eastAsia="arial" w:hAnsi="arial" w:cs="arial"/>
          <w:b w:val="0"/>
          <w:i w:val="0"/>
          <w:strike w:val="0"/>
          <w:noProof w:val="0"/>
          <w:color w:val="000000"/>
          <w:position w:val="0"/>
          <w:sz w:val="20"/>
          <w:u w:val="none"/>
          <w:vertAlign w:val="baseline"/>
        </w:rPr>
        <w:t xml:space="preserve">Plaintiff seeks to preclude evidence of his (1) 2019 conviction for promoting the sexual performance of a child; (2) 2004 conviction for promoting or possessing sexual performance by a child; and (3) prior convictions for petite larceny and criminal possession of a forged instrument.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36-1 at 2-5. Defendants seek to admit only Plaintiff's 2019 conviction.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46 at 3-8; Dkt. No. 54 at 1-2.</w:t>
      </w:r>
    </w:p>
    <w:p>
      <w:pPr>
        <w:keepNext w:val="0"/>
        <w:spacing w:before="200" w:after="0" w:line="260" w:lineRule="atLeast"/>
        <w:ind w:left="0" w:right="0" w:firstLine="0"/>
        <w:jc w:val="both"/>
      </w:pPr>
      <w:bookmarkStart w:id="30" w:name="Bookmark_para_7"/>
      <w:bookmarkEnd w:id="30"/>
      <w:bookmarkStart w:id="31" w:name="Bookmark_I69CYMV028T47T0030000400"/>
      <w:bookmarkEnd w:id="31"/>
      <w:hyperlink r:id="rId23" w:history="1">
        <w:r>
          <w:rPr>
            <w:rFonts w:ascii="arial" w:eastAsia="arial" w:hAnsi="arial" w:cs="arial"/>
            <w:b w:val="0"/>
            <w:i/>
            <w:strike w:val="0"/>
            <w:color w:val="0077CC"/>
            <w:sz w:val="20"/>
            <w:u w:val="single"/>
            <w:vertAlign w:val="baseline"/>
          </w:rPr>
          <w:t>Federal Rule of Evidence 609</w:t>
        </w:r>
      </w:hyperlink>
      <w:r>
        <w:rPr>
          <w:rFonts w:ascii="arial" w:eastAsia="arial" w:hAnsi="arial" w:cs="arial"/>
          <w:b w:val="0"/>
          <w:i w:val="0"/>
          <w:strike w:val="0"/>
          <w:noProof w:val="0"/>
          <w:color w:val="000000"/>
          <w:position w:val="0"/>
          <w:sz w:val="20"/>
          <w:u w:val="none"/>
          <w:vertAlign w:val="baseline"/>
        </w:rPr>
        <w:t xml:space="preserve"> vests broad discretion in the district court to admit or exclude evidence of prior convictions. </w:t>
      </w:r>
      <w:r>
        <w:rPr>
          <w:rFonts w:ascii="arial" w:eastAsia="arial" w:hAnsi="arial" w:cs="arial"/>
          <w:b w:val="0"/>
          <w:i/>
          <w:strike w:val="0"/>
          <w:noProof w:val="0"/>
          <w:color w:val="000000"/>
          <w:position w:val="0"/>
          <w:sz w:val="20"/>
          <w:u w:val="none"/>
          <w:vertAlign w:val="baseline"/>
        </w:rPr>
        <w:t xml:space="preserve">See </w:t>
      </w:r>
      <w:bookmarkStart w:id="32" w:name="Bookmark_I69CYMV028T47T0020000400"/>
      <w:bookmarkEnd w:id="32"/>
      <w:hyperlink r:id="rId24" w:history="1">
        <w:r>
          <w:rPr>
            <w:rFonts w:ascii="arial" w:eastAsia="arial" w:hAnsi="arial" w:cs="arial"/>
            <w:b w:val="0"/>
            <w:i/>
            <w:strike w:val="0"/>
            <w:noProof w:val="0"/>
            <w:color w:val="0077CC"/>
            <w:position w:val="0"/>
            <w:sz w:val="20"/>
            <w:u w:val="single"/>
            <w:vertAlign w:val="baseline"/>
          </w:rPr>
          <w:t>United States v. Pedroza</w:t>
        </w:r>
      </w:hyperlink>
      <w:hyperlink r:id="rId24" w:history="1">
        <w:r>
          <w:rPr>
            <w:rFonts w:ascii="arial" w:eastAsia="arial" w:hAnsi="arial" w:cs="arial"/>
            <w:b w:val="0"/>
            <w:i/>
            <w:strike w:val="0"/>
            <w:noProof w:val="0"/>
            <w:color w:val="0077CC"/>
            <w:position w:val="0"/>
            <w:sz w:val="20"/>
            <w:u w:val="single"/>
            <w:vertAlign w:val="baseline"/>
          </w:rPr>
          <w:t>, 750 F.2d 187, 202 (2d Cir. 1984)</w:t>
        </w:r>
      </w:hyperlink>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Rule 609</w:t>
        </w:r>
      </w:hyperlink>
      <w:r>
        <w:rPr>
          <w:rFonts w:ascii="arial" w:eastAsia="arial" w:hAnsi="arial" w:cs="arial"/>
          <w:b w:val="0"/>
          <w:i w:val="0"/>
          <w:strike w:val="0"/>
          <w:noProof w:val="0"/>
          <w:color w:val="000000"/>
          <w:position w:val="0"/>
          <w:sz w:val="20"/>
          <w:u w:val="none"/>
          <w:vertAlign w:val="baseline"/>
        </w:rPr>
        <w:t xml:space="preserve"> provides that</w:t>
      </w:r>
      <w:r>
        <w:rPr>
          <w:rFonts w:ascii="arial" w:eastAsia="arial" w:hAnsi="arial" w:cs="arial"/>
          <w:b/>
          <w:i w:val="0"/>
          <w:strike w:val="0"/>
          <w:noProof w:val="0"/>
          <w:color w:val="000000"/>
          <w:position w:val="0"/>
          <w:sz w:val="20"/>
          <w:u w:val="none"/>
          <w:vertAlign w:val="baseline"/>
        </w:rPr>
        <w:t> [*4] </w:t>
      </w:r>
    </w:p>
    <w:p>
      <w:pPr>
        <w:keepNext w:val="0"/>
        <w:spacing w:after="0" w:line="260" w:lineRule="atLeast"/>
        <w:ind w:left="400" w:right="0" w:firstLine="0"/>
        <w:jc w:val="both"/>
      </w:pPr>
      <w:bookmarkStart w:id="33" w:name="Bookmark_para_8"/>
      <w:bookmarkEnd w:id="33"/>
      <w:r>
        <w:rPr>
          <w:rFonts w:ascii="arial" w:eastAsia="arial" w:hAnsi="arial" w:cs="arial"/>
          <w:b w:val="0"/>
          <w:i w:val="0"/>
          <w:strike w:val="0"/>
          <w:noProof w:val="0"/>
          <w:color w:val="000000"/>
          <w:position w:val="0"/>
          <w:sz w:val="20"/>
          <w:u w:val="none"/>
          <w:vertAlign w:val="baseline"/>
        </w:rPr>
        <w:t>(a) In General. The following rules apply to attacking a witness's character for truthfulness by evidence of a criminal conviction:</w:t>
      </w:r>
    </w:p>
    <w:p>
      <w:pPr>
        <w:keepNext w:val="0"/>
        <w:spacing w:after="0" w:line="260" w:lineRule="atLeast"/>
        <w:ind w:left="400" w:right="0" w:firstLine="0"/>
        <w:jc w:val="both"/>
      </w:pPr>
      <w:bookmarkStart w:id="34" w:name="Bookmark_para_9"/>
      <w:bookmarkEnd w:id="34"/>
      <w:r>
        <w:rPr>
          <w:rFonts w:ascii="arial" w:eastAsia="arial" w:hAnsi="arial" w:cs="arial"/>
          <w:b w:val="0"/>
          <w:i w:val="0"/>
          <w:strike w:val="0"/>
          <w:noProof w:val="0"/>
          <w:color w:val="000000"/>
          <w:position w:val="0"/>
          <w:sz w:val="20"/>
          <w:u w:val="none"/>
          <w:vertAlign w:val="baseline"/>
        </w:rPr>
        <w:t>(1) for a crime that, in the convicting jurisdiction, was punishable by death or by imprisonment for more than one year, the evidence:</w:t>
      </w:r>
    </w:p>
    <w:p>
      <w:pPr>
        <w:keepNext w:val="0"/>
        <w:spacing w:before="240" w:after="0" w:line="260" w:lineRule="atLeast"/>
        <w:ind w:left="800" w:right="0" w:firstLine="0"/>
        <w:jc w:val="both"/>
      </w:pPr>
      <w:bookmarkStart w:id="35" w:name="Bookmark_para_10"/>
      <w:bookmarkEnd w:id="35"/>
      <w:r>
        <w:rPr>
          <w:rFonts w:ascii="arial" w:eastAsia="arial" w:hAnsi="arial" w:cs="arial"/>
          <w:b w:val="0"/>
          <w:i w:val="0"/>
          <w:strike w:val="0"/>
          <w:noProof w:val="0"/>
          <w:color w:val="000000"/>
          <w:position w:val="0"/>
          <w:sz w:val="20"/>
          <w:u w:val="none"/>
          <w:vertAlign w:val="baseline"/>
        </w:rPr>
        <w:t xml:space="preserve">(A) must be admitted, subject to </w:t>
      </w:r>
      <w:hyperlink r:id="rId18"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in a civil case or in a criminal case in which the witness is not a defendant; and</w:t>
      </w:r>
    </w:p>
    <w:p>
      <w:pPr>
        <w:keepNext w:val="0"/>
        <w:spacing w:after="0" w:line="260" w:lineRule="atLeast"/>
        <w:ind w:left="800" w:right="0" w:firstLine="0"/>
        <w:jc w:val="both"/>
      </w:pPr>
      <w:bookmarkStart w:id="36" w:name="Bookmark_para_11"/>
      <w:bookmarkEnd w:id="36"/>
      <w:r>
        <w:rPr>
          <w:rFonts w:ascii="arial" w:eastAsia="arial" w:hAnsi="arial" w:cs="arial"/>
          <w:b w:val="0"/>
          <w:i w:val="0"/>
          <w:strike w:val="0"/>
          <w:noProof w:val="0"/>
          <w:color w:val="000000"/>
          <w:position w:val="0"/>
          <w:sz w:val="20"/>
          <w:u w:val="none"/>
          <w:vertAlign w:val="baseline"/>
        </w:rPr>
        <w:t>(B) must be admitted in a criminal case in which the witness is a defendant, if the probative value of the evidence outweighs its prejudicial effect to that defendant; and</w:t>
      </w:r>
    </w:p>
    <w:p>
      <w:pPr>
        <w:keepNext w:val="0"/>
        <w:spacing w:after="0" w:line="260" w:lineRule="atLeast"/>
        <w:ind w:left="400" w:right="0" w:firstLine="0"/>
        <w:jc w:val="both"/>
      </w:pPr>
      <w:bookmarkStart w:id="37" w:name="Bookmark_para_12"/>
      <w:bookmarkEnd w:id="37"/>
      <w:r>
        <w:rPr>
          <w:rFonts w:ascii="arial" w:eastAsia="arial" w:hAnsi="arial" w:cs="arial"/>
          <w:b w:val="0"/>
          <w:i w:val="0"/>
          <w:strike w:val="0"/>
          <w:noProof w:val="0"/>
          <w:color w:val="000000"/>
          <w:position w:val="0"/>
          <w:sz w:val="20"/>
          <w:u w:val="none"/>
          <w:vertAlign w:val="baseline"/>
        </w:rPr>
        <w:t>(2) for any crime regardless of the punishment, the evidence must be admitted if the court can readily determine that establishing the elements of the crime required proving--or the witness's admitting-a dishonest act or false statement.</w:t>
      </w:r>
    </w:p>
    <w:p>
      <w:pPr>
        <w:keepNext w:val="0"/>
        <w:spacing w:before="240" w:after="0" w:line="260" w:lineRule="atLeast"/>
        <w:ind w:left="800" w:right="0" w:firstLine="0"/>
        <w:jc w:val="both"/>
      </w:pPr>
      <w:bookmarkStart w:id="38" w:name="Bookmark_para_13"/>
      <w:bookmarkEnd w:id="38"/>
      <w:r>
        <w:rPr>
          <w:rFonts w:ascii="arial" w:eastAsia="arial" w:hAnsi="arial" w:cs="arial"/>
          <w:b w:val="0"/>
          <w:i w:val="0"/>
          <w:strike w:val="0"/>
          <w:noProof w:val="0"/>
          <w:color w:val="000000"/>
          <w:position w:val="0"/>
          <w:sz w:val="20"/>
          <w:u w:val="none"/>
          <w:vertAlign w:val="baseline"/>
        </w:rPr>
        <w:t xml:space="preserve">(b) Limit on Using the Evidence After 10 Years. This </w:t>
      </w:r>
      <w:hyperlink r:id="rId23" w:history="1">
        <w:r>
          <w:rPr>
            <w:rFonts w:ascii="arial" w:eastAsia="arial" w:hAnsi="arial" w:cs="arial"/>
            <w:b w:val="0"/>
            <w:i/>
            <w:strike w:val="0"/>
            <w:noProof w:val="0"/>
            <w:color w:val="0077CC"/>
            <w:position w:val="0"/>
            <w:sz w:val="20"/>
            <w:u w:val="single"/>
            <w:vertAlign w:val="baseline"/>
          </w:rPr>
          <w:t>subdivision (b)</w:t>
        </w:r>
      </w:hyperlink>
      <w:r>
        <w:rPr>
          <w:rFonts w:ascii="arial" w:eastAsia="arial" w:hAnsi="arial" w:cs="arial"/>
          <w:b w:val="0"/>
          <w:i w:val="0"/>
          <w:strike w:val="0"/>
          <w:noProof w:val="0"/>
          <w:color w:val="000000"/>
          <w:position w:val="0"/>
          <w:sz w:val="20"/>
          <w:u w:val="none"/>
          <w:vertAlign w:val="baseline"/>
        </w:rPr>
        <w:t xml:space="preserve"> applies if more than 10 years have passed since the witness's conviction or release from confinement for it, whichever is later. Evidence of the conviction is admissible only if:</w:t>
      </w:r>
    </w:p>
    <w:p>
      <w:pPr>
        <w:keepNext w:val="0"/>
        <w:spacing w:after="0" w:line="260" w:lineRule="atLeast"/>
        <w:ind w:left="1200" w:right="0" w:firstLine="0"/>
        <w:jc w:val="both"/>
      </w:pPr>
      <w:bookmarkStart w:id="39" w:name="Bookmark_para_14"/>
      <w:bookmarkEnd w:id="39"/>
      <w:r>
        <w:rPr>
          <w:rFonts w:ascii="arial" w:eastAsia="arial" w:hAnsi="arial" w:cs="arial"/>
          <w:b w:val="0"/>
          <w:i w:val="0"/>
          <w:strike w:val="0"/>
          <w:noProof w:val="0"/>
          <w:color w:val="000000"/>
          <w:position w:val="0"/>
          <w:sz w:val="20"/>
          <w:u w:val="none"/>
          <w:vertAlign w:val="baseline"/>
        </w:rPr>
        <w:t>(1) its probative value, supported by specific facts and circumstances, substantially outweighs its prejudicial effect; and</w:t>
      </w:r>
    </w:p>
    <w:p>
      <w:pPr>
        <w:keepNext w:val="0"/>
        <w:spacing w:before="200" w:after="0" w:line="260" w:lineRule="atLeast"/>
        <w:ind w:left="1200" w:right="0" w:firstLine="0"/>
        <w:jc w:val="both"/>
      </w:pPr>
      <w:bookmarkStart w:id="40" w:name="Bookmark_para_15"/>
      <w:bookmarkEnd w:id="40"/>
      <w:r>
        <w:rPr>
          <w:rFonts w:ascii="arial" w:eastAsia="arial" w:hAnsi="arial" w:cs="arial"/>
          <w:b w:val="0"/>
          <w:i w:val="0"/>
          <w:strike w:val="0"/>
          <w:noProof w:val="0"/>
          <w:color w:val="000000"/>
          <w:position w:val="0"/>
          <w:sz w:val="20"/>
          <w:u w:val="none"/>
          <w:vertAlign w:val="baseline"/>
        </w:rPr>
        <w:t>(2) the proponent gives an adverse party reasonable written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notice of the intent to use it so that the party has a fair opportunity to contest its use.</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Fed. R. Evid.</w:t>
        </w:r>
      </w:hyperlink>
      <w:hyperlink r:id="rId23" w:history="1">
        <w:r>
          <w:rPr>
            <w:rFonts w:ascii="arial" w:eastAsia="arial" w:hAnsi="arial" w:cs="arial"/>
            <w:b w:val="0"/>
            <w:i/>
            <w:strike w:val="0"/>
            <w:color w:val="0077CC"/>
            <w:sz w:val="20"/>
            <w:u w:val="single"/>
            <w:vertAlign w:val="baseline"/>
          </w:rPr>
          <w:t xml:space="preserve"> 609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16"/>
      <w:bookmarkEnd w:id="41"/>
      <w:bookmarkStart w:id="42" w:name="Bookmark_I69CYMV028T47T0050000400"/>
      <w:bookmarkEnd w:id="42"/>
      <w:bookmarkStart w:id="43" w:name="Bookmark_I69CYMV12HM5TB0020000400"/>
      <w:bookmarkEnd w:id="43"/>
      <w:bookmarkStart w:id="44" w:name="Bookmark_I69CYMV12HM5TB0040000400"/>
      <w:bookmarkEnd w:id="44"/>
      <w:r>
        <w:rPr>
          <w:rFonts w:ascii="arial" w:eastAsia="arial" w:hAnsi="arial" w:cs="arial"/>
          <w:b w:val="0"/>
          <w:i w:val="0"/>
          <w:strike w:val="0"/>
          <w:noProof w:val="0"/>
          <w:color w:val="000000"/>
          <w:position w:val="0"/>
          <w:sz w:val="20"/>
          <w:u w:val="none"/>
          <w:vertAlign w:val="baseline"/>
        </w:rPr>
        <w:t xml:space="preserve">Under </w:t>
      </w:r>
      <w:hyperlink r:id="rId23" w:history="1">
        <w:r>
          <w:rPr>
            <w:rFonts w:ascii="arial" w:eastAsia="arial" w:hAnsi="arial" w:cs="arial"/>
            <w:b w:val="0"/>
            <w:i/>
            <w:strike w:val="0"/>
            <w:noProof w:val="0"/>
            <w:color w:val="0077CC"/>
            <w:position w:val="0"/>
            <w:sz w:val="20"/>
            <w:u w:val="single"/>
            <w:vertAlign w:val="baseline"/>
          </w:rPr>
          <w:t>Rule 609(b)</w:t>
        </w:r>
      </w:hyperlink>
      <w:r>
        <w:rPr>
          <w:rFonts w:ascii="arial" w:eastAsia="arial" w:hAnsi="arial" w:cs="arial"/>
          <w:b w:val="0"/>
          <w:i w:val="0"/>
          <w:strike w:val="0"/>
          <w:noProof w:val="0"/>
          <w:color w:val="000000"/>
          <w:position w:val="0"/>
          <w:sz w:val="20"/>
          <w:u w:val="none"/>
          <w:vertAlign w:val="baseline"/>
        </w:rPr>
        <w:t xml:space="preserve">, criminal convictions more than ten years old are not admissible "unless the court determines that, in the interest of justice, the probative value of the conviction substantially outweighs its prejudicial effect." </w:t>
      </w:r>
      <w:bookmarkStart w:id="45" w:name="Bookmark_I69CYMV028T47T0040000400"/>
      <w:bookmarkEnd w:id="45"/>
      <w:hyperlink r:id="rId25" w:history="1">
        <w:r>
          <w:rPr>
            <w:rFonts w:ascii="arial" w:eastAsia="arial" w:hAnsi="arial" w:cs="arial"/>
            <w:b w:val="0"/>
            <w:i/>
            <w:strike w:val="0"/>
            <w:noProof w:val="0"/>
            <w:color w:val="0077CC"/>
            <w:position w:val="0"/>
            <w:sz w:val="20"/>
            <w:u w:val="single"/>
            <w:vertAlign w:val="baseline"/>
          </w:rPr>
          <w:t>Walker v. Schult</w:t>
        </w:r>
      </w:hyperlink>
      <w:hyperlink r:id="rId25" w:history="1">
        <w:r>
          <w:rPr>
            <w:rFonts w:ascii="arial" w:eastAsia="arial" w:hAnsi="arial" w:cs="arial"/>
            <w:b w:val="0"/>
            <w:i/>
            <w:strike w:val="0"/>
            <w:noProof w:val="0"/>
            <w:color w:val="0077CC"/>
            <w:position w:val="0"/>
            <w:sz w:val="20"/>
            <w:u w:val="single"/>
            <w:vertAlign w:val="baseline"/>
          </w:rPr>
          <w:t>, 365 F. Supp. 3d 266, 281-82 (N.D.N.Y. 2019)</w:t>
        </w:r>
      </w:hyperlink>
      <w:r>
        <w:rPr>
          <w:rFonts w:ascii="arial" w:eastAsia="arial" w:hAnsi="arial" w:cs="arial"/>
          <w:b w:val="0"/>
          <w:i w:val="0"/>
          <w:strike w:val="0"/>
          <w:noProof w:val="0"/>
          <w:color w:val="000000"/>
          <w:position w:val="0"/>
          <w:sz w:val="20"/>
          <w:u w:val="none"/>
          <w:vertAlign w:val="baseline"/>
        </w:rPr>
        <w:t xml:space="preserve"> (citation omitted). "[W]hen convictions more than ten years old are sought to be introduced into evidence pursuant to </w:t>
      </w:r>
      <w:hyperlink r:id="rId23" w:history="1">
        <w:r>
          <w:rPr>
            <w:rFonts w:ascii="arial" w:eastAsia="arial" w:hAnsi="arial" w:cs="arial"/>
            <w:b w:val="0"/>
            <w:i/>
            <w:strike w:val="0"/>
            <w:noProof w:val="0"/>
            <w:color w:val="0077CC"/>
            <w:position w:val="0"/>
            <w:sz w:val="20"/>
            <w:u w:val="single"/>
            <w:vertAlign w:val="baseline"/>
          </w:rPr>
          <w:t>Rule 609(b)</w:t>
        </w:r>
      </w:hyperlink>
      <w:r>
        <w:rPr>
          <w:rFonts w:ascii="arial" w:eastAsia="arial" w:hAnsi="arial" w:cs="arial"/>
          <w:b w:val="0"/>
          <w:i w:val="0"/>
          <w:strike w:val="0"/>
          <w:noProof w:val="0"/>
          <w:color w:val="000000"/>
          <w:position w:val="0"/>
          <w:sz w:val="20"/>
          <w:u w:val="none"/>
          <w:vertAlign w:val="baseline"/>
        </w:rPr>
        <w:t xml:space="preserve"> the district judge should make an on-the-record determination supported by specific facts and circumstances that the probative value of the evidence substantially outweighs its prejudicial effect." </w:t>
      </w:r>
      <w:bookmarkStart w:id="46" w:name="Bookmark_I69CYMV12HM5TB0010000400"/>
      <w:bookmarkEnd w:id="46"/>
      <w:hyperlink r:id="rId26" w:history="1">
        <w:r>
          <w:rPr>
            <w:rFonts w:ascii="arial" w:eastAsia="arial" w:hAnsi="arial" w:cs="arial"/>
            <w:b w:val="0"/>
            <w:i/>
            <w:strike w:val="0"/>
            <w:noProof w:val="0"/>
            <w:color w:val="0077CC"/>
            <w:position w:val="0"/>
            <w:sz w:val="20"/>
            <w:u w:val="single"/>
            <w:vertAlign w:val="baseline"/>
          </w:rPr>
          <w:t>United States v. Mahler</w:t>
        </w:r>
      </w:hyperlink>
      <w:hyperlink r:id="rId26" w:history="1">
        <w:r>
          <w:rPr>
            <w:rFonts w:ascii="arial" w:eastAsia="arial" w:hAnsi="arial" w:cs="arial"/>
            <w:b w:val="0"/>
            <w:i/>
            <w:strike w:val="0"/>
            <w:noProof w:val="0"/>
            <w:color w:val="0077CC"/>
            <w:position w:val="0"/>
            <w:sz w:val="20"/>
            <w:u w:val="single"/>
            <w:vertAlign w:val="baseline"/>
          </w:rPr>
          <w:t>, 579 F.2d 730, 736 (2d Cir. 1978)</w:t>
        </w:r>
      </w:hyperlink>
      <w:r>
        <w:rPr>
          <w:rFonts w:ascii="arial" w:eastAsia="arial" w:hAnsi="arial" w:cs="arial"/>
          <w:b w:val="0"/>
          <w:i w:val="0"/>
          <w:strike w:val="0"/>
          <w:noProof w:val="0"/>
          <w:color w:val="000000"/>
          <w:position w:val="0"/>
          <w:sz w:val="20"/>
          <w:u w:val="none"/>
          <w:vertAlign w:val="baseline"/>
        </w:rPr>
        <w:t xml:space="preserve">. "'[C]onvictions over 10 years old [should] be admitted very rarely and only exceptional circumstances,' as 'convictions over ten years old generally do not have much probative value.'" </w:t>
      </w:r>
      <w:bookmarkStart w:id="47" w:name="Bookmark_I69CYMV12HM5TB0030000400"/>
      <w:bookmarkEnd w:id="47"/>
      <w:hyperlink r:id="rId27" w:history="1">
        <w:r>
          <w:rPr>
            <w:rFonts w:ascii="arial" w:eastAsia="arial" w:hAnsi="arial" w:cs="arial"/>
            <w:b w:val="0"/>
            <w:i/>
            <w:strike w:val="0"/>
            <w:noProof w:val="0"/>
            <w:color w:val="0077CC"/>
            <w:position w:val="0"/>
            <w:sz w:val="20"/>
            <w:u w:val="single"/>
            <w:vertAlign w:val="baseline"/>
          </w:rPr>
          <w:t>United States v. Brown</w:t>
        </w:r>
      </w:hyperlink>
      <w:hyperlink r:id="rId27" w:history="1">
        <w:r>
          <w:rPr>
            <w:rFonts w:ascii="arial" w:eastAsia="arial" w:hAnsi="arial" w:cs="arial"/>
            <w:b w:val="0"/>
            <w:i/>
            <w:strike w:val="0"/>
            <w:noProof w:val="0"/>
            <w:color w:val="0077CC"/>
            <w:position w:val="0"/>
            <w:sz w:val="20"/>
            <w:u w:val="single"/>
            <w:vertAlign w:val="baseline"/>
          </w:rPr>
          <w:t>, 606 F. Supp. 2d 306, 312 (E.D.N.Y. 2009)</w:t>
        </w:r>
      </w:hyperlink>
      <w:r>
        <w:rPr>
          <w:rFonts w:ascii="arial" w:eastAsia="arial" w:hAnsi="arial" w:cs="arial"/>
          <w:b w:val="0"/>
          <w:i w:val="0"/>
          <w:strike w:val="0"/>
          <w:noProof w:val="0"/>
          <w:color w:val="000000"/>
          <w:position w:val="0"/>
          <w:sz w:val="20"/>
          <w:u w:val="none"/>
          <w:vertAlign w:val="baseline"/>
        </w:rPr>
        <w:t xml:space="preserve"> (second alteration in original) (quoting </w:t>
      </w:r>
      <w:hyperlink r:id="rId23" w:history="1">
        <w:r>
          <w:rPr>
            <w:rFonts w:ascii="arial" w:eastAsia="arial" w:hAnsi="arial" w:cs="arial"/>
            <w:b w:val="0"/>
            <w:i/>
            <w:strike w:val="0"/>
            <w:noProof w:val="0"/>
            <w:color w:val="0077CC"/>
            <w:position w:val="0"/>
            <w:sz w:val="20"/>
            <w:u w:val="single"/>
            <w:vertAlign w:val="baseline"/>
          </w:rPr>
          <w:t>Fed. R. Evid.</w:t>
        </w:r>
      </w:hyperlink>
      <w:hyperlink r:id="rId23" w:history="1">
        <w:r>
          <w:rPr>
            <w:rFonts w:ascii="arial" w:eastAsia="arial" w:hAnsi="arial" w:cs="arial"/>
            <w:b w:val="0"/>
            <w:i/>
            <w:strike w:val="0"/>
            <w:noProof w:val="0"/>
            <w:color w:val="0077CC"/>
            <w:position w:val="0"/>
            <w:sz w:val="20"/>
            <w:u w:val="single"/>
            <w:vertAlign w:val="baseline"/>
          </w:rPr>
          <w:t xml:space="preserve"> 609(b)</w:t>
        </w:r>
      </w:hyperlink>
      <w:r>
        <w:rPr>
          <w:rFonts w:ascii="arial" w:eastAsia="arial" w:hAnsi="arial" w:cs="arial"/>
          <w:b w:val="0"/>
          <w:i w:val="0"/>
          <w:strike w:val="0"/>
          <w:noProof w:val="0"/>
          <w:color w:val="000000"/>
          <w:position w:val="0"/>
          <w:sz w:val="20"/>
          <w:u w:val="none"/>
          <w:vertAlign w:val="baseline"/>
        </w:rPr>
        <w:t>, Advisory Committee's Note).</w:t>
      </w:r>
    </w:p>
    <w:p>
      <w:pPr>
        <w:keepNext w:val="0"/>
        <w:spacing w:before="200" w:after="0" w:line="260" w:lineRule="atLeast"/>
        <w:ind w:left="0" w:right="0" w:firstLine="0"/>
        <w:jc w:val="both"/>
      </w:pPr>
      <w:bookmarkStart w:id="48" w:name="Bookmark_para_17"/>
      <w:bookmarkEnd w:id="48"/>
      <w:r>
        <w:rPr>
          <w:rFonts w:ascii="arial" w:eastAsia="arial" w:hAnsi="arial" w:cs="arial"/>
          <w:b w:val="0"/>
          <w:i w:val="0"/>
          <w:strike w:val="0"/>
          <w:noProof w:val="0"/>
          <w:color w:val="000000"/>
          <w:position w:val="0"/>
          <w:sz w:val="20"/>
          <w:u w:val="none"/>
          <w:vertAlign w:val="baseline"/>
        </w:rPr>
        <w:t xml:space="preserve">Plaintiff alleges that Defendant Shurgot called Plaintiff a "fagot rapo" after "he answered her truthfully" as to "what he was in prison for." Dkt. No. 10 at 3. Plaintiff contends that his answer motivated Defendant Shurgot's use of force.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3-5. Plaintiff's 2004 conviction for promoting or possessing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sexual performance by a child is plausibly relevant to his claims as he does not specify precisely what he said to Defendant Shurgot. However, Defendants do not seek to admit Plaintiff's 2004 conviction, and because the conviction is almost twenty years old, the probative value does not substantially outweigh its prejudicial effect. S</w:t>
      </w:r>
      <w:r>
        <w:rPr>
          <w:rFonts w:ascii="arial" w:eastAsia="arial" w:hAnsi="arial" w:cs="arial"/>
          <w:b w:val="0"/>
          <w:i/>
          <w:strike w:val="0"/>
          <w:noProof w:val="0"/>
          <w:color w:val="000000"/>
          <w:position w:val="0"/>
          <w:sz w:val="20"/>
          <w:u w:val="none"/>
          <w:vertAlign w:val="baseline"/>
        </w:rPr>
        <w:t>ee</w:t>
      </w:r>
      <w:r>
        <w:rPr>
          <w:rFonts w:ascii="arial" w:eastAsia="arial" w:hAnsi="arial" w:cs="arial"/>
          <w:b w:val="0"/>
          <w:i w:val="0"/>
          <w:strike w:val="0"/>
          <w:noProof w:val="0"/>
          <w:color w:val="000000"/>
          <w:position w:val="0"/>
          <w:sz w:val="20"/>
          <w:u w:val="none"/>
          <w:vertAlign w:val="baseline"/>
        </w:rPr>
        <w:t xml:space="preserve"> Dkt. No. 46 at 3-8. As such, Plaintiff's motion is granted in this regard.</w:t>
      </w:r>
    </w:p>
    <w:p>
      <w:pPr>
        <w:keepNext w:val="0"/>
        <w:spacing w:before="240" w:after="0" w:line="260" w:lineRule="atLeast"/>
        <w:ind w:left="0" w:right="0" w:firstLine="0"/>
        <w:jc w:val="both"/>
      </w:pPr>
      <w:bookmarkStart w:id="49" w:name="Bookmark_para_18"/>
      <w:bookmarkEnd w:id="49"/>
      <w:bookmarkStart w:id="50" w:name="Bookmark_I69CYMV228T4820010000400"/>
      <w:bookmarkEnd w:id="50"/>
      <w:r>
        <w:rPr>
          <w:rFonts w:ascii="arial" w:eastAsia="arial" w:hAnsi="arial" w:cs="arial"/>
          <w:b w:val="0"/>
          <w:i w:val="0"/>
          <w:strike w:val="0"/>
          <w:noProof w:val="0"/>
          <w:color w:val="000000"/>
          <w:position w:val="0"/>
          <w:sz w:val="20"/>
          <w:u w:val="none"/>
          <w:vertAlign w:val="baseline"/>
        </w:rPr>
        <w:t xml:space="preserve">Second, </w:t>
      </w:r>
      <w:hyperlink r:id="rId23" w:history="1">
        <w:r>
          <w:rPr>
            <w:rFonts w:ascii="arial" w:eastAsia="arial" w:hAnsi="arial" w:cs="arial"/>
            <w:b w:val="0"/>
            <w:i/>
            <w:strike w:val="0"/>
            <w:noProof w:val="0"/>
            <w:color w:val="0077CC"/>
            <w:position w:val="0"/>
            <w:sz w:val="20"/>
            <w:u w:val="single"/>
            <w:vertAlign w:val="baseline"/>
          </w:rPr>
          <w:t>Rule 609(a)</w:t>
        </w:r>
      </w:hyperlink>
    </w:p>
    <w:p>
      <w:pPr>
        <w:keepNext w:val="0"/>
        <w:spacing w:before="200" w:after="0" w:line="260" w:lineRule="atLeast"/>
        <w:ind w:left="400" w:right="0" w:firstLine="0"/>
        <w:jc w:val="both"/>
      </w:pPr>
      <w:bookmarkStart w:id="51" w:name="Bookmark_para_19"/>
      <w:bookmarkEnd w:id="51"/>
      <w:bookmarkStart w:id="52" w:name="Bookmark_I69CYMV228T4820010000400_2"/>
      <w:bookmarkEnd w:id="52"/>
      <w:bookmarkStart w:id="53" w:name="Bookmark_I74J2M5V9D9000016TT0003T"/>
      <w:bookmarkEnd w:id="53"/>
      <w:bookmarkStart w:id="54" w:name="Bookmark_I69CYMV228T4820030000400"/>
      <w:bookmarkEnd w:id="54"/>
      <w:r>
        <w:rPr>
          <w:rFonts w:ascii="arial" w:eastAsia="arial" w:hAnsi="arial" w:cs="arial"/>
          <w:b w:val="0"/>
          <w:i w:val="0"/>
          <w:strike w:val="0"/>
          <w:noProof w:val="0"/>
          <w:color w:val="000000"/>
          <w:position w:val="0"/>
          <w:sz w:val="20"/>
          <w:u w:val="none"/>
          <w:vertAlign w:val="baseline"/>
        </w:rPr>
        <w:t>requires district courts to admit the name of a conviction, its date, and the sentence imposed unless the district court determines that the probative value of that evidence "is substantially outweighed by the danger of unfair prejudice, confusion of the issues, or misleading the jury, or by considerations of undue delay, waste of time, or needless presentation of cumulative evidence."</w:t>
      </w:r>
    </w:p>
    <w:p>
      <w:pPr>
        <w:keepNext w:val="0"/>
        <w:spacing w:before="240" w:after="0" w:line="260" w:lineRule="atLeast"/>
        <w:ind w:left="0" w:right="0" w:firstLine="0"/>
        <w:jc w:val="both"/>
      </w:pPr>
      <w:bookmarkStart w:id="55" w:name="Bookmark_I69CYMV228T4820030000400_2"/>
      <w:bookmarkEnd w:id="55"/>
      <w:bookmarkStart w:id="56" w:name="Bookmark_I69CYMV228T4820010000400_3"/>
      <w:bookmarkEnd w:id="56"/>
      <w:bookmarkStart w:id="57" w:name="Bookmark_I69CYMV228T4850020000400"/>
      <w:bookmarkEnd w:id="57"/>
      <w:bookmarkStart w:id="58" w:name="Bookmark_I69CYMV12HM5TB0050000400"/>
      <w:bookmarkEnd w:id="58"/>
      <w:hyperlink r:id="rId28" w:history="1">
        <w:r>
          <w:rPr>
            <w:rFonts w:ascii="arial" w:eastAsia="arial" w:hAnsi="arial" w:cs="arial"/>
            <w:b w:val="0"/>
            <w:i/>
            <w:strike w:val="0"/>
            <w:color w:val="0077CC"/>
            <w:sz w:val="20"/>
            <w:u w:val="single"/>
            <w:vertAlign w:val="baseline"/>
          </w:rPr>
          <w:t>United States v. Estrada</w:t>
        </w:r>
      </w:hyperlink>
      <w:hyperlink r:id="rId28" w:history="1">
        <w:r>
          <w:rPr>
            <w:rFonts w:ascii="arial" w:eastAsia="arial" w:hAnsi="arial" w:cs="arial"/>
            <w:b w:val="0"/>
            <w:i/>
            <w:strike w:val="0"/>
            <w:color w:val="0077CC"/>
            <w:sz w:val="20"/>
            <w:u w:val="single"/>
            <w:vertAlign w:val="baseline"/>
          </w:rPr>
          <w:t>, 430 F.3d 606, 621 (2d Cir. 2005)</w:t>
        </w:r>
      </w:hyperlink>
      <w:r>
        <w:rPr>
          <w:rFonts w:ascii="arial" w:eastAsia="arial" w:hAnsi="arial" w:cs="arial"/>
          <w:b w:val="0"/>
          <w:i w:val="0"/>
          <w:strike w:val="0"/>
          <w:noProof w:val="0"/>
          <w:color w:val="000000"/>
          <w:position w:val="0"/>
          <w:sz w:val="20"/>
          <w:u w:val="none"/>
          <w:vertAlign w:val="baseline"/>
        </w:rPr>
        <w:t xml:space="preserve"> (citation omitted). </w:t>
      </w:r>
      <w:bookmarkStart w:id="59" w:name="Bookmark_I69CYMV228T4850020000400_2"/>
      <w:bookmarkEnd w:id="59"/>
      <w:r>
        <w:rPr>
          <w:rFonts w:ascii="arial" w:eastAsia="arial" w:hAnsi="arial" w:cs="arial"/>
          <w:b w:val="0"/>
          <w:i w:val="0"/>
          <w:strike w:val="0"/>
          <w:noProof w:val="0"/>
          <w:color w:val="000000"/>
          <w:position w:val="0"/>
          <w:sz w:val="20"/>
          <w:u w:val="none"/>
          <w:vertAlign w:val="baseline"/>
        </w:rPr>
        <w:t>In "balancing probative value against prejudicial effect under [</w:t>
      </w:r>
      <w:hyperlink r:id="rId23" w:history="1">
        <w:r>
          <w:rPr>
            <w:rFonts w:ascii="arial" w:eastAsia="arial" w:hAnsi="arial" w:cs="arial"/>
            <w:b w:val="0"/>
            <w:i/>
            <w:strike w:val="0"/>
            <w:noProof w:val="0"/>
            <w:color w:val="0077CC"/>
            <w:position w:val="0"/>
            <w:sz w:val="20"/>
            <w:u w:val="single"/>
            <w:vertAlign w:val="baseline"/>
          </w:rPr>
          <w:t>Rule 609</w:t>
        </w:r>
      </w:hyperlink>
      <w:r>
        <w:rPr>
          <w:rFonts w:ascii="arial" w:eastAsia="arial" w:hAnsi="arial" w:cs="arial"/>
          <w:b w:val="0"/>
          <w:i w:val="0"/>
          <w:strike w:val="0"/>
          <w:noProof w:val="0"/>
          <w:color w:val="000000"/>
          <w:position w:val="0"/>
          <w:sz w:val="20"/>
          <w:u w:val="none"/>
          <w:vertAlign w:val="baseline"/>
        </w:rPr>
        <w:t xml:space="preserve">], courts examine the following factors: (1) the impeachment value of the prior crime, (2) the remoteness of the prior conviction, (3) the similarity between the past crime and the conduct at issue, and (4) the importance of the credibility of the witness." </w:t>
      </w:r>
      <w:bookmarkStart w:id="60" w:name="Bookmark_I69CYMV228T4820020000400"/>
      <w:bookmarkEnd w:id="60"/>
      <w:hyperlink r:id="rId29" w:history="1">
        <w:r>
          <w:rPr>
            <w:rFonts w:ascii="arial" w:eastAsia="arial" w:hAnsi="arial" w:cs="arial"/>
            <w:b w:val="0"/>
            <w:i/>
            <w:strike w:val="0"/>
            <w:noProof w:val="0"/>
            <w:color w:val="0077CC"/>
            <w:position w:val="0"/>
            <w:sz w:val="20"/>
            <w:u w:val="single"/>
            <w:vertAlign w:val="baseline"/>
          </w:rPr>
          <w:t>Daniels v. Loizzo</w:t>
        </w:r>
      </w:hyperlink>
      <w:hyperlink r:id="rId29" w:history="1">
        <w:r>
          <w:rPr>
            <w:rFonts w:ascii="arial" w:eastAsia="arial" w:hAnsi="arial" w:cs="arial"/>
            <w:b w:val="0"/>
            <w:i/>
            <w:strike w:val="0"/>
            <w:noProof w:val="0"/>
            <w:color w:val="0077CC"/>
            <w:position w:val="0"/>
            <w:sz w:val="20"/>
            <w:u w:val="single"/>
            <w:vertAlign w:val="baseline"/>
          </w:rPr>
          <w:t>, 986 F. Supp. 245, 250 (S.D.N.Y. 1997)</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 xml:space="preserve">inter alia, </w:t>
      </w:r>
      <w:bookmarkStart w:id="61" w:name="Bookmark_I69CYMV228T4820040000400"/>
      <w:bookmarkEnd w:id="61"/>
      <w:hyperlink r:id="rId30" w:history="1">
        <w:r>
          <w:rPr>
            <w:rFonts w:ascii="arial" w:eastAsia="arial" w:hAnsi="arial" w:cs="arial"/>
            <w:b w:val="0"/>
            <w:i/>
            <w:strike w:val="0"/>
            <w:noProof w:val="0"/>
            <w:color w:val="0077CC"/>
            <w:position w:val="0"/>
            <w:sz w:val="20"/>
            <w:u w:val="single"/>
            <w:vertAlign w:val="baseline"/>
          </w:rPr>
          <w:t>United States. v. Hayes</w:t>
        </w:r>
      </w:hyperlink>
      <w:hyperlink r:id="rId30" w:history="1">
        <w:r>
          <w:rPr>
            <w:rFonts w:ascii="arial" w:eastAsia="arial" w:hAnsi="arial" w:cs="arial"/>
            <w:b w:val="0"/>
            <w:i/>
            <w:strike w:val="0"/>
            <w:noProof w:val="0"/>
            <w:color w:val="0077CC"/>
            <w:position w:val="0"/>
            <w:sz w:val="20"/>
            <w:u w:val="single"/>
            <w:vertAlign w:val="baseline"/>
          </w:rPr>
          <w:t>, 553 F.2d 824, 828 (2d Cir. 1977)</w:t>
        </w:r>
      </w:hyperlink>
      <w:r>
        <w:rPr>
          <w:rFonts w:ascii="arial" w:eastAsia="arial" w:hAnsi="arial" w:cs="arial"/>
          <w:b w:val="0"/>
          <w:i w:val="0"/>
          <w:strike w:val="0"/>
          <w:noProof w:val="0"/>
          <w:color w:val="000000"/>
          <w:position w:val="0"/>
          <w:sz w:val="20"/>
          <w:u w:val="none"/>
          <w:vertAlign w:val="baseline"/>
        </w:rPr>
        <w:t xml:space="preserve">). </w:t>
      </w:r>
      <w:bookmarkStart w:id="62" w:name="Bookmark_I69CYMV228T4850020000400_3"/>
      <w:bookmarkEnd w:id="62"/>
      <w:r>
        <w:rPr>
          <w:rFonts w:ascii="arial" w:eastAsia="arial" w:hAnsi="arial" w:cs="arial"/>
          <w:b w:val="0"/>
          <w:i w:val="0"/>
          <w:strike w:val="0"/>
          <w:noProof w:val="0"/>
          <w:color w:val="000000"/>
          <w:position w:val="0"/>
          <w:sz w:val="20"/>
          <w:u w:val="none"/>
          <w:vertAlign w:val="baseline"/>
        </w:rPr>
        <w:t>"Although all of these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factors are relevant, '[p]rime among them is [the first factor, </w:t>
      </w:r>
      <w:r>
        <w:rPr>
          <w:rFonts w:ascii="arial" w:eastAsia="arial" w:hAnsi="arial" w:cs="arial"/>
          <w:b w:val="0"/>
          <w:i/>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xml:space="preserve">,] whether the crime, by its nature, is probative of a lack of </w:t>
      </w:r>
      <w:r>
        <w:rPr>
          <w:rFonts w:ascii="arial" w:eastAsia="arial" w:hAnsi="arial" w:cs="arial"/>
          <w:b w:val="0"/>
          <w:i/>
          <w:strike w:val="0"/>
          <w:noProof w:val="0"/>
          <w:color w:val="000000"/>
          <w:position w:val="0"/>
          <w:sz w:val="20"/>
          <w:u w:val="none"/>
          <w:vertAlign w:val="baseline"/>
        </w:rPr>
        <w:t>veracity</w:t>
      </w:r>
      <w:r>
        <w:rPr>
          <w:rFonts w:ascii="arial" w:eastAsia="arial" w:hAnsi="arial" w:cs="arial"/>
          <w:b w:val="0"/>
          <w:i w:val="0"/>
          <w:strike w:val="0"/>
          <w:noProof w:val="0"/>
          <w:color w:val="000000"/>
          <w:position w:val="0"/>
          <w:sz w:val="20"/>
          <w:u w:val="none"/>
          <w:vertAlign w:val="baseline"/>
        </w:rPr>
        <w:t xml:space="preserve">.'" </w:t>
      </w:r>
      <w:bookmarkStart w:id="63" w:name="Bookmark_I69CYMV228T4850010000400"/>
      <w:bookmarkEnd w:id="63"/>
      <w:hyperlink r:id="rId27" w:history="1">
        <w:r>
          <w:rPr>
            <w:rFonts w:ascii="arial" w:eastAsia="arial" w:hAnsi="arial" w:cs="arial"/>
            <w:b w:val="0"/>
            <w:i/>
            <w:strike w:val="0"/>
            <w:noProof w:val="0"/>
            <w:color w:val="0077CC"/>
            <w:position w:val="0"/>
            <w:sz w:val="20"/>
            <w:u w:val="single"/>
            <w:vertAlign w:val="baseline"/>
          </w:rPr>
          <w:t>Brown</w:t>
        </w:r>
      </w:hyperlink>
      <w:hyperlink r:id="rId27" w:history="1">
        <w:r>
          <w:rPr>
            <w:rFonts w:ascii="arial" w:eastAsia="arial" w:hAnsi="arial" w:cs="arial"/>
            <w:b w:val="0"/>
            <w:i/>
            <w:strike w:val="0"/>
            <w:noProof w:val="0"/>
            <w:color w:val="0077CC"/>
            <w:position w:val="0"/>
            <w:sz w:val="20"/>
            <w:u w:val="single"/>
            <w:vertAlign w:val="baseline"/>
          </w:rPr>
          <w:t>, 606 F. Supp. 2d at 312</w:t>
        </w:r>
      </w:hyperlink>
      <w:r>
        <w:rPr>
          <w:rFonts w:ascii="arial" w:eastAsia="arial" w:hAnsi="arial" w:cs="arial"/>
          <w:b w:val="0"/>
          <w:i w:val="0"/>
          <w:strike w:val="0"/>
          <w:noProof w:val="0"/>
          <w:color w:val="000000"/>
          <w:position w:val="0"/>
          <w:sz w:val="20"/>
          <w:u w:val="none"/>
          <w:vertAlign w:val="baseline"/>
        </w:rPr>
        <w:t xml:space="preserve"> (alterations in original) (quoting </w:t>
      </w:r>
      <w:bookmarkStart w:id="64" w:name="Bookmark_I69CYMV228T4850030000400"/>
      <w:bookmarkEnd w:id="64"/>
      <w:hyperlink r:id="rId31" w:history="1">
        <w:r>
          <w:rPr>
            <w:rFonts w:ascii="arial" w:eastAsia="arial" w:hAnsi="arial" w:cs="arial"/>
            <w:b w:val="0"/>
            <w:i/>
            <w:strike w:val="0"/>
            <w:noProof w:val="0"/>
            <w:color w:val="0077CC"/>
            <w:position w:val="0"/>
            <w:sz w:val="20"/>
            <w:u w:val="single"/>
            <w:vertAlign w:val="baseline"/>
          </w:rPr>
          <w:t>United States v. Ortiz</w:t>
        </w:r>
      </w:hyperlink>
      <w:hyperlink r:id="rId31" w:history="1">
        <w:r>
          <w:rPr>
            <w:rFonts w:ascii="arial" w:eastAsia="arial" w:hAnsi="arial" w:cs="arial"/>
            <w:b w:val="0"/>
            <w:i/>
            <w:strike w:val="0"/>
            <w:noProof w:val="0"/>
            <w:color w:val="0077CC"/>
            <w:position w:val="0"/>
            <w:sz w:val="20"/>
            <w:u w:val="single"/>
            <w:vertAlign w:val="baseline"/>
          </w:rPr>
          <w:t>, 553 F.2d 782, 784 (2d Cir. 1977)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20"/>
      <w:bookmarkEnd w:id="65"/>
      <w:bookmarkStart w:id="66" w:name="Bookmark_I69CYMV228T4860010000400"/>
      <w:bookmarkEnd w:id="66"/>
      <w:r>
        <w:rPr>
          <w:rFonts w:ascii="arial" w:eastAsia="arial" w:hAnsi="arial" w:cs="arial"/>
          <w:b w:val="0"/>
          <w:i w:val="0"/>
          <w:strike w:val="0"/>
          <w:noProof w:val="0"/>
          <w:color w:val="000000"/>
          <w:position w:val="0"/>
          <w:sz w:val="20"/>
          <w:u w:val="none"/>
          <w:vertAlign w:val="baseline"/>
        </w:rPr>
        <w:t xml:space="preserve">Defendants do not seek to admit Plaintiff's larceny and criminal possession of a forged document convictions.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46 at 3-8. </w:t>
      </w:r>
      <w:bookmarkStart w:id="67" w:name="Bookmark_I69CYMV228T4860030000400"/>
      <w:bookmarkEnd w:id="67"/>
      <w:r>
        <w:rPr>
          <w:rFonts w:ascii="arial" w:eastAsia="arial" w:hAnsi="arial" w:cs="arial"/>
          <w:b w:val="0"/>
          <w:i w:val="0"/>
          <w:strike w:val="0"/>
          <w:noProof w:val="0"/>
          <w:color w:val="000000"/>
          <w:position w:val="0"/>
          <w:sz w:val="20"/>
          <w:u w:val="none"/>
          <w:vertAlign w:val="baseline"/>
        </w:rPr>
        <w:t xml:space="preserve">"The crime of larceny is a crime of theft which bears upon credibility[.]" </w:t>
      </w:r>
      <w:bookmarkStart w:id="68" w:name="Bookmark_I69CYMV228T4850050000400"/>
      <w:bookmarkEnd w:id="68"/>
      <w:hyperlink r:id="rId32" w:history="1">
        <w:r>
          <w:rPr>
            <w:rFonts w:ascii="arial" w:eastAsia="arial" w:hAnsi="arial" w:cs="arial"/>
            <w:b w:val="0"/>
            <w:i/>
            <w:strike w:val="0"/>
            <w:noProof w:val="0"/>
            <w:color w:val="0077CC"/>
            <w:position w:val="0"/>
            <w:sz w:val="20"/>
            <w:u w:val="single"/>
            <w:vertAlign w:val="baseline"/>
          </w:rPr>
          <w:t>Diggs v. Guynup</w:t>
        </w:r>
      </w:hyperlink>
      <w:hyperlink r:id="rId32" w:history="1">
        <w:r>
          <w:rPr>
            <w:rFonts w:ascii="arial" w:eastAsia="arial" w:hAnsi="arial" w:cs="arial"/>
            <w:b w:val="0"/>
            <w:i/>
            <w:strike w:val="0"/>
            <w:noProof w:val="0"/>
            <w:color w:val="0077CC"/>
            <w:position w:val="0"/>
            <w:sz w:val="20"/>
            <w:u w:val="single"/>
            <w:vertAlign w:val="baseline"/>
          </w:rPr>
          <w:t>, 621 F. Supp. 3d 315, 321 (N.D.N.Y. 2022)</w:t>
        </w:r>
      </w:hyperlink>
      <w:r>
        <w:rPr>
          <w:rFonts w:ascii="arial" w:eastAsia="arial" w:hAnsi="arial" w:cs="arial"/>
          <w:b w:val="0"/>
          <w:i w:val="0"/>
          <w:strike w:val="0"/>
          <w:noProof w:val="0"/>
          <w:color w:val="000000"/>
          <w:position w:val="0"/>
          <w:sz w:val="20"/>
          <w:u w:val="none"/>
          <w:vertAlign w:val="baseline"/>
        </w:rPr>
        <w:t xml:space="preserve"> (citation omitted). </w:t>
      </w:r>
      <w:bookmarkStart w:id="69" w:name="Bookmark_I69CYMV228T4860030000400_2"/>
      <w:bookmarkEnd w:id="69"/>
      <w:r>
        <w:rPr>
          <w:rFonts w:ascii="arial" w:eastAsia="arial" w:hAnsi="arial" w:cs="arial"/>
          <w:b w:val="0"/>
          <w:i w:val="0"/>
          <w:strike w:val="0"/>
          <w:noProof w:val="0"/>
          <w:color w:val="000000"/>
          <w:position w:val="0"/>
          <w:sz w:val="20"/>
          <w:u w:val="none"/>
          <w:vertAlign w:val="baseline"/>
        </w:rPr>
        <w:t xml:space="preserve">Similarly, as a conviction for forged documents concerns an act of deceit, it bears on Plaintiff's credibility. </w:t>
      </w:r>
      <w:r>
        <w:rPr>
          <w:rFonts w:ascii="arial" w:eastAsia="arial" w:hAnsi="arial" w:cs="arial"/>
          <w:b w:val="0"/>
          <w:i/>
          <w:strike w:val="0"/>
          <w:noProof w:val="0"/>
          <w:color w:val="000000"/>
          <w:position w:val="0"/>
          <w:sz w:val="20"/>
          <w:u w:val="none"/>
          <w:vertAlign w:val="baseline"/>
        </w:rPr>
        <w:t xml:space="preserve">See </w:t>
      </w:r>
      <w:bookmarkStart w:id="70" w:name="Bookmark_I69CYMV228T4860020000400"/>
      <w:bookmarkEnd w:id="70"/>
      <w:hyperlink r:id="rId28" w:history="1">
        <w:r>
          <w:rPr>
            <w:rFonts w:ascii="arial" w:eastAsia="arial" w:hAnsi="arial" w:cs="arial"/>
            <w:b w:val="0"/>
            <w:i/>
            <w:strike w:val="0"/>
            <w:noProof w:val="0"/>
            <w:color w:val="0077CC"/>
            <w:position w:val="0"/>
            <w:sz w:val="20"/>
            <w:u w:val="single"/>
            <w:vertAlign w:val="baseline"/>
          </w:rPr>
          <w:t>Estrada</w:t>
        </w:r>
      </w:hyperlink>
      <w:hyperlink r:id="rId28" w:history="1">
        <w:r>
          <w:rPr>
            <w:rFonts w:ascii="arial" w:eastAsia="arial" w:hAnsi="arial" w:cs="arial"/>
            <w:b w:val="0"/>
            <w:i/>
            <w:strike w:val="0"/>
            <w:noProof w:val="0"/>
            <w:color w:val="0077CC"/>
            <w:position w:val="0"/>
            <w:sz w:val="20"/>
            <w:u w:val="single"/>
            <w:vertAlign w:val="baseline"/>
          </w:rPr>
          <w:t>, 430 F.3d at 617</w:t>
        </w:r>
      </w:hyperlink>
      <w:r>
        <w:rPr>
          <w:rFonts w:ascii="arial" w:eastAsia="arial" w:hAnsi="arial" w:cs="arial"/>
          <w:b w:val="0"/>
          <w:i w:val="0"/>
          <w:strike w:val="0"/>
          <w:noProof w:val="0"/>
          <w:color w:val="000000"/>
          <w:position w:val="0"/>
          <w:sz w:val="20"/>
          <w:u w:val="none"/>
          <w:vertAlign w:val="baseline"/>
        </w:rPr>
        <w:t xml:space="preserve">. However, neither party provides the dates of those convictions.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Nos. 36, 46. As Defendants do not seek admission of the convictions and the Court is not aware of the dates of conviction, Plaintiff's motion is denied.</w:t>
      </w:r>
    </w:p>
    <w:p>
      <w:pPr>
        <w:keepNext w:val="0"/>
        <w:spacing w:before="200" w:after="0" w:line="260" w:lineRule="atLeast"/>
        <w:ind w:left="0" w:right="0" w:firstLine="0"/>
        <w:jc w:val="both"/>
      </w:pPr>
      <w:bookmarkStart w:id="71" w:name="Bookmark_para_21"/>
      <w:bookmarkEnd w:id="71"/>
      <w:r>
        <w:rPr>
          <w:rFonts w:ascii="arial" w:eastAsia="arial" w:hAnsi="arial" w:cs="arial"/>
          <w:b w:val="0"/>
          <w:i w:val="0"/>
          <w:strike w:val="0"/>
          <w:noProof w:val="0"/>
          <w:color w:val="000000"/>
          <w:position w:val="0"/>
          <w:sz w:val="20"/>
          <w:u w:val="none"/>
          <w:vertAlign w:val="baseline"/>
        </w:rPr>
        <w:t xml:space="preserve">Defendants seek to admit Plaintiff's 2019 conviction for promoting the sexual performance of a child. </w:t>
      </w:r>
      <w:bookmarkStart w:id="72" w:name="Bookmark_I69CYMV228T4860050000400"/>
      <w:bookmarkEnd w:id="7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46 at 3-8. </w:t>
      </w:r>
      <w:bookmarkStart w:id="73" w:name="Bookmark_I69CYMV32D6N490020000400"/>
      <w:bookmarkEnd w:id="73"/>
      <w:r>
        <w:rPr>
          <w:rFonts w:ascii="arial" w:eastAsia="arial" w:hAnsi="arial" w:cs="arial"/>
          <w:b w:val="0"/>
          <w:i w:val="0"/>
          <w:strike w:val="0"/>
          <w:noProof w:val="0"/>
          <w:color w:val="000000"/>
          <w:position w:val="0"/>
          <w:sz w:val="20"/>
          <w:u w:val="none"/>
          <w:vertAlign w:val="baseline"/>
        </w:rPr>
        <w:t xml:space="preserve">As to the first balancing factor, although </w:t>
      </w:r>
      <w:hyperlink r:id="rId23" w:history="1">
        <w:r>
          <w:rPr>
            <w:rFonts w:ascii="arial" w:eastAsia="arial" w:hAnsi="arial" w:cs="arial"/>
            <w:b w:val="0"/>
            <w:i/>
            <w:strike w:val="0"/>
            <w:noProof w:val="0"/>
            <w:color w:val="0077CC"/>
            <w:position w:val="0"/>
            <w:sz w:val="20"/>
            <w:u w:val="single"/>
            <w:vertAlign w:val="baseline"/>
          </w:rPr>
          <w:t>Rule 609(a)(1)</w:t>
        </w:r>
      </w:hyperlink>
      <w:r>
        <w:rPr>
          <w:rFonts w:ascii="arial" w:eastAsia="arial" w:hAnsi="arial" w:cs="arial"/>
          <w:b w:val="0"/>
          <w:i w:val="0"/>
          <w:strike w:val="0"/>
          <w:noProof w:val="0"/>
          <w:color w:val="000000"/>
          <w:position w:val="0"/>
          <w:sz w:val="20"/>
          <w:u w:val="none"/>
          <w:vertAlign w:val="baseline"/>
        </w:rPr>
        <w:t xml:space="preserve"> presumes that all felonies are at least somewhat probative of a witness' propensity to testify truthfully, all </w:t>
      </w:r>
      <w:hyperlink r:id="rId23" w:history="1">
        <w:r>
          <w:rPr>
            <w:rFonts w:ascii="arial" w:eastAsia="arial" w:hAnsi="arial" w:cs="arial"/>
            <w:b w:val="0"/>
            <w:i/>
            <w:strike w:val="0"/>
            <w:noProof w:val="0"/>
            <w:color w:val="0077CC"/>
            <w:position w:val="0"/>
            <w:sz w:val="20"/>
            <w:u w:val="single"/>
            <w:vertAlign w:val="baseline"/>
          </w:rPr>
          <w:t>Rule 609(a)(1)</w:t>
        </w:r>
      </w:hyperlink>
      <w:r>
        <w:rPr>
          <w:rFonts w:ascii="arial" w:eastAsia="arial" w:hAnsi="arial" w:cs="arial"/>
          <w:b w:val="0"/>
          <w:i w:val="0"/>
          <w:strike w:val="0"/>
          <w:noProof w:val="0"/>
          <w:color w:val="000000"/>
          <w:position w:val="0"/>
          <w:sz w:val="20"/>
          <w:u w:val="none"/>
          <w:vertAlign w:val="baseline"/>
        </w:rPr>
        <w:t xml:space="preserve"> felonies are not equally probative of credibility. </w:t>
      </w:r>
      <w:r>
        <w:rPr>
          <w:rFonts w:ascii="arial" w:eastAsia="arial" w:hAnsi="arial" w:cs="arial"/>
          <w:b w:val="0"/>
          <w:i/>
          <w:strike w:val="0"/>
          <w:noProof w:val="0"/>
          <w:color w:val="000000"/>
          <w:position w:val="0"/>
          <w:sz w:val="20"/>
          <w:u w:val="none"/>
          <w:vertAlign w:val="baseline"/>
        </w:rPr>
        <w:t xml:space="preserve">See </w:t>
      </w:r>
      <w:bookmarkStart w:id="74" w:name="Bookmark_I69CYMV228T4860040000400"/>
      <w:bookmarkEnd w:id="74"/>
      <w:hyperlink r:id="rId28" w:history="1">
        <w:r>
          <w:rPr>
            <w:rFonts w:ascii="arial" w:eastAsia="arial" w:hAnsi="arial" w:cs="arial"/>
            <w:b w:val="0"/>
            <w:i/>
            <w:strike w:val="0"/>
            <w:noProof w:val="0"/>
            <w:color w:val="0077CC"/>
            <w:position w:val="0"/>
            <w:sz w:val="20"/>
            <w:u w:val="single"/>
            <w:vertAlign w:val="baseline"/>
          </w:rPr>
          <w:t>Estrada</w:t>
        </w:r>
      </w:hyperlink>
      <w:hyperlink r:id="rId28" w:history="1">
        <w:r>
          <w:rPr>
            <w:rFonts w:ascii="arial" w:eastAsia="arial" w:hAnsi="arial" w:cs="arial"/>
            <w:b w:val="0"/>
            <w:i/>
            <w:strike w:val="0"/>
            <w:noProof w:val="0"/>
            <w:color w:val="0077CC"/>
            <w:position w:val="0"/>
            <w:sz w:val="20"/>
            <w:u w:val="single"/>
            <w:vertAlign w:val="baseline"/>
          </w:rPr>
          <w:t>, 430 F.3d at 617-18</w:t>
        </w:r>
      </w:hyperlink>
      <w:r>
        <w:rPr>
          <w:rFonts w:ascii="arial" w:eastAsia="arial" w:hAnsi="arial" w:cs="arial"/>
          <w:b w:val="0"/>
          <w:i w:val="0"/>
          <w:strike w:val="0"/>
          <w:noProof w:val="0"/>
          <w:color w:val="000000"/>
          <w:position w:val="0"/>
          <w:sz w:val="20"/>
          <w:u w:val="none"/>
          <w:vertAlign w:val="baseline"/>
        </w:rPr>
        <w:t xml:space="preserve">. </w:t>
      </w:r>
      <w:bookmarkStart w:id="75" w:name="Bookmark_I69CYMV32D6N490020000400_2"/>
      <w:bookmarkEnd w:id="75"/>
      <w:r>
        <w:rPr>
          <w:rFonts w:ascii="arial" w:eastAsia="arial" w:hAnsi="arial" w:cs="arial"/>
          <w:b w:val="0"/>
          <w:i w:val="0"/>
          <w:strike w:val="0"/>
          <w:noProof w:val="0"/>
          <w:color w:val="000000"/>
          <w:position w:val="0"/>
          <w:sz w:val="20"/>
          <w:u w:val="none"/>
          <w:vertAlign w:val="baseline"/>
        </w:rPr>
        <w:t xml:space="preserve">"[C]rimes of violence" rank low "on the scale of probative worth on credibility[.]" </w:t>
      </w:r>
      <w:bookmarkStart w:id="76" w:name="Bookmark_I69CYMV32D6N490010000400"/>
      <w:bookmarkEnd w:id="76"/>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618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7" w:name="Bookmark_I69CYMV32D6N490030000400"/>
      <w:bookmarkEnd w:id="77"/>
      <w:hyperlink r:id="rId33" w:history="1">
        <w:r>
          <w:rPr>
            <w:rFonts w:ascii="arial" w:eastAsia="arial" w:hAnsi="arial" w:cs="arial"/>
            <w:b w:val="0"/>
            <w:i/>
            <w:strike w:val="0"/>
            <w:noProof w:val="0"/>
            <w:color w:val="0077CC"/>
            <w:position w:val="0"/>
            <w:sz w:val="20"/>
            <w:u w:val="single"/>
            <w:vertAlign w:val="baseline"/>
          </w:rPr>
          <w:t>Thomas v. Leifeld</w:t>
        </w:r>
      </w:hyperlink>
      <w:hyperlink r:id="rId33" w:history="1">
        <w:r>
          <w:rPr>
            <w:rFonts w:ascii="arial" w:eastAsia="arial" w:hAnsi="arial" w:cs="arial"/>
            <w:b w:val="0"/>
            <w:i/>
            <w:strike w:val="0"/>
            <w:noProof w:val="0"/>
            <w:color w:val="0077CC"/>
            <w:position w:val="0"/>
            <w:sz w:val="20"/>
            <w:u w:val="single"/>
            <w:vertAlign w:val="baseline"/>
          </w:rPr>
          <w:t>, No. 9:13-CV-321, 2018 U.S. Dist. LEXIS 116008, 2018 WL 3387690, *2 (N.D.N.Y. July 12, 2018)</w:t>
        </w:r>
      </w:hyperlink>
      <w:r>
        <w:rPr>
          <w:rFonts w:ascii="arial" w:eastAsia="arial" w:hAnsi="arial" w:cs="arial"/>
          <w:b w:val="0"/>
          <w:i w:val="0"/>
          <w:strike w:val="0"/>
          <w:noProof w:val="0"/>
          <w:color w:val="000000"/>
          <w:position w:val="0"/>
          <w:sz w:val="20"/>
          <w:u w:val="none"/>
          <w:vertAlign w:val="baseline"/>
        </w:rPr>
        <w:t xml:space="preserve"> ("[The p]laintiff's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convictions for Rape in the First Degree, Attempted Rape in the First Degree, Sexual Abuse in the First Degree, Sexual Abuse in the Second Degree, and Assault in the Second Degree are not particularly probative as to honesty and veracity."). "[C]rimes that involve evasions of responsibility or abuse of trust, a category that includes . . . even sexual abuse of children in [the witness's] care," tend to be "high on the scale" of "veracity-related crimes[.]"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Plaintiff's 2019 conviction falls more on the side of an evasion of trust or responsibility-related crime than a violent or assaultive crime. Thus, the conviction is probative of his credibility. Moreover, Plaintiff alleges that this conviction was part of Defendant Shurgot's motivation for assaulting him.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10 at 3-4. As such, this evidence is directly relevant to Plaintiff's claims.</w:t>
      </w:r>
    </w:p>
    <w:p>
      <w:pPr>
        <w:keepNext w:val="0"/>
        <w:spacing w:before="200" w:after="0" w:line="260" w:lineRule="atLeast"/>
        <w:ind w:left="0" w:right="0" w:firstLine="0"/>
        <w:jc w:val="both"/>
      </w:pPr>
      <w:bookmarkStart w:id="78" w:name="Bookmark_para_22"/>
      <w:bookmarkEnd w:id="78"/>
      <w:r>
        <w:rPr>
          <w:rFonts w:ascii="arial" w:eastAsia="arial" w:hAnsi="arial" w:cs="arial"/>
          <w:b w:val="0"/>
          <w:i w:val="0"/>
          <w:strike w:val="0"/>
          <w:noProof w:val="0"/>
          <w:color w:val="000000"/>
          <w:position w:val="0"/>
          <w:sz w:val="20"/>
          <w:u w:val="none"/>
          <w:vertAlign w:val="baseline"/>
        </w:rPr>
        <w:t xml:space="preserve">As to the second factor, Plaintiff was convicted in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46-1 at 5. As the conviction is recent, this factor weighs in favor of admission.</w:t>
      </w:r>
    </w:p>
    <w:p>
      <w:pPr>
        <w:keepNext w:val="0"/>
        <w:spacing w:before="240" w:after="0" w:line="260" w:lineRule="atLeast"/>
        <w:ind w:left="0" w:right="0" w:firstLine="0"/>
        <w:jc w:val="both"/>
      </w:pPr>
      <w:bookmarkStart w:id="79" w:name="Bookmark_para_23"/>
      <w:bookmarkEnd w:id="79"/>
      <w:bookmarkStart w:id="80" w:name="Bookmark_I69CYMV32D6N4C0010000400"/>
      <w:bookmarkEnd w:id="80"/>
      <w:bookmarkStart w:id="81" w:name="Bookmark_I69CYMV32D6N4C0030000400"/>
      <w:bookmarkEnd w:id="81"/>
      <w:r>
        <w:rPr>
          <w:rFonts w:ascii="arial" w:eastAsia="arial" w:hAnsi="arial" w:cs="arial"/>
          <w:b w:val="0"/>
          <w:i w:val="0"/>
          <w:strike w:val="0"/>
          <w:noProof w:val="0"/>
          <w:color w:val="000000"/>
          <w:position w:val="0"/>
          <w:sz w:val="20"/>
          <w:u w:val="none"/>
          <w:vertAlign w:val="baseline"/>
        </w:rPr>
        <w:t>"The third criterion, similarity of the crimes, deals with the similarity of the charged crimes, or the incident at issue in the pending case, to the conviction. The less similar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pending case to the prior conviction, the less prejudicial its admission is." </w:t>
      </w:r>
      <w:bookmarkStart w:id="82" w:name="Bookmark_I69CYMV32D6N490050000400"/>
      <w:bookmarkEnd w:id="82"/>
      <w:hyperlink r:id="rId34" w:history="1">
        <w:r>
          <w:rPr>
            <w:rFonts w:ascii="arial" w:eastAsia="arial" w:hAnsi="arial" w:cs="arial"/>
            <w:b w:val="0"/>
            <w:i/>
            <w:strike w:val="0"/>
            <w:noProof w:val="0"/>
            <w:color w:val="0077CC"/>
            <w:position w:val="0"/>
            <w:sz w:val="20"/>
            <w:u w:val="single"/>
            <w:vertAlign w:val="baseline"/>
          </w:rPr>
          <w:t>Somerville v. Saunders</w:t>
        </w:r>
      </w:hyperlink>
      <w:hyperlink r:id="rId34" w:history="1">
        <w:r>
          <w:rPr>
            <w:rFonts w:ascii="arial" w:eastAsia="arial" w:hAnsi="arial" w:cs="arial"/>
            <w:b w:val="0"/>
            <w:i/>
            <w:strike w:val="0"/>
            <w:noProof w:val="0"/>
            <w:color w:val="0077CC"/>
            <w:position w:val="0"/>
            <w:sz w:val="20"/>
            <w:u w:val="single"/>
            <w:vertAlign w:val="baseline"/>
          </w:rPr>
          <w:t>, No. 9:11-CV-556, 2014 U.S. Dist. LEXIS 8788, 2014 WL 272415, *9 (N.D.N.Y. Jan. 24, 2014)</w:t>
        </w:r>
      </w:hyperlink>
      <w:r>
        <w:rPr>
          <w:rFonts w:ascii="arial" w:eastAsia="arial" w:hAnsi="arial" w:cs="arial"/>
          <w:b w:val="0"/>
          <w:i w:val="0"/>
          <w:strike w:val="0"/>
          <w:noProof w:val="0"/>
          <w:color w:val="000000"/>
          <w:position w:val="0"/>
          <w:sz w:val="20"/>
          <w:u w:val="none"/>
          <w:vertAlign w:val="baseline"/>
        </w:rPr>
        <w:t xml:space="preserve"> (citation and quotation marks omitted). "On the other hand, a conviction for a crime that bears a close resemblance to actions alleged in the current case might cause 'unfair prejudice to the party against whom they are offered by suggesting that the party has a propensity to commit such 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83" w:name="Bookmark_I69CYMV32D6N4C0020000400"/>
      <w:bookmarkEnd w:id="83"/>
      <w:hyperlink r:id="rId35" w:history="1">
        <w:r>
          <w:rPr>
            <w:rFonts w:ascii="arial" w:eastAsia="arial" w:hAnsi="arial" w:cs="arial"/>
            <w:b w:val="0"/>
            <w:i/>
            <w:strike w:val="0"/>
            <w:noProof w:val="0"/>
            <w:color w:val="0077CC"/>
            <w:position w:val="0"/>
            <w:sz w:val="20"/>
            <w:u w:val="single"/>
            <w:vertAlign w:val="baseline"/>
          </w:rPr>
          <w:t>Lewis v. Velez</w:t>
        </w:r>
      </w:hyperlink>
      <w:hyperlink r:id="rId35" w:history="1">
        <w:r>
          <w:rPr>
            <w:rFonts w:ascii="arial" w:eastAsia="arial" w:hAnsi="arial" w:cs="arial"/>
            <w:b w:val="0"/>
            <w:i/>
            <w:strike w:val="0"/>
            <w:noProof w:val="0"/>
            <w:color w:val="0077CC"/>
            <w:position w:val="0"/>
            <w:sz w:val="20"/>
            <w:u w:val="single"/>
            <w:vertAlign w:val="baseline"/>
          </w:rPr>
          <w:t>, 149 F.R.D. 474, 483 (S.D.N.Y. 1993)</w:t>
        </w:r>
      </w:hyperlink>
      <w:r>
        <w:rPr>
          <w:rFonts w:ascii="arial" w:eastAsia="arial" w:hAnsi="arial" w:cs="arial"/>
          <w:b w:val="0"/>
          <w:i w:val="0"/>
          <w:strike w:val="0"/>
          <w:noProof w:val="0"/>
          <w:color w:val="000000"/>
          <w:position w:val="0"/>
          <w:sz w:val="20"/>
          <w:u w:val="none"/>
          <w:vertAlign w:val="baseline"/>
        </w:rPr>
        <w:t>). Here, there is no similarity between Plaintiff's conviction and the conduct at issue in this trial. As such, this factor weighs in favor of admission.</w:t>
      </w:r>
    </w:p>
    <w:p>
      <w:pPr>
        <w:keepNext w:val="0"/>
        <w:spacing w:before="240" w:after="0" w:line="260" w:lineRule="atLeast"/>
        <w:ind w:left="0" w:right="0" w:firstLine="0"/>
        <w:jc w:val="both"/>
      </w:pPr>
      <w:bookmarkStart w:id="84" w:name="Bookmark_para_24"/>
      <w:bookmarkEnd w:id="84"/>
      <w:bookmarkStart w:id="85" w:name="Bookmark_I69CYMV32D6N4C0050000400"/>
      <w:bookmarkEnd w:id="85"/>
      <w:r>
        <w:rPr>
          <w:rFonts w:ascii="arial" w:eastAsia="arial" w:hAnsi="arial" w:cs="arial"/>
          <w:b w:val="0"/>
          <w:i w:val="0"/>
          <w:strike w:val="0"/>
          <w:noProof w:val="0"/>
          <w:color w:val="000000"/>
          <w:position w:val="0"/>
          <w:sz w:val="20"/>
          <w:u w:val="none"/>
          <w:vertAlign w:val="baseline"/>
        </w:rPr>
        <w:t xml:space="preserve">Finally, it is undisputed that Plaintiff's credibility is a central issue in this case. "[W]here the credibility of a given witness is particularly important because there is little other documentary or supporting evidence and 'success at trial probably hinges entirely on [the witness's] credibility with the jury,' the fourth factor weighs in favor of admission of the prior conviction." </w:t>
      </w:r>
      <w:bookmarkStart w:id="86" w:name="Bookmark_I69CYMV32D6N4C0040000400"/>
      <w:bookmarkEnd w:id="86"/>
      <w:hyperlink r:id="rId34" w:history="1">
        <w:r>
          <w:rPr>
            <w:rFonts w:ascii="arial" w:eastAsia="arial" w:hAnsi="arial" w:cs="arial"/>
            <w:b w:val="0"/>
            <w:i/>
            <w:strike w:val="0"/>
            <w:noProof w:val="0"/>
            <w:color w:val="0077CC"/>
            <w:position w:val="0"/>
            <w:sz w:val="20"/>
            <w:u w:val="single"/>
            <w:vertAlign w:val="baseline"/>
          </w:rPr>
          <w:t>Somerville</w:t>
        </w:r>
      </w:hyperlink>
      <w:hyperlink r:id="rId34" w:history="1">
        <w:r>
          <w:rPr>
            <w:rFonts w:ascii="arial" w:eastAsia="arial" w:hAnsi="arial" w:cs="arial"/>
            <w:b w:val="0"/>
            <w:i/>
            <w:strike w:val="0"/>
            <w:noProof w:val="0"/>
            <w:color w:val="0077CC"/>
            <w:position w:val="0"/>
            <w:sz w:val="20"/>
            <w:u w:val="single"/>
            <w:vertAlign w:val="baseline"/>
          </w:rPr>
          <w:t>, 2014 U.S. Dist. LEXIS 8788, 2014 WL 272415, at *9</w:t>
        </w:r>
      </w:hyperlink>
      <w:r>
        <w:rPr>
          <w:rFonts w:ascii="arial" w:eastAsia="arial" w:hAnsi="arial" w:cs="arial"/>
          <w:b w:val="0"/>
          <w:i w:val="0"/>
          <w:strike w:val="0"/>
          <w:noProof w:val="0"/>
          <w:color w:val="000000"/>
          <w:position w:val="0"/>
          <w:sz w:val="20"/>
          <w:u w:val="none"/>
          <w:vertAlign w:val="baseline"/>
        </w:rPr>
        <w:t xml:space="preserve"> (quoting </w:t>
      </w:r>
      <w:bookmarkStart w:id="87" w:name="Bookmark_I69CYMV32SF8HP0010000400"/>
      <w:bookmarkEnd w:id="87"/>
      <w:hyperlink r:id="rId36" w:history="1">
        <w:r>
          <w:rPr>
            <w:rFonts w:ascii="arial" w:eastAsia="arial" w:hAnsi="arial" w:cs="arial"/>
            <w:b w:val="0"/>
            <w:i/>
            <w:strike w:val="0"/>
            <w:noProof w:val="0"/>
            <w:color w:val="0077CC"/>
            <w:position w:val="0"/>
            <w:sz w:val="20"/>
            <w:u w:val="single"/>
            <w:vertAlign w:val="baseline"/>
          </w:rPr>
          <w:t>Jean-Laurent v. Hennessy</w:t>
        </w:r>
      </w:hyperlink>
      <w:hyperlink r:id="rId36" w:history="1">
        <w:r>
          <w:rPr>
            <w:rFonts w:ascii="arial" w:eastAsia="arial" w:hAnsi="arial" w:cs="arial"/>
            <w:b w:val="0"/>
            <w:i/>
            <w:strike w:val="0"/>
            <w:noProof w:val="0"/>
            <w:color w:val="0077CC"/>
            <w:position w:val="0"/>
            <w:sz w:val="20"/>
            <w:u w:val="single"/>
            <w:vertAlign w:val="baseline"/>
          </w:rPr>
          <w:t>, 840 F. Supp. 2d 529, 544 (E.D.N.Y. 2011)</w:t>
        </w:r>
      </w:hyperlink>
      <w:r>
        <w:rPr>
          <w:rFonts w:ascii="arial" w:eastAsia="arial" w:hAnsi="arial" w:cs="arial"/>
          <w:b w:val="0"/>
          <w:i w:val="0"/>
          <w:strike w:val="0"/>
          <w:noProof w:val="0"/>
          <w:color w:val="000000"/>
          <w:position w:val="0"/>
          <w:sz w:val="20"/>
          <w:u w:val="none"/>
          <w:vertAlign w:val="baseline"/>
        </w:rPr>
        <w:t xml:space="preserve">). Therefore, this factor weighs in favor of admitting the 2019 conviction for impeachment purposes pursuant to </w:t>
      </w:r>
      <w:hyperlink r:id="rId23" w:history="1">
        <w:r>
          <w:rPr>
            <w:rFonts w:ascii="arial" w:eastAsia="arial" w:hAnsi="arial" w:cs="arial"/>
            <w:b w:val="0"/>
            <w:i/>
            <w:strike w:val="0"/>
            <w:noProof w:val="0"/>
            <w:color w:val="0077CC"/>
            <w:position w:val="0"/>
            <w:sz w:val="20"/>
            <w:u w:val="single"/>
            <w:vertAlign w:val="baseline"/>
          </w:rPr>
          <w:t>Rule 609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25"/>
      <w:bookmarkEnd w:id="88"/>
      <w:r>
        <w:rPr>
          <w:rFonts w:ascii="arial" w:eastAsia="arial" w:hAnsi="arial" w:cs="arial"/>
          <w:b w:val="0"/>
          <w:i w:val="0"/>
          <w:strike w:val="0"/>
          <w:noProof w:val="0"/>
          <w:color w:val="000000"/>
          <w:position w:val="0"/>
          <w:sz w:val="20"/>
          <w:u w:val="none"/>
          <w:vertAlign w:val="baseline"/>
        </w:rPr>
        <w:t xml:space="preserve">In addition to the factors discussed above, the Court must also consider the standard </w:t>
      </w:r>
      <w:hyperlink r:id="rId18"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factors: "unfair prejudice, confusing the issues, misleading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jury, undue delay, wasting time, or needlessly presenting cumulative evidence." </w:t>
      </w:r>
      <w:hyperlink r:id="rId18" w:history="1">
        <w:r>
          <w:rPr>
            <w:rFonts w:ascii="arial" w:eastAsia="arial" w:hAnsi="arial" w:cs="arial"/>
            <w:b w:val="0"/>
            <w:i/>
            <w:strike w:val="0"/>
            <w:noProof w:val="0"/>
            <w:color w:val="0077CC"/>
            <w:position w:val="0"/>
            <w:sz w:val="20"/>
            <w:u w:val="single"/>
            <w:vertAlign w:val="baseline"/>
          </w:rPr>
          <w:t>Fed. R. Evid.</w:t>
        </w:r>
      </w:hyperlink>
      <w:hyperlink r:id="rId18" w:history="1">
        <w:r>
          <w:rPr>
            <w:rFonts w:ascii="arial" w:eastAsia="arial" w:hAnsi="arial" w:cs="arial"/>
            <w:b w:val="0"/>
            <w:i/>
            <w:strike w:val="0"/>
            <w:noProof w:val="0"/>
            <w:color w:val="0077CC"/>
            <w:position w:val="0"/>
            <w:sz w:val="20"/>
            <w:u w:val="single"/>
            <w:vertAlign w:val="baseline"/>
          </w:rPr>
          <w:t xml:space="preserve"> 403</w:t>
        </w:r>
      </w:hyperlink>
      <w:r>
        <w:rPr>
          <w:rFonts w:ascii="arial" w:eastAsia="arial" w:hAnsi="arial" w:cs="arial"/>
          <w:b w:val="0"/>
          <w:i w:val="0"/>
          <w:strike w:val="0"/>
          <w:noProof w:val="0"/>
          <w:color w:val="000000"/>
          <w:position w:val="0"/>
          <w:sz w:val="20"/>
          <w:u w:val="none"/>
          <w:vertAlign w:val="baseline"/>
        </w:rPr>
        <w:t>. Here, these factors also weigh in favor of permitting Defendants to question Plaintiff regarding the statutory name and date of his 2019 conviction. Limiting the evidence to the statutory name and date of conviction reduces any risk of unfair prejudice.</w:t>
      </w:r>
    </w:p>
    <w:p>
      <w:pPr>
        <w:keepNext w:val="0"/>
        <w:spacing w:before="200" w:after="0" w:line="260" w:lineRule="atLeast"/>
        <w:ind w:left="0" w:right="0" w:firstLine="0"/>
        <w:jc w:val="both"/>
      </w:pPr>
      <w:bookmarkStart w:id="89" w:name="Bookmark_para_26"/>
      <w:bookmarkEnd w:id="89"/>
      <w:bookmarkStart w:id="90" w:name="Bookmark_I69CYMV32SF8HP0040000400"/>
      <w:bookmarkEnd w:id="90"/>
      <w:r>
        <w:rPr>
          <w:rFonts w:ascii="arial" w:eastAsia="arial" w:hAnsi="arial" w:cs="arial"/>
          <w:b w:val="0"/>
          <w:i w:val="0"/>
          <w:strike w:val="0"/>
          <w:noProof w:val="0"/>
          <w:color w:val="000000"/>
          <w:position w:val="0"/>
          <w:sz w:val="20"/>
          <w:u w:val="none"/>
          <w:vertAlign w:val="baseline"/>
        </w:rPr>
        <w:t xml:space="preserve">Based on the foregoing considerations, the Court finds that the probative value of the name and date of Plaintiff's 2019 felony conviction outweigh the prejudicial effect of this evidence. </w:t>
      </w:r>
      <w:bookmarkStart w:id="91" w:name="Bookmark_I69CYMV32SF8HS0010000400"/>
      <w:bookmarkEnd w:id="91"/>
      <w:r>
        <w:rPr>
          <w:rFonts w:ascii="arial" w:eastAsia="arial" w:hAnsi="arial" w:cs="arial"/>
          <w:b w:val="0"/>
          <w:i/>
          <w:strike w:val="0"/>
          <w:noProof w:val="0"/>
          <w:color w:val="000000"/>
          <w:position w:val="0"/>
          <w:sz w:val="20"/>
          <w:u w:val="none"/>
          <w:vertAlign w:val="baseline"/>
        </w:rPr>
        <w:t xml:space="preserve">See </w:t>
      </w:r>
      <w:bookmarkStart w:id="92" w:name="Bookmark_I69CYMV32SF8HP0030000400"/>
      <w:bookmarkEnd w:id="92"/>
      <w:hyperlink r:id="rId37" w:history="1">
        <w:r>
          <w:rPr>
            <w:rFonts w:ascii="arial" w:eastAsia="arial" w:hAnsi="arial" w:cs="arial"/>
            <w:b w:val="0"/>
            <w:i/>
            <w:strike w:val="0"/>
            <w:noProof w:val="0"/>
            <w:color w:val="0077CC"/>
            <w:position w:val="0"/>
            <w:sz w:val="20"/>
            <w:u w:val="single"/>
            <w:vertAlign w:val="baseline"/>
          </w:rPr>
          <w:t>Young v. Calhoun</w:t>
        </w:r>
      </w:hyperlink>
      <w:hyperlink r:id="rId37" w:history="1">
        <w:r>
          <w:rPr>
            <w:rFonts w:ascii="arial" w:eastAsia="arial" w:hAnsi="arial" w:cs="arial"/>
            <w:b w:val="0"/>
            <w:i/>
            <w:strike w:val="0"/>
            <w:noProof w:val="0"/>
            <w:color w:val="0077CC"/>
            <w:position w:val="0"/>
            <w:sz w:val="20"/>
            <w:u w:val="single"/>
            <w:vertAlign w:val="baseline"/>
          </w:rPr>
          <w:t>, No. 85-CV-7584, 1995 U.S. Dist. LEXIS 4555, 1995 WL 169020, *4 (S.D.N.Y. Apr. 10, 1995)</w:t>
        </w:r>
      </w:hyperlink>
      <w:r>
        <w:rPr>
          <w:rFonts w:ascii="arial" w:eastAsia="arial" w:hAnsi="arial" w:cs="arial"/>
          <w:b w:val="0"/>
          <w:i w:val="0"/>
          <w:strike w:val="0"/>
          <w:noProof w:val="0"/>
          <w:color w:val="000000"/>
          <w:position w:val="0"/>
          <w:sz w:val="20"/>
          <w:u w:val="none"/>
          <w:vertAlign w:val="baseline"/>
        </w:rPr>
        <w:t xml:space="preserve"> ("As plaintiff's complaint concerns events that occurred during his incarceration [ ], the jury will be informed that plaintiff has been convicted of a crime by the very nature of the case"). However, the probative value of the facts of the underlying conviction is substantially outweighed by the danger of unfair prejudice. </w:t>
      </w:r>
      <w:bookmarkStart w:id="93" w:name="Bookmark_I69CYMV32SF8HS0010000400_2"/>
      <w:bookmarkEnd w:id="93"/>
      <w:r>
        <w:rPr>
          <w:rFonts w:ascii="arial" w:eastAsia="arial" w:hAnsi="arial" w:cs="arial"/>
          <w:b w:val="0"/>
          <w:i/>
          <w:strike w:val="0"/>
          <w:noProof w:val="0"/>
          <w:color w:val="000000"/>
          <w:position w:val="0"/>
          <w:sz w:val="20"/>
          <w:u w:val="none"/>
          <w:vertAlign w:val="baseline"/>
        </w:rPr>
        <w:t xml:space="preserve">See </w:t>
      </w:r>
      <w:bookmarkStart w:id="94" w:name="Bookmark_I69CYMV32SF8HP0050000400"/>
      <w:bookmarkEnd w:id="94"/>
      <w:hyperlink r:id="rId27" w:history="1">
        <w:r>
          <w:rPr>
            <w:rFonts w:ascii="arial" w:eastAsia="arial" w:hAnsi="arial" w:cs="arial"/>
            <w:b w:val="0"/>
            <w:i/>
            <w:strike w:val="0"/>
            <w:noProof w:val="0"/>
            <w:color w:val="0077CC"/>
            <w:position w:val="0"/>
            <w:sz w:val="20"/>
            <w:u w:val="single"/>
            <w:vertAlign w:val="baseline"/>
          </w:rPr>
          <w:t>Brown</w:t>
        </w:r>
      </w:hyperlink>
      <w:hyperlink r:id="rId27" w:history="1">
        <w:r>
          <w:rPr>
            <w:rFonts w:ascii="arial" w:eastAsia="arial" w:hAnsi="arial" w:cs="arial"/>
            <w:b w:val="0"/>
            <w:i/>
            <w:strike w:val="0"/>
            <w:noProof w:val="0"/>
            <w:color w:val="0077CC"/>
            <w:position w:val="0"/>
            <w:sz w:val="20"/>
            <w:u w:val="single"/>
            <w:vertAlign w:val="baseline"/>
          </w:rPr>
          <w:t>, 606 F. Supp. 2d at 312</w:t>
        </w:r>
      </w:hyperlink>
      <w:r>
        <w:rPr>
          <w:rFonts w:ascii="arial" w:eastAsia="arial" w:hAnsi="arial" w:cs="arial"/>
          <w:b w:val="0"/>
          <w:i w:val="0"/>
          <w:strike w:val="0"/>
          <w:noProof w:val="0"/>
          <w:color w:val="000000"/>
          <w:position w:val="0"/>
          <w:sz w:val="20"/>
          <w:u w:val="none"/>
          <w:vertAlign w:val="baseline"/>
        </w:rPr>
        <w:t xml:space="preserve"> ("In the Second Circuit, it is within the discretion of the district courts to further limit the evidence of the prior conviction to exclude the nature or statutory name of the offense"). Of course, if Plaintiff opens the door on this issue by attempting to bolster his own credibility or raising the issue of his underlying conviction,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Defendants will be permitted to cross-examine him on the relevant details of the conviction. Based on the foregoing, this aspect of Plaintiff's and Defendants'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is granted in part and denied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none"/>
          <w:vertAlign w:val="baseline"/>
        </w:rPr>
        <w:t>Plaintiff's Disciplinary History; and Defendants' Disciplinary Histories, Personnel Files, and Grievances</w:t>
      </w:r>
    </w:p>
    <w:p>
      <w:pPr>
        <w:keepNext w:val="0"/>
        <w:spacing w:before="200" w:after="0" w:line="260" w:lineRule="atLeast"/>
        <w:ind w:left="0" w:right="0" w:firstLine="0"/>
        <w:jc w:val="both"/>
      </w:pPr>
      <w:bookmarkStart w:id="95" w:name="Bookmark_para_27"/>
      <w:bookmarkEnd w:id="95"/>
      <w:r>
        <w:rPr>
          <w:rFonts w:ascii="arial" w:eastAsia="arial" w:hAnsi="arial" w:cs="arial"/>
          <w:b w:val="0"/>
          <w:i w:val="0"/>
          <w:strike w:val="0"/>
          <w:noProof w:val="0"/>
          <w:color w:val="000000"/>
          <w:position w:val="0"/>
          <w:sz w:val="20"/>
          <w:u w:val="none"/>
          <w:vertAlign w:val="baseline"/>
        </w:rPr>
        <w:t xml:space="preserve">Plaintiff and Defendants seek to preclude evidence of their respective disciplinary histories.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36-1 at 5; Dkt. No. 46 at 10-11. Defendants also seek to preclude evidence of their personnel files and grievances filed against them by non-party incarcerated individuals.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46 at 10-11.</w:t>
      </w:r>
    </w:p>
    <w:p>
      <w:pPr>
        <w:keepNext w:val="0"/>
        <w:spacing w:before="240" w:after="0" w:line="260" w:lineRule="atLeast"/>
        <w:ind w:left="0" w:right="0" w:firstLine="0"/>
        <w:jc w:val="both"/>
      </w:pPr>
      <w:bookmarkStart w:id="96" w:name="Bookmark_para_28"/>
      <w:bookmarkEnd w:id="96"/>
      <w:bookmarkStart w:id="97" w:name="Bookmark_I69CYMV32SF8HS0030000400"/>
      <w:bookmarkEnd w:id="97"/>
      <w:hyperlink r:id="rId38" w:history="1">
        <w:r>
          <w:rPr>
            <w:rFonts w:ascii="arial" w:eastAsia="arial" w:hAnsi="arial" w:cs="arial"/>
            <w:b w:val="0"/>
            <w:i/>
            <w:strike w:val="0"/>
            <w:color w:val="0077CC"/>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provides that "[e]vidence of any other crime, wrong, or act is not admissible to prove a person's character in order to show that on a particular occasion the person acted in accordance with the character." </w:t>
      </w:r>
      <w:hyperlink r:id="rId38" w:history="1">
        <w:r>
          <w:rPr>
            <w:rFonts w:ascii="arial" w:eastAsia="arial" w:hAnsi="arial" w:cs="arial"/>
            <w:b w:val="0"/>
            <w:i/>
            <w:strike w:val="0"/>
            <w:noProof w:val="0"/>
            <w:color w:val="0077CC"/>
            <w:position w:val="0"/>
            <w:sz w:val="20"/>
            <w:u w:val="single"/>
            <w:vertAlign w:val="baseline"/>
          </w:rPr>
          <w:t>Fed. R. Evid.</w:t>
        </w:r>
      </w:hyperlink>
      <w:hyperlink r:id="rId38" w:history="1">
        <w:r>
          <w:rPr>
            <w:rFonts w:ascii="arial" w:eastAsia="arial" w:hAnsi="arial" w:cs="arial"/>
            <w:b w:val="0"/>
            <w:i/>
            <w:strike w:val="0"/>
            <w:noProof w:val="0"/>
            <w:color w:val="0077CC"/>
            <w:position w:val="0"/>
            <w:sz w:val="20"/>
            <w:u w:val="single"/>
            <w:vertAlign w:val="baseline"/>
          </w:rPr>
          <w:t xml:space="preserve"> 404(b)(1)</w:t>
        </w:r>
      </w:hyperlink>
      <w:r>
        <w:rPr>
          <w:rFonts w:ascii="arial" w:eastAsia="arial" w:hAnsi="arial" w:cs="arial"/>
          <w:b w:val="0"/>
          <w:i w:val="0"/>
          <w:strike w:val="0"/>
          <w:noProof w:val="0"/>
          <w:color w:val="000000"/>
          <w:position w:val="0"/>
          <w:sz w:val="20"/>
          <w:u w:val="none"/>
          <w:vertAlign w:val="baseline"/>
        </w:rPr>
        <w:t xml:space="preserve">. The Rule "prohibits the introduction of character evidence to show that an individual has a certain predisposition, and acted consistently with such predisposition during the event in question." </w:t>
      </w:r>
      <w:bookmarkStart w:id="98" w:name="Bookmark_I69CYMV32SF8HS0020000400"/>
      <w:bookmarkEnd w:id="98"/>
      <w:hyperlink r:id="rId39" w:history="1">
        <w:r>
          <w:rPr>
            <w:rFonts w:ascii="arial" w:eastAsia="arial" w:hAnsi="arial" w:cs="arial"/>
            <w:b w:val="0"/>
            <w:i/>
            <w:strike w:val="0"/>
            <w:noProof w:val="0"/>
            <w:color w:val="0077CC"/>
            <w:position w:val="0"/>
            <w:sz w:val="20"/>
            <w:u w:val="single"/>
            <w:vertAlign w:val="baseline"/>
          </w:rPr>
          <w:t>Starmel v. James</w:t>
        </w:r>
      </w:hyperlink>
      <w:hyperlink r:id="rId39" w:history="1">
        <w:r>
          <w:rPr>
            <w:rFonts w:ascii="arial" w:eastAsia="arial" w:hAnsi="arial" w:cs="arial"/>
            <w:b w:val="0"/>
            <w:i/>
            <w:strike w:val="0"/>
            <w:noProof w:val="0"/>
            <w:color w:val="0077CC"/>
            <w:position w:val="0"/>
            <w:sz w:val="20"/>
            <w:u w:val="single"/>
            <w:vertAlign w:val="baseline"/>
          </w:rPr>
          <w:t>, 634 F. Supp. 3d 41, 46 (N.D.N.Y. 2022)</w:t>
        </w:r>
      </w:hyperlink>
      <w:r>
        <w:rPr>
          <w:rFonts w:ascii="arial" w:eastAsia="arial" w:hAnsi="arial" w:cs="arial"/>
          <w:b w:val="0"/>
          <w:i w:val="0"/>
          <w:strike w:val="0"/>
          <w:noProof w:val="0"/>
          <w:color w:val="000000"/>
          <w:position w:val="0"/>
          <w:sz w:val="20"/>
          <w:u w:val="none"/>
          <w:vertAlign w:val="baseline"/>
        </w:rPr>
        <w:t xml:space="preserve"> (citation omitted). </w:t>
      </w:r>
      <w:bookmarkStart w:id="99" w:name="Bookmark_I69CYMV32SF8HS0050000400"/>
      <w:bookmarkEnd w:id="99"/>
      <w:r>
        <w:rPr>
          <w:rFonts w:ascii="arial" w:eastAsia="arial" w:hAnsi="arial" w:cs="arial"/>
          <w:b w:val="0"/>
          <w:i w:val="0"/>
          <w:strike w:val="0"/>
          <w:noProof w:val="0"/>
          <w:color w:val="000000"/>
          <w:position w:val="0"/>
          <w:sz w:val="20"/>
          <w:u w:val="none"/>
          <w:vertAlign w:val="baseline"/>
        </w:rPr>
        <w:t>However, such evidence may be admissible if offered for a different purpose "such as proving motive, opportunity, intent, preparation, plan, knowledge,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identity, absence of mistake, or lack of accident," subject to a </w:t>
      </w:r>
      <w:hyperlink r:id="rId18"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analysis. </w:t>
      </w:r>
      <w:bookmarkStart w:id="100" w:name="Bookmark_I69CYMV32SF8HS0050000400_2"/>
      <w:bookmarkEnd w:id="100"/>
      <w:hyperlink r:id="rId38" w:history="1">
        <w:r>
          <w:rPr>
            <w:rFonts w:ascii="arial" w:eastAsia="arial" w:hAnsi="arial" w:cs="arial"/>
            <w:b w:val="0"/>
            <w:i/>
            <w:strike w:val="0"/>
            <w:noProof w:val="0"/>
            <w:color w:val="0077CC"/>
            <w:position w:val="0"/>
            <w:sz w:val="20"/>
            <w:u w:val="single"/>
            <w:vertAlign w:val="baseline"/>
          </w:rPr>
          <w:t>Fed. R. Evid.</w:t>
        </w:r>
      </w:hyperlink>
      <w:hyperlink r:id="rId38" w:history="1">
        <w:r>
          <w:rPr>
            <w:rFonts w:ascii="arial" w:eastAsia="arial" w:hAnsi="arial" w:cs="arial"/>
            <w:b w:val="0"/>
            <w:i/>
            <w:strike w:val="0"/>
            <w:noProof w:val="0"/>
            <w:color w:val="0077CC"/>
            <w:position w:val="0"/>
            <w:sz w:val="20"/>
            <w:u w:val="single"/>
            <w:vertAlign w:val="baseline"/>
          </w:rPr>
          <w:t xml:space="preserve"> 404(b)(2)</w:t>
        </w:r>
      </w:hyperlink>
      <w:r>
        <w:rPr>
          <w:rFonts w:ascii="arial" w:eastAsia="arial" w:hAnsi="arial" w:cs="arial"/>
          <w:b w:val="0"/>
          <w:i w:val="0"/>
          <w:strike w:val="0"/>
          <w:noProof w:val="0"/>
          <w:color w:val="000000"/>
          <w:position w:val="0"/>
          <w:sz w:val="20"/>
          <w:u w:val="none"/>
          <w:vertAlign w:val="baseline"/>
        </w:rPr>
        <w:t xml:space="preserve">. Thus, "[c]ourts may admit evidence of prior bad acts if the evidence is relevant to an issue at trial other than the [person's] character, and if the probative value of the evidence is not substantially outweighed by the risk of unfair prejudice." </w:t>
      </w:r>
      <w:bookmarkStart w:id="101" w:name="Bookmark_I69CYMV32SF8HS0040000400"/>
      <w:bookmarkEnd w:id="101"/>
      <w:hyperlink r:id="rId40" w:history="1">
        <w:r>
          <w:rPr>
            <w:rFonts w:ascii="arial" w:eastAsia="arial" w:hAnsi="arial" w:cs="arial"/>
            <w:b w:val="0"/>
            <w:i/>
            <w:strike w:val="0"/>
            <w:noProof w:val="0"/>
            <w:color w:val="0077CC"/>
            <w:position w:val="0"/>
            <w:sz w:val="20"/>
            <w:u w:val="single"/>
            <w:vertAlign w:val="baseline"/>
          </w:rPr>
          <w:t>United States v. Barret</w:t>
        </w:r>
      </w:hyperlink>
      <w:hyperlink r:id="rId40" w:history="1">
        <w:r>
          <w:rPr>
            <w:rFonts w:ascii="arial" w:eastAsia="arial" w:hAnsi="arial" w:cs="arial"/>
            <w:b w:val="0"/>
            <w:i/>
            <w:strike w:val="0"/>
            <w:noProof w:val="0"/>
            <w:color w:val="0077CC"/>
            <w:position w:val="0"/>
            <w:sz w:val="20"/>
            <w:u w:val="single"/>
            <w:vertAlign w:val="baseline"/>
          </w:rPr>
          <w:t>, 677 Fed. Appx. 21, 23 (2d Cir. 2017)</w:t>
        </w:r>
      </w:hyperlink>
      <w:r>
        <w:rPr>
          <w:rFonts w:ascii="arial" w:eastAsia="arial" w:hAnsi="arial" w:cs="arial"/>
          <w:b w:val="0"/>
          <w:i w:val="0"/>
          <w:strike w:val="0"/>
          <w:noProof w:val="0"/>
          <w:color w:val="000000"/>
          <w:position w:val="0"/>
          <w:sz w:val="20"/>
          <w:u w:val="none"/>
          <w:vertAlign w:val="baseline"/>
        </w:rPr>
        <w:t xml:space="preserve"> (citation and quotation marks omitted).</w:t>
      </w:r>
    </w:p>
    <w:p>
      <w:pPr>
        <w:keepNext w:val="0"/>
        <w:spacing w:before="240" w:after="0" w:line="260" w:lineRule="atLeast"/>
        <w:ind w:left="0" w:right="0" w:firstLine="0"/>
        <w:jc w:val="both"/>
      </w:pPr>
      <w:bookmarkStart w:id="102" w:name="Bookmark_para_29"/>
      <w:bookmarkEnd w:id="102"/>
      <w:bookmarkStart w:id="103" w:name="Bookmark_I69CYMV42SF8HT0020000400"/>
      <w:bookmarkEnd w:id="103"/>
      <w:bookmarkStart w:id="104" w:name="Bookmark_I69CYMV42SF8HT0040000400"/>
      <w:bookmarkEnd w:id="104"/>
      <w:r>
        <w:rPr>
          <w:rFonts w:ascii="arial" w:eastAsia="arial" w:hAnsi="arial" w:cs="arial"/>
          <w:b w:val="0"/>
          <w:i w:val="0"/>
          <w:strike w:val="0"/>
          <w:noProof w:val="0"/>
          <w:color w:val="000000"/>
          <w:position w:val="0"/>
          <w:sz w:val="20"/>
          <w:u w:val="none"/>
          <w:vertAlign w:val="baseline"/>
        </w:rPr>
        <w:t xml:space="preserve">"In particular, disciplinary records of a state ward plaintiff, </w:t>
      </w:r>
      <w:r>
        <w:rPr>
          <w:rFonts w:ascii="arial" w:eastAsia="arial" w:hAnsi="arial" w:cs="arial"/>
          <w:b w:val="0"/>
          <w:i/>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g.</w:t>
      </w:r>
      <w:r>
        <w:rPr>
          <w:rFonts w:ascii="arial" w:eastAsia="arial" w:hAnsi="arial" w:cs="arial"/>
          <w:b w:val="0"/>
          <w:i w:val="0"/>
          <w:strike w:val="0"/>
          <w:noProof w:val="0"/>
          <w:color w:val="000000"/>
          <w:position w:val="0"/>
          <w:sz w:val="20"/>
          <w:u w:val="none"/>
          <w:vertAlign w:val="baseline"/>
        </w:rPr>
        <w:t xml:space="preserve">, a prison inmate or psychiatric patient, are almost always inadmissible." </w:t>
      </w:r>
      <w:bookmarkStart w:id="105" w:name="Bookmark_I69CYMV42SF8HT0010000400"/>
      <w:bookmarkEnd w:id="105"/>
      <w:hyperlink r:id="rId39" w:history="1">
        <w:r>
          <w:rPr>
            <w:rFonts w:ascii="arial" w:eastAsia="arial" w:hAnsi="arial" w:cs="arial"/>
            <w:b w:val="0"/>
            <w:i/>
            <w:strike w:val="0"/>
            <w:noProof w:val="0"/>
            <w:color w:val="0077CC"/>
            <w:position w:val="0"/>
            <w:sz w:val="20"/>
            <w:u w:val="single"/>
            <w:vertAlign w:val="baseline"/>
          </w:rPr>
          <w:t>Starmel</w:t>
        </w:r>
      </w:hyperlink>
      <w:hyperlink r:id="rId39" w:history="1">
        <w:r>
          <w:rPr>
            <w:rFonts w:ascii="arial" w:eastAsia="arial" w:hAnsi="arial" w:cs="arial"/>
            <w:b w:val="0"/>
            <w:i/>
            <w:strike w:val="0"/>
            <w:noProof w:val="0"/>
            <w:color w:val="0077CC"/>
            <w:position w:val="0"/>
            <w:sz w:val="20"/>
            <w:u w:val="single"/>
            <w:vertAlign w:val="baseline"/>
          </w:rPr>
          <w:t>, 634 F. Supp. 3d at 46</w:t>
        </w:r>
      </w:hyperlink>
      <w:r>
        <w:rPr>
          <w:rFonts w:ascii="arial" w:eastAsia="arial" w:hAnsi="arial" w:cs="arial"/>
          <w:b w:val="0"/>
          <w:i w:val="0"/>
          <w:strike w:val="0"/>
          <w:noProof w:val="0"/>
          <w:color w:val="000000"/>
          <w:position w:val="0"/>
          <w:sz w:val="20"/>
          <w:u w:val="none"/>
          <w:vertAlign w:val="baseline"/>
        </w:rPr>
        <w:t xml:space="preserve"> (citation omitted). "Complaints against officers are [also] not probative of a . . . witness's truthfulness or untruthfulness unless the underlying conduct involves dishonesty." </w:t>
      </w:r>
      <w:bookmarkStart w:id="106" w:name="Bookmark_I69CYMV42SF8HT0030000400"/>
      <w:bookmarkEnd w:id="106"/>
      <w:hyperlink r:id="rId41" w:history="1">
        <w:r>
          <w:rPr>
            <w:rFonts w:ascii="arial" w:eastAsia="arial" w:hAnsi="arial" w:cs="arial"/>
            <w:b w:val="0"/>
            <w:i/>
            <w:strike w:val="0"/>
            <w:noProof w:val="0"/>
            <w:color w:val="0077CC"/>
            <w:position w:val="0"/>
            <w:sz w:val="20"/>
            <w:u w:val="single"/>
            <w:vertAlign w:val="baseline"/>
          </w:rPr>
          <w:t>Bryant v. Serebrenik</w:t>
        </w:r>
      </w:hyperlink>
      <w:hyperlink r:id="rId41" w:history="1">
        <w:r>
          <w:rPr>
            <w:rFonts w:ascii="arial" w:eastAsia="arial" w:hAnsi="arial" w:cs="arial"/>
            <w:b w:val="0"/>
            <w:i/>
            <w:strike w:val="0"/>
            <w:noProof w:val="0"/>
            <w:color w:val="0077CC"/>
            <w:position w:val="0"/>
            <w:sz w:val="20"/>
            <w:u w:val="single"/>
            <w:vertAlign w:val="baseline"/>
          </w:rPr>
          <w:t>, No. 15-CV-3762, 2017 U.S. Dist. LEXIS 25572, 2017 WL 713897, *2 (E.D.N.Y. Feb. 23, 2017)</w:t>
        </w:r>
      </w:hyperlink>
      <w:r>
        <w:rPr>
          <w:rFonts w:ascii="arial" w:eastAsia="arial" w:hAnsi="arial" w:cs="arial"/>
          <w:b w:val="0"/>
          <w:i w:val="0"/>
          <w:strike w:val="0"/>
          <w:noProof w:val="0"/>
          <w:color w:val="000000"/>
          <w:position w:val="0"/>
          <w:sz w:val="20"/>
          <w:u w:val="none"/>
          <w:vertAlign w:val="baseline"/>
        </w:rPr>
        <w:t xml:space="preserve"> (citing </w:t>
      </w:r>
      <w:bookmarkStart w:id="107" w:name="Bookmark_I69CYMV42SF8HT0050000400"/>
      <w:bookmarkEnd w:id="107"/>
      <w:hyperlink r:id="rId42" w:history="1">
        <w:r>
          <w:rPr>
            <w:rFonts w:ascii="arial" w:eastAsia="arial" w:hAnsi="arial" w:cs="arial"/>
            <w:b w:val="0"/>
            <w:i/>
            <w:strike w:val="0"/>
            <w:noProof w:val="0"/>
            <w:color w:val="0077CC"/>
            <w:position w:val="0"/>
            <w:sz w:val="20"/>
            <w:u w:val="single"/>
            <w:vertAlign w:val="baseline"/>
          </w:rPr>
          <w:t>United States v. Horsford</w:t>
        </w:r>
      </w:hyperlink>
      <w:hyperlink r:id="rId42" w:history="1">
        <w:r>
          <w:rPr>
            <w:rFonts w:ascii="arial" w:eastAsia="arial" w:hAnsi="arial" w:cs="arial"/>
            <w:b w:val="0"/>
            <w:i/>
            <w:strike w:val="0"/>
            <w:noProof w:val="0"/>
            <w:color w:val="0077CC"/>
            <w:position w:val="0"/>
            <w:sz w:val="20"/>
            <w:u w:val="single"/>
            <w:vertAlign w:val="baseline"/>
          </w:rPr>
          <w:t>, 422 Fed. Appx. 29, 30 (2d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8" w:name="Bookmark_para_30"/>
      <w:bookmarkEnd w:id="108"/>
      <w:r>
        <w:rPr>
          <w:rFonts w:ascii="arial" w:eastAsia="arial" w:hAnsi="arial" w:cs="arial"/>
          <w:b w:val="0"/>
          <w:i w:val="0"/>
          <w:strike w:val="0"/>
          <w:noProof w:val="0"/>
          <w:color w:val="000000"/>
          <w:position w:val="0"/>
          <w:sz w:val="20"/>
          <w:u w:val="none"/>
          <w:vertAlign w:val="baseline"/>
        </w:rPr>
        <w:t xml:space="preserve">In response to Plaintiff's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Defendants assert that they do not intend to introduce evidence of Plaintiff's disciplinary history unless Plaintiff opens the door to discussions of his behavior.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54 at 3. Plaintiff does not provide the Court with any disciplinary records, personnel files, or grievances that he seeks to introduce into evidence.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55. Accordingly, this aspect of the parties' motions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strike w:val="0"/>
          <w:noProof w:val="0"/>
          <w:color w:val="000000"/>
          <w:position w:val="0"/>
          <w:sz w:val="20"/>
          <w:u w:val="none"/>
          <w:vertAlign w:val="baseline"/>
        </w:rPr>
        <w:t>Prior Lawsuits</w:t>
      </w:r>
    </w:p>
    <w:p>
      <w:pPr>
        <w:keepNext w:val="0"/>
        <w:spacing w:before="200" w:after="0" w:line="260" w:lineRule="atLeast"/>
        <w:ind w:left="0" w:right="0" w:firstLine="0"/>
        <w:jc w:val="both"/>
      </w:pPr>
      <w:bookmarkStart w:id="109" w:name="Bookmark_para_31"/>
      <w:bookmarkEnd w:id="109"/>
      <w:bookmarkStart w:id="110" w:name="Bookmark_I69CYMV42SF8HW0030000400"/>
      <w:bookmarkEnd w:id="110"/>
      <w:r>
        <w:rPr>
          <w:rFonts w:ascii="arial" w:eastAsia="arial" w:hAnsi="arial" w:cs="arial"/>
          <w:b w:val="0"/>
          <w:i w:val="0"/>
          <w:strike w:val="0"/>
          <w:noProof w:val="0"/>
          <w:color w:val="000000"/>
          <w:position w:val="0"/>
          <w:sz w:val="20"/>
          <w:u w:val="none"/>
          <w:vertAlign w:val="baseline"/>
        </w:rPr>
        <w:t>Both parties move to preclude evidence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prior lawsuits.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36-1 at 5; Dkt. No. 46 at 11. "It is well settled that it is improper for a court to admit evidence of prior lawsuits for the purpose of demonstrating that a plaintiff is a 'chronic litigant.'" </w:t>
      </w:r>
      <w:bookmarkStart w:id="111" w:name="Bookmark_I69CYMV42SF8HW0020000400"/>
      <w:bookmarkEnd w:id="111"/>
      <w:hyperlink r:id="rId43" w:history="1">
        <w:r>
          <w:rPr>
            <w:rFonts w:ascii="arial" w:eastAsia="arial" w:hAnsi="arial" w:cs="arial"/>
            <w:b w:val="0"/>
            <w:i/>
            <w:strike w:val="0"/>
            <w:noProof w:val="0"/>
            <w:color w:val="0077CC"/>
            <w:position w:val="0"/>
            <w:sz w:val="20"/>
            <w:u w:val="single"/>
            <w:vertAlign w:val="baseline"/>
          </w:rPr>
          <w:t>Hickey v. Myers</w:t>
        </w:r>
      </w:hyperlink>
      <w:hyperlink r:id="rId43" w:history="1">
        <w:r>
          <w:rPr>
            <w:rFonts w:ascii="arial" w:eastAsia="arial" w:hAnsi="arial" w:cs="arial"/>
            <w:b w:val="0"/>
            <w:i/>
            <w:strike w:val="0"/>
            <w:noProof w:val="0"/>
            <w:color w:val="0077CC"/>
            <w:position w:val="0"/>
            <w:sz w:val="20"/>
            <w:u w:val="single"/>
            <w:vertAlign w:val="baseline"/>
          </w:rPr>
          <w:t>, No. 09-CV-01307, 2013 U.S. Dist. LEXIS 77419, 2013 WL 2418252, *4 (N.D.N.Y. June 3, 2013)</w:t>
        </w:r>
      </w:hyperlink>
      <w:r>
        <w:rPr>
          <w:rFonts w:ascii="arial" w:eastAsia="arial" w:hAnsi="arial" w:cs="arial"/>
          <w:b w:val="0"/>
          <w:i w:val="0"/>
          <w:strike w:val="0"/>
          <w:noProof w:val="0"/>
          <w:color w:val="000000"/>
          <w:position w:val="0"/>
          <w:sz w:val="20"/>
          <w:u w:val="none"/>
          <w:vertAlign w:val="baseline"/>
        </w:rPr>
        <w:t xml:space="preserve"> (quoting </w:t>
      </w:r>
      <w:bookmarkStart w:id="112" w:name="Bookmark_I69CYMV42SF8HW0040000400"/>
      <w:bookmarkEnd w:id="112"/>
      <w:hyperlink r:id="rId44" w:history="1">
        <w:r>
          <w:rPr>
            <w:rFonts w:ascii="arial" w:eastAsia="arial" w:hAnsi="arial" w:cs="arial"/>
            <w:b w:val="0"/>
            <w:i/>
            <w:strike w:val="0"/>
            <w:noProof w:val="0"/>
            <w:color w:val="0077CC"/>
            <w:position w:val="0"/>
            <w:sz w:val="20"/>
            <w:u w:val="single"/>
            <w:vertAlign w:val="baseline"/>
          </w:rPr>
          <w:t>Outley v. City of New York</w:t>
        </w:r>
      </w:hyperlink>
      <w:hyperlink r:id="rId44" w:history="1">
        <w:r>
          <w:rPr>
            <w:rFonts w:ascii="arial" w:eastAsia="arial" w:hAnsi="arial" w:cs="arial"/>
            <w:b w:val="0"/>
            <w:i/>
            <w:strike w:val="0"/>
            <w:noProof w:val="0"/>
            <w:color w:val="0077CC"/>
            <w:position w:val="0"/>
            <w:sz w:val="20"/>
            <w:u w:val="single"/>
            <w:vertAlign w:val="baseline"/>
          </w:rPr>
          <w:t>, 837 F.2d 587, 591-93 (2d Cir. 1998)</w:t>
        </w:r>
      </w:hyperlink>
      <w:r>
        <w:rPr>
          <w:rFonts w:ascii="arial" w:eastAsia="arial" w:hAnsi="arial" w:cs="arial"/>
          <w:b w:val="0"/>
          <w:i w:val="0"/>
          <w:strike w:val="0"/>
          <w:noProof w:val="0"/>
          <w:color w:val="000000"/>
          <w:position w:val="0"/>
          <w:sz w:val="20"/>
          <w:u w:val="none"/>
          <w:vertAlign w:val="baseline"/>
        </w:rPr>
        <w:t xml:space="preserve">). "Prior lawsuits have been found admissible at trial, however, if they are offered for purposes other than to prove a party's litigiousness."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113" w:name="Bookmark_para_32"/>
      <w:bookmarkEnd w:id="113"/>
      <w:r>
        <w:rPr>
          <w:rFonts w:ascii="arial" w:eastAsia="arial" w:hAnsi="arial" w:cs="arial"/>
          <w:b w:val="0"/>
          <w:i w:val="0"/>
          <w:strike w:val="0"/>
          <w:noProof w:val="0"/>
          <w:color w:val="000000"/>
          <w:position w:val="0"/>
          <w:sz w:val="20"/>
          <w:u w:val="none"/>
          <w:vertAlign w:val="baseline"/>
        </w:rPr>
        <w:t xml:space="preserve">Neither party states that it intends to offer evidence concerning other lawsuits.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54 at 3; Dkt. No. 55. As such, the Court denies this aspect of both motions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4. </w:t>
      </w:r>
      <w:r>
        <w:rPr>
          <w:rFonts w:ascii="arial" w:eastAsia="arial" w:hAnsi="arial" w:cs="arial"/>
          <w:b/>
          <w:i/>
          <w:strike w:val="0"/>
          <w:noProof w:val="0"/>
          <w:color w:val="000000"/>
          <w:position w:val="0"/>
          <w:sz w:val="20"/>
          <w:u w:val="none"/>
          <w:vertAlign w:val="baseline"/>
        </w:rPr>
        <w:t>Conspiracy</w:t>
      </w:r>
    </w:p>
    <w:p>
      <w:pPr>
        <w:keepNext w:val="0"/>
        <w:spacing w:before="200" w:after="0" w:line="260" w:lineRule="atLeast"/>
        <w:ind w:left="0" w:right="0" w:firstLine="0"/>
        <w:jc w:val="both"/>
      </w:pPr>
      <w:bookmarkStart w:id="114" w:name="Bookmark_para_33"/>
      <w:bookmarkEnd w:id="114"/>
      <w:r>
        <w:rPr>
          <w:rFonts w:ascii="arial" w:eastAsia="arial" w:hAnsi="arial" w:cs="arial"/>
          <w:b w:val="0"/>
          <w:i w:val="0"/>
          <w:strike w:val="0"/>
          <w:noProof w:val="0"/>
          <w:color w:val="000000"/>
          <w:position w:val="0"/>
          <w:sz w:val="20"/>
          <w:u w:val="none"/>
          <w:vertAlign w:val="baseline"/>
        </w:rPr>
        <w:t xml:space="preserve">Defendants contend that, because Plaintiff has not advanced a conspiracy claim, he should be precluded from eliciting testimony or argument that Defendants, their peers, or employer conspired to harm Plaintiff.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46 at 8-10. The Court agrees.</w:t>
      </w:r>
    </w:p>
    <w:p>
      <w:pPr>
        <w:keepNext w:val="0"/>
        <w:spacing w:before="200" w:after="0" w:line="260" w:lineRule="atLeast"/>
        <w:ind w:left="0" w:right="0" w:firstLine="0"/>
        <w:jc w:val="both"/>
      </w:pPr>
      <w:bookmarkStart w:id="115" w:name="Bookmark_para_34"/>
      <w:bookmarkEnd w:id="115"/>
      <w:r>
        <w:rPr>
          <w:rFonts w:ascii="arial" w:eastAsia="arial" w:hAnsi="arial" w:cs="arial"/>
          <w:b w:val="0"/>
          <w:i w:val="0"/>
          <w:strike w:val="0"/>
          <w:noProof w:val="0"/>
          <w:color w:val="000000"/>
          <w:position w:val="0"/>
          <w:sz w:val="20"/>
          <w:u w:val="none"/>
          <w:vertAlign w:val="baseline"/>
        </w:rPr>
        <w:t xml:space="preserve">Any evidence of a conspiracy is irrelevant, as it has no tendency to make a fact "more or less probable than it would be without the evidence" and is of "no consequence in determining the action." </w:t>
      </w:r>
      <w:hyperlink r:id="rId45" w:history="1">
        <w:r>
          <w:rPr>
            <w:rFonts w:ascii="arial" w:eastAsia="arial" w:hAnsi="arial" w:cs="arial"/>
            <w:b w:val="0"/>
            <w:i/>
            <w:strike w:val="0"/>
            <w:noProof w:val="0"/>
            <w:color w:val="0077CC"/>
            <w:position w:val="0"/>
            <w:sz w:val="20"/>
            <w:u w:val="single"/>
            <w:vertAlign w:val="baseline"/>
          </w:rPr>
          <w:t>Fed. R. Evid.</w:t>
        </w:r>
      </w:hyperlink>
      <w:hyperlink r:id="rId45" w:history="1">
        <w:r>
          <w:rPr>
            <w:rFonts w:ascii="arial" w:eastAsia="arial" w:hAnsi="arial" w:cs="arial"/>
            <w:b w:val="0"/>
            <w:i/>
            <w:strike w:val="0"/>
            <w:noProof w:val="0"/>
            <w:color w:val="0077CC"/>
            <w:position w:val="0"/>
            <w:sz w:val="20"/>
            <w:u w:val="single"/>
            <w:vertAlign w:val="baseline"/>
          </w:rPr>
          <w:t xml:space="preserve"> 401</w:t>
        </w:r>
      </w:hyperlink>
      <w:r>
        <w:rPr>
          <w:rFonts w:ascii="arial" w:eastAsia="arial" w:hAnsi="arial" w:cs="arial"/>
          <w:b w:val="0"/>
          <w:i w:val="0"/>
          <w:strike w:val="0"/>
          <w:noProof w:val="0"/>
          <w:color w:val="000000"/>
          <w:position w:val="0"/>
          <w:sz w:val="20"/>
          <w:u w:val="none"/>
          <w:vertAlign w:val="baseline"/>
        </w:rPr>
        <w:t>. Plaintiff has implicated a finite number of Defendants with specific motivations, and he does not have a conspiracy claim before the Court. Moreover,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even if such evidence was relevant, it is nonetheless subject to preclusion because its probative value is "substantially outweighed" due to "unfair prejudice." </w:t>
      </w:r>
      <w:hyperlink r:id="rId18" w:history="1">
        <w:r>
          <w:rPr>
            <w:rFonts w:ascii="arial" w:eastAsia="arial" w:hAnsi="arial" w:cs="arial"/>
            <w:b w:val="0"/>
            <w:i/>
            <w:strike w:val="0"/>
            <w:noProof w:val="0"/>
            <w:color w:val="0077CC"/>
            <w:position w:val="0"/>
            <w:sz w:val="20"/>
            <w:u w:val="single"/>
            <w:vertAlign w:val="baseline"/>
          </w:rPr>
          <w:t>Fed. R. Evid.</w:t>
        </w:r>
      </w:hyperlink>
      <w:hyperlink r:id="rId18" w:history="1">
        <w:r>
          <w:rPr>
            <w:rFonts w:ascii="arial" w:eastAsia="arial" w:hAnsi="arial" w:cs="arial"/>
            <w:b w:val="0"/>
            <w:i/>
            <w:strike w:val="0"/>
            <w:noProof w:val="0"/>
            <w:color w:val="0077CC"/>
            <w:position w:val="0"/>
            <w:sz w:val="20"/>
            <w:u w:val="single"/>
            <w:vertAlign w:val="baseline"/>
          </w:rPr>
          <w:t xml:space="preserve"> 403</w:t>
        </w:r>
      </w:hyperlink>
      <w:r>
        <w:rPr>
          <w:rFonts w:ascii="arial" w:eastAsia="arial" w:hAnsi="arial" w:cs="arial"/>
          <w:b w:val="0"/>
          <w:i w:val="0"/>
          <w:strike w:val="0"/>
          <w:noProof w:val="0"/>
          <w:color w:val="000000"/>
          <w:position w:val="0"/>
          <w:sz w:val="20"/>
          <w:u w:val="none"/>
          <w:vertAlign w:val="baseline"/>
        </w:rPr>
        <w:t xml:space="preserve">. Any discussion of an alleged conspiracy would confuse the issues and mislead the jury. Accordingly, the Court grants this aspect of Defendants'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5. </w:t>
      </w:r>
      <w:r>
        <w:rPr>
          <w:rFonts w:ascii="arial" w:eastAsia="arial" w:hAnsi="arial" w:cs="arial"/>
          <w:b/>
          <w:i/>
          <w:strike w:val="0"/>
          <w:noProof w:val="0"/>
          <w:color w:val="000000"/>
          <w:position w:val="0"/>
          <w:sz w:val="20"/>
          <w:u w:val="none"/>
          <w:vertAlign w:val="baseline"/>
        </w:rPr>
        <w:t>Damages</w:t>
      </w:r>
    </w:p>
    <w:p>
      <w:pPr>
        <w:keepNext w:val="0"/>
        <w:spacing w:before="240" w:after="0" w:line="260" w:lineRule="atLeast"/>
        <w:ind w:left="0" w:right="0" w:firstLine="0"/>
        <w:jc w:val="both"/>
      </w:pPr>
      <w:bookmarkStart w:id="116" w:name="Bookmark_para_35"/>
      <w:bookmarkEnd w:id="116"/>
      <w:r>
        <w:rPr>
          <w:rFonts w:ascii="arial" w:eastAsia="arial" w:hAnsi="arial" w:cs="arial"/>
          <w:b w:val="0"/>
          <w:i w:val="0"/>
          <w:strike w:val="0"/>
          <w:noProof w:val="0"/>
          <w:color w:val="000000"/>
          <w:position w:val="0"/>
          <w:sz w:val="20"/>
          <w:u w:val="none"/>
          <w:vertAlign w:val="baseline"/>
        </w:rPr>
        <w:t xml:space="preserve">Defendants seek to preclude Plaintiff's counsel from presenting a specific dollar amount of damages to the jury.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46 at 13. </w:t>
      </w:r>
      <w:bookmarkStart w:id="117" w:name="Bookmark_I69CYMV428T48N0020000400"/>
      <w:bookmarkEnd w:id="117"/>
      <w:r>
        <w:rPr>
          <w:rFonts w:ascii="arial" w:eastAsia="arial" w:hAnsi="arial" w:cs="arial"/>
          <w:b w:val="0"/>
          <w:i w:val="0"/>
          <w:strike w:val="0"/>
          <w:noProof w:val="0"/>
          <w:color w:val="000000"/>
          <w:position w:val="0"/>
          <w:sz w:val="20"/>
          <w:u w:val="none"/>
          <w:vertAlign w:val="baseline"/>
        </w:rPr>
        <w:t xml:space="preserve">Defendants argue that permitting a party to request a specific dollar amount is generally disfavored.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In response, Plaintiff argues that he should be permitted to request a specific dollar amount because there is no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prohibition on doing so.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55. "While specifying target amounts for the jury to award is disfavored, [t]he determination of whether to allow a plaintiff to request a specific damage amount from the jury is within the court's discretion." </w:t>
      </w:r>
      <w:bookmarkStart w:id="118" w:name="Bookmark_I69CYMV428T48N0010000400"/>
      <w:bookmarkEnd w:id="118"/>
      <w:hyperlink r:id="rId46" w:history="1">
        <w:r>
          <w:rPr>
            <w:rFonts w:ascii="arial" w:eastAsia="arial" w:hAnsi="arial" w:cs="arial"/>
            <w:b w:val="0"/>
            <w:i/>
            <w:strike w:val="0"/>
            <w:noProof w:val="0"/>
            <w:color w:val="0077CC"/>
            <w:position w:val="0"/>
            <w:sz w:val="20"/>
            <w:u w:val="single"/>
            <w:vertAlign w:val="baseline"/>
          </w:rPr>
          <w:t>Brown v. Cornell</w:t>
        </w:r>
      </w:hyperlink>
      <w:hyperlink r:id="rId46" w:history="1">
        <w:r>
          <w:rPr>
            <w:rFonts w:ascii="arial" w:eastAsia="arial" w:hAnsi="arial" w:cs="arial"/>
            <w:b w:val="0"/>
            <w:i/>
            <w:strike w:val="0"/>
            <w:noProof w:val="0"/>
            <w:color w:val="0077CC"/>
            <w:position w:val="0"/>
            <w:sz w:val="20"/>
            <w:u w:val="single"/>
            <w:vertAlign w:val="baseline"/>
          </w:rPr>
          <w:t>, No. 9:17-CV-01036, 2021 U.S. Dist. LEXIS 123038, 2021 WL 2711511, *9 (N.D.N.Y. July 1, 2021)</w:t>
        </w:r>
      </w:hyperlink>
      <w:r>
        <w:rPr>
          <w:rFonts w:ascii="arial" w:eastAsia="arial" w:hAnsi="arial" w:cs="arial"/>
          <w:b w:val="0"/>
          <w:i w:val="0"/>
          <w:strike w:val="0"/>
          <w:noProof w:val="0"/>
          <w:color w:val="000000"/>
          <w:position w:val="0"/>
          <w:sz w:val="20"/>
          <w:u w:val="none"/>
          <w:vertAlign w:val="baseline"/>
        </w:rPr>
        <w:t xml:space="preserve"> (citation and quotation marks omitted) (alteration in original).</w:t>
      </w:r>
    </w:p>
    <w:p>
      <w:pPr>
        <w:keepNext w:val="0"/>
        <w:spacing w:before="200" w:after="0" w:line="260" w:lineRule="atLeast"/>
        <w:ind w:left="0" w:right="0" w:firstLine="0"/>
        <w:jc w:val="both"/>
      </w:pPr>
      <w:bookmarkStart w:id="119" w:name="Bookmark_para_36"/>
      <w:bookmarkEnd w:id="119"/>
      <w:bookmarkStart w:id="120" w:name="Bookmark_I69CYMV428T48N0040000400"/>
      <w:bookmarkEnd w:id="120"/>
      <w:bookmarkStart w:id="121" w:name="Bookmark_I69CYMV52D6N4T0010000400"/>
      <w:bookmarkEnd w:id="121"/>
      <w:r>
        <w:rPr>
          <w:rFonts w:ascii="arial" w:eastAsia="arial" w:hAnsi="arial" w:cs="arial"/>
          <w:b w:val="0"/>
          <w:i w:val="0"/>
          <w:strike w:val="0"/>
          <w:noProof w:val="0"/>
          <w:color w:val="000000"/>
          <w:position w:val="0"/>
          <w:sz w:val="20"/>
          <w:u w:val="none"/>
          <w:vertAlign w:val="baseline"/>
        </w:rPr>
        <w:t xml:space="preserve">The Court "is not inclined at this time to preclude Plaintiff from offering a specific dollar amount regarding [] damages to the jury at closing." </w:t>
      </w:r>
      <w:bookmarkStart w:id="122" w:name="Bookmark_I69CYMV428T48N0030000400"/>
      <w:bookmarkEnd w:id="122"/>
      <w:hyperlink r:id="rId46" w:history="1">
        <w:r>
          <w:rPr>
            <w:rFonts w:ascii="arial" w:eastAsia="arial" w:hAnsi="arial" w:cs="arial"/>
            <w:b w:val="0"/>
            <w:i/>
            <w:strike w:val="0"/>
            <w:noProof w:val="0"/>
            <w:color w:val="0077CC"/>
            <w:position w:val="0"/>
            <w:sz w:val="20"/>
            <w:u w:val="single"/>
            <w:vertAlign w:val="baseline"/>
          </w:rPr>
          <w:t>Brown</w:t>
        </w:r>
      </w:hyperlink>
      <w:hyperlink r:id="rId46" w:history="1">
        <w:r>
          <w:rPr>
            <w:rFonts w:ascii="arial" w:eastAsia="arial" w:hAnsi="arial" w:cs="arial"/>
            <w:b w:val="0"/>
            <w:i/>
            <w:strike w:val="0"/>
            <w:noProof w:val="0"/>
            <w:color w:val="0077CC"/>
            <w:position w:val="0"/>
            <w:sz w:val="20"/>
            <w:u w:val="single"/>
            <w:vertAlign w:val="baseline"/>
          </w:rPr>
          <w:t>, 2021 U.S. Dist. LEXIS 123038, 2021 WL 2711511, at *9</w:t>
        </w:r>
      </w:hyperlink>
      <w:r>
        <w:rPr>
          <w:rFonts w:ascii="arial" w:eastAsia="arial" w:hAnsi="arial" w:cs="arial"/>
          <w:b w:val="0"/>
          <w:i w:val="0"/>
          <w:strike w:val="0"/>
          <w:noProof w:val="0"/>
          <w:color w:val="000000"/>
          <w:position w:val="0"/>
          <w:sz w:val="20"/>
          <w:u w:val="none"/>
          <w:vertAlign w:val="baseline"/>
        </w:rPr>
        <w:t>. "[T]he Court will provide the jurors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with a limiting instruction stating that the amount provided by Plaintiff is not evidence but only a suggestion as to the amount, if any, to be awarded."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23" w:name="Bookmark_I69CYMV428T48N0050000400"/>
      <w:bookmarkEnd w:id="123"/>
      <w:hyperlink r:id="rId47" w:history="1">
        <w:r>
          <w:rPr>
            <w:rFonts w:ascii="arial" w:eastAsia="arial" w:hAnsi="arial" w:cs="arial"/>
            <w:b w:val="0"/>
            <w:i/>
            <w:strike w:val="0"/>
            <w:noProof w:val="0"/>
            <w:color w:val="0077CC"/>
            <w:position w:val="0"/>
            <w:sz w:val="20"/>
            <w:u w:val="single"/>
            <w:vertAlign w:val="baseline"/>
          </w:rPr>
          <w:t>Sokolow v. Palestine Liberation Org.</w:t>
        </w:r>
      </w:hyperlink>
      <w:hyperlink r:id="rId47" w:history="1">
        <w:r>
          <w:rPr>
            <w:rFonts w:ascii="arial" w:eastAsia="arial" w:hAnsi="arial" w:cs="arial"/>
            <w:b w:val="0"/>
            <w:i/>
            <w:strike w:val="0"/>
            <w:noProof w:val="0"/>
            <w:color w:val="0077CC"/>
            <w:position w:val="0"/>
            <w:sz w:val="20"/>
            <w:u w:val="single"/>
            <w:vertAlign w:val="baseline"/>
          </w:rPr>
          <w:t>, No. 04-CV-397, 2015 U.S. Dist. LEXIS 197418, 2015 WL 13675738, *3 (S.D.N.Y. Aug. 24, 2015)</w:t>
        </w:r>
      </w:hyperlink>
      <w:r>
        <w:rPr>
          <w:rFonts w:ascii="arial" w:eastAsia="arial" w:hAnsi="arial" w:cs="arial"/>
          <w:b w:val="0"/>
          <w:i w:val="0"/>
          <w:strike w:val="0"/>
          <w:noProof w:val="0"/>
          <w:color w:val="000000"/>
          <w:position w:val="0"/>
          <w:sz w:val="20"/>
          <w:u w:val="none"/>
          <w:vertAlign w:val="baseline"/>
        </w:rPr>
        <w:t xml:space="preserve">. Accordingly, the Court denies this aspect of Defendants'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6. </w:t>
      </w:r>
      <w:r>
        <w:rPr>
          <w:rFonts w:ascii="arial" w:eastAsia="arial" w:hAnsi="arial" w:cs="arial"/>
          <w:b/>
          <w:i/>
          <w:strike w:val="0"/>
          <w:noProof w:val="0"/>
          <w:color w:val="000000"/>
          <w:position w:val="0"/>
          <w:sz w:val="20"/>
          <w:u w:val="none"/>
          <w:vertAlign w:val="baseline"/>
        </w:rPr>
        <w:t>Indemnification</w:t>
      </w:r>
    </w:p>
    <w:p>
      <w:pPr>
        <w:keepNext w:val="0"/>
        <w:spacing w:before="240" w:after="0" w:line="260" w:lineRule="atLeast"/>
        <w:ind w:left="0" w:right="0" w:firstLine="0"/>
        <w:jc w:val="both"/>
      </w:pPr>
      <w:bookmarkStart w:id="124" w:name="Bookmark_para_37"/>
      <w:bookmarkEnd w:id="124"/>
      <w:r>
        <w:rPr>
          <w:rFonts w:ascii="arial" w:eastAsia="arial" w:hAnsi="arial" w:cs="arial"/>
          <w:b w:val="0"/>
          <w:i w:val="0"/>
          <w:strike w:val="0"/>
          <w:noProof w:val="0"/>
          <w:color w:val="000000"/>
          <w:position w:val="0"/>
          <w:sz w:val="20"/>
          <w:u w:val="none"/>
          <w:vertAlign w:val="baseline"/>
        </w:rPr>
        <w:t xml:space="preserve">Defendants argue that Plaintiff should be prohibited from discussing potential indemnification of Defendants should the jury find one or both Defendants liable.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46 at 14. Defendants argue it is irrelevant and prejudicial. The Court agrees. </w:t>
      </w:r>
      <w:bookmarkStart w:id="125" w:name="Bookmark_I69CYMV52D6N4T0030000400"/>
      <w:bookmarkEnd w:id="125"/>
      <w:bookmarkStart w:id="126" w:name="Bookmark_I69CYMV52SF8J30020000400"/>
      <w:bookmarkEnd w:id="126"/>
      <w:r>
        <w:rPr>
          <w:rFonts w:ascii="arial" w:eastAsia="arial" w:hAnsi="arial" w:cs="arial"/>
          <w:b w:val="0"/>
          <w:i w:val="0"/>
          <w:strike w:val="0"/>
          <w:noProof w:val="0"/>
          <w:color w:val="000000"/>
          <w:position w:val="0"/>
          <w:sz w:val="20"/>
          <w:u w:val="none"/>
          <w:vertAlign w:val="baseline"/>
        </w:rPr>
        <w:t xml:space="preserve">Reference to potential indemnification would be unduly prejudicial and is irrelevant. All references to indemnification or potential indemnification will be precluded. </w:t>
      </w:r>
      <w:r>
        <w:rPr>
          <w:rFonts w:ascii="arial" w:eastAsia="arial" w:hAnsi="arial" w:cs="arial"/>
          <w:b w:val="0"/>
          <w:i/>
          <w:strike w:val="0"/>
          <w:noProof w:val="0"/>
          <w:color w:val="000000"/>
          <w:position w:val="0"/>
          <w:sz w:val="20"/>
          <w:u w:val="none"/>
          <w:vertAlign w:val="baseline"/>
        </w:rPr>
        <w:t xml:space="preserve">See </w:t>
      </w:r>
      <w:bookmarkStart w:id="127" w:name="Bookmark_I69CYMV52D6N4T0020000400"/>
      <w:bookmarkEnd w:id="127"/>
      <w:hyperlink r:id="rId48" w:history="1">
        <w:r>
          <w:rPr>
            <w:rFonts w:ascii="arial" w:eastAsia="arial" w:hAnsi="arial" w:cs="arial"/>
            <w:b w:val="0"/>
            <w:i/>
            <w:strike w:val="0"/>
            <w:noProof w:val="0"/>
            <w:color w:val="0077CC"/>
            <w:position w:val="0"/>
            <w:sz w:val="20"/>
            <w:u w:val="single"/>
            <w:vertAlign w:val="baseline"/>
          </w:rPr>
          <w:t>Nunez v. Diedrick</w:t>
        </w:r>
      </w:hyperlink>
      <w:hyperlink r:id="rId48" w:history="1">
        <w:r>
          <w:rPr>
            <w:rFonts w:ascii="arial" w:eastAsia="arial" w:hAnsi="arial" w:cs="arial"/>
            <w:b w:val="0"/>
            <w:i/>
            <w:strike w:val="0"/>
            <w:noProof w:val="0"/>
            <w:color w:val="0077CC"/>
            <w:position w:val="0"/>
            <w:sz w:val="20"/>
            <w:u w:val="single"/>
            <w:vertAlign w:val="baseline"/>
          </w:rPr>
          <w:t>, No. 14-CV-4182, 2017 U.S. Dist. LEXIS 199926, 2017 WL 4350572, *2 (S.D.N.Y. June 12, 2017)</w:t>
        </w:r>
      </w:hyperlink>
      <w:r>
        <w:rPr>
          <w:rFonts w:ascii="arial" w:eastAsia="arial" w:hAnsi="arial" w:cs="arial"/>
          <w:b w:val="0"/>
          <w:i w:val="0"/>
          <w:strike w:val="0"/>
          <w:noProof w:val="0"/>
          <w:color w:val="000000"/>
          <w:position w:val="0"/>
          <w:sz w:val="20"/>
          <w:u w:val="none"/>
          <w:vertAlign w:val="baseline"/>
        </w:rPr>
        <w:t xml:space="preserve"> (holding that "the Court, like several other district judges in this Circuit, finds that references to . . . potential indemnification obligations would serve no probative value and potentially cause unwarranted prejudice"); </w:t>
      </w:r>
      <w:r>
        <w:rPr>
          <w:rFonts w:ascii="arial" w:eastAsia="arial" w:hAnsi="arial" w:cs="arial"/>
          <w:b w:val="0"/>
          <w:i/>
          <w:strike w:val="0"/>
          <w:noProof w:val="0"/>
          <w:color w:val="000000"/>
          <w:position w:val="0"/>
          <w:sz w:val="20"/>
          <w:u w:val="none"/>
          <w:vertAlign w:val="baseline"/>
        </w:rPr>
        <w:t xml:space="preserve">see also </w:t>
      </w:r>
      <w:bookmarkStart w:id="128" w:name="Bookmark_I69CYMV52D6N4T0040000400"/>
      <w:bookmarkEnd w:id="128"/>
      <w:hyperlink r:id="rId16" w:history="1">
        <w:r>
          <w:rPr>
            <w:rFonts w:ascii="arial" w:eastAsia="arial" w:hAnsi="arial" w:cs="arial"/>
            <w:b w:val="0"/>
            <w:i/>
            <w:strike w:val="0"/>
            <w:noProof w:val="0"/>
            <w:color w:val="0077CC"/>
            <w:position w:val="0"/>
            <w:sz w:val="20"/>
            <w:u w:val="single"/>
            <w:vertAlign w:val="baseline"/>
          </w:rPr>
          <w:t>Coleman</w:t>
        </w:r>
      </w:hyperlink>
      <w:hyperlink r:id="rId16" w:history="1">
        <w:r>
          <w:rPr>
            <w:rFonts w:ascii="arial" w:eastAsia="arial" w:hAnsi="arial" w:cs="arial"/>
            <w:b w:val="0"/>
            <w:i/>
            <w:strike w:val="0"/>
            <w:noProof w:val="0"/>
            <w:color w:val="0077CC"/>
            <w:position w:val="0"/>
            <w:sz w:val="20"/>
            <w:u w:val="single"/>
            <w:vertAlign w:val="baseline"/>
          </w:rPr>
          <w:t>, 585 F. Supp. 3d at 217</w:t>
        </w:r>
      </w:hyperlink>
      <w:r>
        <w:rPr>
          <w:rFonts w:ascii="arial" w:eastAsia="arial" w:hAnsi="arial" w:cs="arial"/>
          <w:b w:val="0"/>
          <w:i w:val="0"/>
          <w:strike w:val="0"/>
          <w:noProof w:val="0"/>
          <w:color w:val="000000"/>
          <w:position w:val="0"/>
          <w:sz w:val="20"/>
          <w:u w:val="none"/>
          <w:vertAlign w:val="baseline"/>
        </w:rPr>
        <w:t xml:space="preserve"> ("The Court agrees with [d]efendants that, during the upcoming trial, indemnification would not be relevant to any issue before the jury and would run a significant risk of unfairly prejudicing [d]efendants").</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7. </w:t>
      </w:r>
      <w:r>
        <w:rPr>
          <w:rFonts w:ascii="arial" w:eastAsia="arial" w:hAnsi="arial" w:cs="arial"/>
          <w:b/>
          <w:i/>
          <w:strike w:val="0"/>
          <w:noProof w:val="0"/>
          <w:color w:val="000000"/>
          <w:position w:val="0"/>
          <w:sz w:val="20"/>
          <w:u w:val="none"/>
          <w:vertAlign w:val="baseline"/>
        </w:rPr>
        <w:t>Dismissed Claims</w:t>
      </w:r>
    </w:p>
    <w:p>
      <w:pPr>
        <w:keepNext w:val="0"/>
        <w:spacing w:before="200" w:after="0" w:line="260" w:lineRule="atLeast"/>
        <w:ind w:left="0" w:right="0" w:firstLine="0"/>
        <w:jc w:val="both"/>
      </w:pPr>
      <w:bookmarkStart w:id="131" w:name="Bookmark_para_38"/>
      <w:bookmarkEnd w:id="131"/>
      <w:r>
        <w:rPr>
          <w:rFonts w:ascii="arial" w:eastAsia="arial" w:hAnsi="arial" w:cs="arial"/>
          <w:b w:val="0"/>
          <w:i w:val="0"/>
          <w:strike w:val="0"/>
          <w:noProof w:val="0"/>
          <w:color w:val="000000"/>
          <w:position w:val="0"/>
          <w:sz w:val="20"/>
          <w:u w:val="none"/>
          <w:vertAlign w:val="baseline"/>
        </w:rPr>
        <w:t>Defendants seek preclusion of</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evidence "relating to Plaintiff's various claims that the Court has already dismissed on IFP review and on Defendants' prior motions." Dkt. No. 46 at 14 (citing Dkt. Nos. 6, 11).</w:t>
      </w:r>
    </w:p>
    <w:p>
      <w:pPr>
        <w:keepNext w:val="0"/>
        <w:spacing w:before="240" w:after="0" w:line="260" w:lineRule="atLeast"/>
        <w:ind w:left="0" w:right="0" w:firstLine="0"/>
        <w:jc w:val="both"/>
      </w:pPr>
      <w:bookmarkStart w:id="132" w:name="Bookmark_para_39"/>
      <w:bookmarkEnd w:id="132"/>
      <w:bookmarkStart w:id="133" w:name="Bookmark_I69CYMV52SF8J30040000400"/>
      <w:bookmarkEnd w:id="133"/>
      <w:r>
        <w:rPr>
          <w:rFonts w:ascii="arial" w:eastAsia="arial" w:hAnsi="arial" w:cs="arial"/>
          <w:b w:val="0"/>
          <w:i w:val="0"/>
          <w:strike w:val="0"/>
          <w:noProof w:val="0"/>
          <w:color w:val="000000"/>
          <w:position w:val="0"/>
          <w:sz w:val="20"/>
          <w:u w:val="none"/>
          <w:vertAlign w:val="baseline"/>
        </w:rPr>
        <w:t xml:space="preserve">Previously dismissed claims are not relevant to the issues which will be presented at trial. </w:t>
      </w:r>
      <w:r>
        <w:rPr>
          <w:rFonts w:ascii="arial" w:eastAsia="arial" w:hAnsi="arial" w:cs="arial"/>
          <w:b w:val="0"/>
          <w:i/>
          <w:strike w:val="0"/>
          <w:noProof w:val="0"/>
          <w:color w:val="000000"/>
          <w:position w:val="0"/>
          <w:sz w:val="20"/>
          <w:u w:val="none"/>
          <w:vertAlign w:val="baseline"/>
        </w:rPr>
        <w:t xml:space="preserve">See </w:t>
      </w:r>
      <w:bookmarkStart w:id="134" w:name="Bookmark_I69CYMV52SF8J30030000400"/>
      <w:bookmarkEnd w:id="134"/>
      <w:hyperlink r:id="rId32" w:history="1">
        <w:r>
          <w:rPr>
            <w:rFonts w:ascii="arial" w:eastAsia="arial" w:hAnsi="arial" w:cs="arial"/>
            <w:b w:val="0"/>
            <w:i/>
            <w:strike w:val="0"/>
            <w:noProof w:val="0"/>
            <w:color w:val="0077CC"/>
            <w:position w:val="0"/>
            <w:sz w:val="20"/>
            <w:u w:val="single"/>
            <w:vertAlign w:val="baseline"/>
          </w:rPr>
          <w:t>Diggs</w:t>
        </w:r>
      </w:hyperlink>
      <w:hyperlink r:id="rId32" w:history="1">
        <w:r>
          <w:rPr>
            <w:rFonts w:ascii="arial" w:eastAsia="arial" w:hAnsi="arial" w:cs="arial"/>
            <w:b w:val="0"/>
            <w:i/>
            <w:strike w:val="0"/>
            <w:noProof w:val="0"/>
            <w:color w:val="0077CC"/>
            <w:position w:val="0"/>
            <w:sz w:val="20"/>
            <w:u w:val="single"/>
            <w:vertAlign w:val="baseline"/>
          </w:rPr>
          <w:t>, 621 F. Supp. 3d at 325-26</w:t>
        </w:r>
      </w:hyperlink>
      <w:r>
        <w:rPr>
          <w:rFonts w:ascii="arial" w:eastAsia="arial" w:hAnsi="arial" w:cs="arial"/>
          <w:b w:val="0"/>
          <w:i w:val="0"/>
          <w:strike w:val="0"/>
          <w:noProof w:val="0"/>
          <w:color w:val="000000"/>
          <w:position w:val="0"/>
          <w:sz w:val="20"/>
          <w:u w:val="none"/>
          <w:vertAlign w:val="baseline"/>
        </w:rPr>
        <w:t xml:space="preserve"> (citation omitted) ("[T]he Court agrees with [d]efendant that evidence relating solely to previously dismissed claims is irrelevant to the issues remaining for trial and is therefore inadmissible"). Plaintiff does not respond to this aspect of Defendants' motion, but as dismissed claims are not relevant to the remaining issues in the case, the Court grants this part of Defendants'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8. </w:t>
      </w:r>
      <w:r>
        <w:rPr>
          <w:rFonts w:ascii="arial" w:eastAsia="arial" w:hAnsi="arial" w:cs="arial"/>
          <w:b/>
          <w:i/>
          <w:strike w:val="0"/>
          <w:noProof w:val="0"/>
          <w:color w:val="000000"/>
          <w:position w:val="0"/>
          <w:sz w:val="20"/>
          <w:u w:val="none"/>
          <w:vertAlign w:val="baseline"/>
        </w:rPr>
        <w:t>State Law Claims</w:t>
      </w:r>
    </w:p>
    <w:p>
      <w:pPr>
        <w:keepNext w:val="0"/>
        <w:spacing w:before="200" w:after="0" w:line="260" w:lineRule="atLeast"/>
        <w:ind w:left="0" w:right="0" w:firstLine="0"/>
        <w:jc w:val="both"/>
      </w:pPr>
      <w:bookmarkStart w:id="135" w:name="Bookmark_para_40"/>
      <w:bookmarkEnd w:id="135"/>
      <w:r>
        <w:rPr>
          <w:rFonts w:ascii="arial" w:eastAsia="arial" w:hAnsi="arial" w:cs="arial"/>
          <w:b w:val="0"/>
          <w:i w:val="0"/>
          <w:strike w:val="0"/>
          <w:noProof w:val="0"/>
          <w:color w:val="000000"/>
          <w:position w:val="0"/>
          <w:sz w:val="20"/>
          <w:u w:val="none"/>
          <w:vertAlign w:val="baseline"/>
        </w:rPr>
        <w:t xml:space="preserve">In their pre-trial brief, Defendants argue that Plaintiff's state law assault, battery, and intentional infliction of emotional distress ("IIED") claims must be dismissed pursuant to </w:t>
      </w:r>
      <w:hyperlink r:id="rId13" w:history="1">
        <w:r>
          <w:rPr>
            <w:rFonts w:ascii="arial" w:eastAsia="arial" w:hAnsi="arial" w:cs="arial"/>
            <w:b w:val="0"/>
            <w:i/>
            <w:strike w:val="0"/>
            <w:noProof w:val="0"/>
            <w:color w:val="0077CC"/>
            <w:position w:val="0"/>
            <w:sz w:val="20"/>
            <w:u w:val="single"/>
            <w:vertAlign w:val="baseline"/>
          </w:rPr>
          <w:t>New York Correction Law section 24</w:t>
        </w:r>
      </w:hyperlink>
      <w:r>
        <w:rPr>
          <w:rFonts w:ascii="arial" w:eastAsia="arial" w:hAnsi="arial" w:cs="arial"/>
          <w:b w:val="0"/>
          <w:i w:val="0"/>
          <w:strike w:val="0"/>
          <w:noProof w:val="0"/>
          <w:color w:val="000000"/>
          <w:position w:val="0"/>
          <w:sz w:val="20"/>
          <w:u w:val="none"/>
          <w:vertAlign w:val="baseline"/>
        </w:rPr>
        <w:t xml:space="preserve"> because Defendants were acting within the scope of their employment at all relevant times.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39 at 7-8. In response, Plaintiff notes that Defendants failed to raise this defense in their answer or a pre-trial dispositive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53 at 4. Plaintiff then argues that </w:t>
      </w:r>
      <w:hyperlink r:id="rId13"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is inapplicable to Plaintiff's state law</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claims because Defendants were acting for purely personal reasons which were outside the scope of their employment.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4-5.</w:t>
      </w:r>
    </w:p>
    <w:p>
      <w:pPr>
        <w:keepNext w:val="0"/>
        <w:spacing w:before="240" w:after="0" w:line="260" w:lineRule="atLeast"/>
        <w:ind w:left="0" w:right="0" w:firstLine="0"/>
        <w:jc w:val="both"/>
      </w:pPr>
      <w:bookmarkStart w:id="136" w:name="Bookmark_para_41"/>
      <w:bookmarkEnd w:id="136"/>
      <w:hyperlink r:id="rId13" w:history="1">
        <w:r>
          <w:rPr>
            <w:rFonts w:ascii="arial" w:eastAsia="arial" w:hAnsi="arial" w:cs="arial"/>
            <w:b w:val="0"/>
            <w:i/>
            <w:strike w:val="0"/>
            <w:color w:val="0077CC"/>
            <w:sz w:val="20"/>
            <w:u w:val="single"/>
            <w:vertAlign w:val="baseline"/>
          </w:rPr>
          <w:t>New York Correction Law section 24</w:t>
        </w:r>
      </w:hyperlink>
      <w:r>
        <w:rPr>
          <w:rFonts w:ascii="arial" w:eastAsia="arial" w:hAnsi="arial" w:cs="arial"/>
          <w:b w:val="0"/>
          <w:i w:val="0"/>
          <w:strike w:val="0"/>
          <w:noProof w:val="0"/>
          <w:color w:val="000000"/>
          <w:position w:val="0"/>
          <w:sz w:val="20"/>
          <w:u w:val="none"/>
          <w:vertAlign w:val="baseline"/>
        </w:rPr>
        <w:t xml:space="preserve"> states,</w:t>
      </w:r>
    </w:p>
    <w:p>
      <w:pPr>
        <w:keepNext w:val="0"/>
        <w:spacing w:after="0" w:line="260" w:lineRule="atLeast"/>
        <w:ind w:left="400" w:right="0" w:firstLine="0"/>
        <w:jc w:val="both"/>
      </w:pPr>
      <w:bookmarkStart w:id="137" w:name="Bookmark_para_42"/>
      <w:bookmarkEnd w:id="137"/>
      <w:r>
        <w:rPr>
          <w:rFonts w:ascii="arial" w:eastAsia="arial" w:hAnsi="arial" w:cs="arial"/>
          <w:b w:val="0"/>
          <w:i w:val="0"/>
          <w:strike w:val="0"/>
          <w:noProof w:val="0"/>
          <w:color w:val="000000"/>
          <w:position w:val="0"/>
          <w:sz w:val="20"/>
          <w:u w:val="none"/>
          <w:vertAlign w:val="baseline"/>
        </w:rPr>
        <w:t>No civil action shall be brought in any court of the state, except by the attorney general on behalf of the state, against any officer or employee of the department, which for purposes of this section shall include members of the state board of parole, in his or her personal capacity, for damages arising out of any act done or the failure to perform any act within the scope of the employment and in the discharge of the duties by such officer or employee.</w:t>
      </w:r>
    </w:p>
    <w:p>
      <w:pPr>
        <w:keepNext w:val="0"/>
        <w:spacing w:before="240" w:after="0" w:line="260" w:lineRule="atLeast"/>
        <w:ind w:left="0" w:right="0" w:firstLine="0"/>
        <w:jc w:val="both"/>
      </w:pPr>
      <w:bookmarkStart w:id="138" w:name="Bookmark_I69CYMV52SF8J40010000400"/>
      <w:bookmarkEnd w:id="138"/>
      <w:hyperlink r:id="rId13" w:history="1">
        <w:r>
          <w:rPr>
            <w:rFonts w:ascii="arial" w:eastAsia="arial" w:hAnsi="arial" w:cs="arial"/>
            <w:b w:val="0"/>
            <w:i/>
            <w:strike w:val="0"/>
            <w:color w:val="0077CC"/>
            <w:sz w:val="20"/>
            <w:u w:val="single"/>
            <w:vertAlign w:val="baseline"/>
          </w:rPr>
          <w:t>N.Y. Correct. Law § 24(1)</w:t>
        </w:r>
      </w:hyperlink>
      <w:r>
        <w:rPr>
          <w:rFonts w:ascii="arial" w:eastAsia="arial" w:hAnsi="arial" w:cs="arial"/>
          <w:b w:val="0"/>
          <w:i w:val="0"/>
          <w:strike w:val="0"/>
          <w:noProof w:val="0"/>
          <w:color w:val="000000"/>
          <w:position w:val="0"/>
          <w:sz w:val="20"/>
          <w:u w:val="none"/>
          <w:vertAlign w:val="baseline"/>
        </w:rPr>
        <w:t xml:space="preserve">. </w:t>
      </w:r>
      <w:bookmarkStart w:id="139" w:name="Bookmark_I69CYMV52SF8J40050000400"/>
      <w:bookmarkEnd w:id="139"/>
      <w:r>
        <w:rPr>
          <w:rFonts w:ascii="arial" w:eastAsia="arial" w:hAnsi="arial" w:cs="arial"/>
          <w:b w:val="0"/>
          <w:i w:val="0"/>
          <w:strike w:val="0"/>
          <w:noProof w:val="0"/>
          <w:color w:val="000000"/>
          <w:position w:val="0"/>
          <w:sz w:val="20"/>
          <w:u w:val="none"/>
          <w:vertAlign w:val="baseline"/>
        </w:rPr>
        <w:t xml:space="preserve">"The statute 'provides DOCCS employees immunity from lawsuits based on acts or omissions within the course of their employment. Such actions must be brought in the New York Court of Claims as a claim against the state.'" </w:t>
      </w:r>
      <w:bookmarkStart w:id="140" w:name="Bookmark_I69CYMV52SF8J30050000400"/>
      <w:bookmarkEnd w:id="140"/>
      <w:hyperlink r:id="rId49" w:history="1">
        <w:r>
          <w:rPr>
            <w:rFonts w:ascii="arial" w:eastAsia="arial" w:hAnsi="arial" w:cs="arial"/>
            <w:b w:val="0"/>
            <w:i/>
            <w:strike w:val="0"/>
            <w:noProof w:val="0"/>
            <w:color w:val="0077CC"/>
            <w:position w:val="0"/>
            <w:sz w:val="20"/>
            <w:u w:val="single"/>
            <w:vertAlign w:val="baseline"/>
          </w:rPr>
          <w:t>Balentine v. Anzalone</w:t>
        </w:r>
      </w:hyperlink>
      <w:hyperlink r:id="rId49" w:history="1">
        <w:r>
          <w:rPr>
            <w:rFonts w:ascii="arial" w:eastAsia="arial" w:hAnsi="arial" w:cs="arial"/>
            <w:b w:val="0"/>
            <w:i/>
            <w:strike w:val="0"/>
            <w:noProof w:val="0"/>
            <w:color w:val="0077CC"/>
            <w:position w:val="0"/>
            <w:sz w:val="20"/>
            <w:u w:val="single"/>
            <w:vertAlign w:val="baseline"/>
          </w:rPr>
          <w:t>, No. 9:21-CV-1383, 2023 U.S. Dist. LEXIS 119832, 2023 WL 4905093, *3 (N.D.N.Y. July 12, 2023)</w:t>
        </w:r>
      </w:hyperlink>
      <w:r>
        <w:rPr>
          <w:rFonts w:ascii="arial" w:eastAsia="arial" w:hAnsi="arial" w:cs="arial"/>
          <w:b w:val="0"/>
          <w:i w:val="0"/>
          <w:strike w:val="0"/>
          <w:noProof w:val="0"/>
          <w:color w:val="000000"/>
          <w:position w:val="0"/>
          <w:sz w:val="20"/>
          <w:u w:val="none"/>
          <w:vertAlign w:val="baseline"/>
        </w:rPr>
        <w:t xml:space="preserve"> (quoting </w:t>
      </w:r>
      <w:bookmarkStart w:id="141" w:name="Bookmark_I69CYMV52SF8J40020000400"/>
      <w:bookmarkEnd w:id="141"/>
      <w:hyperlink r:id="rId50" w:history="1">
        <w:r>
          <w:rPr>
            <w:rFonts w:ascii="arial" w:eastAsia="arial" w:hAnsi="arial" w:cs="arial"/>
            <w:b w:val="0"/>
            <w:i/>
            <w:strike w:val="0"/>
            <w:noProof w:val="0"/>
            <w:color w:val="0077CC"/>
            <w:position w:val="0"/>
            <w:sz w:val="20"/>
            <w:u w:val="single"/>
            <w:vertAlign w:val="baseline"/>
          </w:rPr>
          <w:t>Purcelle v. Thomas</w:t>
        </w:r>
      </w:hyperlink>
      <w:hyperlink r:id="rId50" w:history="1">
        <w:r>
          <w:rPr>
            <w:rFonts w:ascii="arial" w:eastAsia="arial" w:hAnsi="arial" w:cs="arial"/>
            <w:b w:val="0"/>
            <w:i/>
            <w:strike w:val="0"/>
            <w:noProof w:val="0"/>
            <w:color w:val="0077CC"/>
            <w:position w:val="0"/>
            <w:sz w:val="20"/>
            <w:u w:val="single"/>
            <w:vertAlign w:val="baseline"/>
          </w:rPr>
          <w:t>, 9:18-CV-77, 2020 U.S. Dist. LEXIS 41391, 2020 WL 1516421, *15 (N.D.N.Y. Mar. 6, 2020)</w:t>
        </w:r>
      </w:hyperlink>
      <w:r>
        <w:rPr>
          <w:rFonts w:ascii="arial" w:eastAsia="arial" w:hAnsi="arial" w:cs="arial"/>
          <w:b w:val="0"/>
          <w:i w:val="0"/>
          <w:strike w:val="0"/>
          <w:noProof w:val="0"/>
          <w:color w:val="000000"/>
          <w:position w:val="0"/>
          <w:sz w:val="20"/>
          <w:u w:val="none"/>
          <w:vertAlign w:val="baseline"/>
        </w:rPr>
        <w:t xml:space="preserve">). </w:t>
      </w:r>
      <w:bookmarkStart w:id="142" w:name="Bookmark_I69CYMV52SF8J40050000400_2"/>
      <w:bookmarkEnd w:id="142"/>
      <w:r>
        <w:rPr>
          <w:rFonts w:ascii="arial" w:eastAsia="arial" w:hAnsi="arial" w:cs="arial"/>
          <w:b w:val="0"/>
          <w:i w:val="0"/>
          <w:strike w:val="0"/>
          <w:noProof w:val="0"/>
          <w:color w:val="000000"/>
          <w:position w:val="0"/>
          <w:sz w:val="20"/>
          <w:u w:val="none"/>
          <w:vertAlign w:val="baseline"/>
        </w:rPr>
        <w:t xml:space="preserve">"[A]n employee's actions are deemed to be within the scope of their employment when 'the act was done while the servant was doing his master's work, no matter how irregularly, or with what disregard of instructions.'" </w:t>
      </w:r>
      <w:bookmarkStart w:id="143" w:name="Bookmark_I69CYMV52SF8J40040000400"/>
      <w:bookmarkEnd w:id="143"/>
      <w:hyperlink r:id="rId51" w:history="1">
        <w:r>
          <w:rPr>
            <w:rFonts w:ascii="arial" w:eastAsia="arial" w:hAnsi="arial" w:cs="arial"/>
            <w:b w:val="0"/>
            <w:i/>
            <w:strike w:val="0"/>
            <w:noProof w:val="0"/>
            <w:color w:val="0077CC"/>
            <w:position w:val="0"/>
            <w:sz w:val="20"/>
            <w:u w:val="single"/>
            <w:vertAlign w:val="baseline"/>
          </w:rPr>
          <w:t>Francis v. Fiacco</w:t>
        </w:r>
      </w:hyperlink>
      <w:hyperlink r:id="rId51" w:history="1">
        <w:r>
          <w:rPr>
            <w:rFonts w:ascii="arial" w:eastAsia="arial" w:hAnsi="arial" w:cs="arial"/>
            <w:b w:val="0"/>
            <w:i/>
            <w:strike w:val="0"/>
            <w:noProof w:val="0"/>
            <w:color w:val="0077CC"/>
            <w:position w:val="0"/>
            <w:sz w:val="20"/>
            <w:u w:val="single"/>
            <w:vertAlign w:val="baseline"/>
          </w:rPr>
          <w:t>, No. 9:15-CV-00901, 2016 U.S. Dist. LEXIS 79668, 2016 WL 3448617, *4 (N.D.N.Y. June 20, 2016)</w:t>
        </w:r>
      </w:hyperlink>
      <w:r>
        <w:rPr>
          <w:rFonts w:ascii="arial" w:eastAsia="arial" w:hAnsi="arial" w:cs="arial"/>
          <w:b w:val="0"/>
          <w:i w:val="0"/>
          <w:strike w:val="0"/>
          <w:noProof w:val="0"/>
          <w:color w:val="000000"/>
          <w:position w:val="0"/>
          <w:sz w:val="20"/>
          <w:u w:val="none"/>
          <w:vertAlign w:val="baseline"/>
        </w:rPr>
        <w:t xml:space="preserve"> (quoting </w:t>
      </w:r>
      <w:bookmarkStart w:id="144" w:name="Bookmark_I69CYMV62HM5VG0010000400"/>
      <w:bookmarkEnd w:id="144"/>
      <w:hyperlink r:id="rId52" w:history="1">
        <w:r>
          <w:rPr>
            <w:rFonts w:ascii="arial" w:eastAsia="arial" w:hAnsi="arial" w:cs="arial"/>
            <w:b w:val="0"/>
            <w:i/>
            <w:strike w:val="0"/>
            <w:noProof w:val="0"/>
            <w:color w:val="0077CC"/>
            <w:position w:val="0"/>
            <w:sz w:val="20"/>
            <w:u w:val="single"/>
            <w:vertAlign w:val="baseline"/>
          </w:rPr>
          <w:t>Ierardi v. Sisco</w:t>
        </w:r>
      </w:hyperlink>
      <w:hyperlink r:id="rId52" w:history="1">
        <w:r>
          <w:rPr>
            <w:rFonts w:ascii="arial" w:eastAsia="arial" w:hAnsi="arial" w:cs="arial"/>
            <w:b w:val="0"/>
            <w:i/>
            <w:strike w:val="0"/>
            <w:noProof w:val="0"/>
            <w:color w:val="0077CC"/>
            <w:position w:val="0"/>
            <w:sz w:val="20"/>
            <w:u w:val="single"/>
            <w:vertAlign w:val="baseline"/>
          </w:rPr>
          <w:t>, 119 F.3d 183, 187 (2d Cir. 1997)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45" w:name="Bookmark_para_43"/>
      <w:bookmarkEnd w:id="145"/>
      <w:bookmarkStart w:id="146" w:name="Bookmark_I69CYMV62HM5VG0040000400"/>
      <w:bookmarkEnd w:id="146"/>
      <w:r>
        <w:rPr>
          <w:rFonts w:ascii="arial" w:eastAsia="arial" w:hAnsi="arial" w:cs="arial"/>
          <w:b w:val="0"/>
          <w:i w:val="0"/>
          <w:strike w:val="0"/>
          <w:noProof w:val="0"/>
          <w:color w:val="000000"/>
          <w:position w:val="0"/>
          <w:sz w:val="20"/>
          <w:u w:val="none"/>
          <w:vertAlign w:val="baseline"/>
        </w:rPr>
        <w:t xml:space="preserve">For purposes of </w:t>
      </w:r>
      <w:hyperlink r:id="rId13" w:history="1">
        <w:r>
          <w:rPr>
            <w:rFonts w:ascii="arial" w:eastAsia="arial" w:hAnsi="arial" w:cs="arial"/>
            <w:b w:val="0"/>
            <w:i/>
            <w:strike w:val="0"/>
            <w:noProof w:val="0"/>
            <w:color w:val="0077CC"/>
            <w:position w:val="0"/>
            <w:sz w:val="20"/>
            <w:u w:val="single"/>
            <w:vertAlign w:val="baseline"/>
          </w:rPr>
          <w:t>New York Correction Law [section] 24</w:t>
        </w:r>
      </w:hyperlink>
      <w:r>
        <w:rPr>
          <w:rFonts w:ascii="arial" w:eastAsia="arial" w:hAnsi="arial" w:cs="arial"/>
          <w:b w:val="0"/>
          <w:i w:val="0"/>
          <w:strike w:val="0"/>
          <w:noProof w:val="0"/>
          <w:color w:val="000000"/>
          <w:position w:val="0"/>
          <w:sz w:val="20"/>
          <w:u w:val="none"/>
          <w:vertAlign w:val="baseline"/>
        </w:rPr>
        <w:t>, the courts have looked to the following factors to determine whether actions fall within the actor's scope of employment:</w:t>
      </w:r>
      <w:r>
        <w:rPr>
          <w:rFonts w:ascii="arial" w:eastAsia="arial" w:hAnsi="arial" w:cs="arial"/>
          <w:b/>
          <w:i w:val="0"/>
          <w:strike w:val="0"/>
          <w:noProof w:val="0"/>
          <w:color w:val="000000"/>
          <w:position w:val="0"/>
          <w:sz w:val="20"/>
          <w:u w:val="none"/>
          <w:vertAlign w:val="baseline"/>
        </w:rPr>
        <w:t> [*18] </w:t>
      </w:r>
    </w:p>
    <w:p>
      <w:pPr>
        <w:keepNext w:val="0"/>
        <w:spacing w:after="0" w:line="260" w:lineRule="atLeast"/>
        <w:ind w:left="800" w:right="0" w:firstLine="0"/>
        <w:jc w:val="both"/>
      </w:pPr>
      <w:bookmarkStart w:id="147" w:name="Bookmark_para_44"/>
      <w:bookmarkEnd w:id="147"/>
      <w:bookmarkStart w:id="148" w:name="Bookmark_I69CYMV62HM5VG0040000400_2"/>
      <w:bookmarkEnd w:id="148"/>
      <w:bookmarkStart w:id="149" w:name="Bookmark_I69CYMV62D6N520010000400"/>
      <w:bookmarkEnd w:id="149"/>
      <w:r>
        <w:rPr>
          <w:rFonts w:ascii="arial" w:eastAsia="arial" w:hAnsi="arial" w:cs="arial"/>
          <w:b w:val="0"/>
          <w:i w:val="0"/>
          <w:strike w:val="0"/>
          <w:noProof w:val="0"/>
          <w:color w:val="000000"/>
          <w:position w:val="0"/>
          <w:sz w:val="20"/>
          <w:u w:val="none"/>
          <w:vertAlign w:val="baseline"/>
        </w:rPr>
        <w:t>the connection between the time, place and occasion for the act; the history of the relationship between employer and employee as spelled out in actual practice; whether the act is one commonly done by any employee; the extent of departure from normal methods of performance; and whether the specific act was one that the employer could reasonably have anticipated.</w:t>
      </w:r>
    </w:p>
    <w:p>
      <w:pPr>
        <w:keepNext w:val="0"/>
        <w:spacing w:before="240" w:after="0" w:line="260" w:lineRule="atLeast"/>
        <w:ind w:left="0" w:right="0" w:firstLine="0"/>
        <w:jc w:val="both"/>
      </w:pPr>
      <w:bookmarkStart w:id="150" w:name="Bookmark_I69CYMV62D6N520010000400_2"/>
      <w:bookmarkEnd w:id="150"/>
      <w:bookmarkStart w:id="151" w:name="Bookmark_I69CYMV62HM5VG0040000400_3"/>
      <w:bookmarkEnd w:id="151"/>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52" w:name="Bookmark_I69CYMV62HM5VG0030000400"/>
      <w:bookmarkEnd w:id="152"/>
      <w:hyperlink r:id="rId52" w:history="1">
        <w:r>
          <w:rPr>
            <w:rFonts w:ascii="arial" w:eastAsia="arial" w:hAnsi="arial" w:cs="arial"/>
            <w:b w:val="0"/>
            <w:i/>
            <w:strike w:val="0"/>
            <w:noProof w:val="0"/>
            <w:color w:val="0077CC"/>
            <w:position w:val="0"/>
            <w:sz w:val="20"/>
            <w:u w:val="single"/>
            <w:vertAlign w:val="baseline"/>
          </w:rPr>
          <w:t>Ierardi</w:t>
        </w:r>
      </w:hyperlink>
      <w:hyperlink r:id="rId52" w:history="1">
        <w:r>
          <w:rPr>
            <w:rFonts w:ascii="arial" w:eastAsia="arial" w:hAnsi="arial" w:cs="arial"/>
            <w:b w:val="0"/>
            <w:i/>
            <w:strike w:val="0"/>
            <w:noProof w:val="0"/>
            <w:color w:val="0077CC"/>
            <w:position w:val="0"/>
            <w:sz w:val="20"/>
            <w:u w:val="single"/>
            <w:vertAlign w:val="baseline"/>
          </w:rPr>
          <w:t>, 119 F.3d at 187</w:t>
        </w:r>
      </w:hyperlink>
      <w:r>
        <w:rPr>
          <w:rFonts w:ascii="arial" w:eastAsia="arial" w:hAnsi="arial" w:cs="arial"/>
          <w:b w:val="0"/>
          <w:i w:val="0"/>
          <w:strike w:val="0"/>
          <w:noProof w:val="0"/>
          <w:color w:val="000000"/>
          <w:position w:val="0"/>
          <w:sz w:val="20"/>
          <w:u w:val="none"/>
          <w:vertAlign w:val="baseline"/>
        </w:rPr>
        <w:t xml:space="preserve">). "Employees . . . are not found to be acting within their employment scope when their conduct, while in the course of employment, is for purely personal reasons unrelated to the employer's interests and a substantial departure from the normal methods of performing [their] duties." </w:t>
      </w:r>
      <w:bookmarkStart w:id="153" w:name="Bookmark_I69CYMV62HM5VG0050000400"/>
      <w:bookmarkEnd w:id="153"/>
      <w:hyperlink r:id="rId49" w:history="1">
        <w:r>
          <w:rPr>
            <w:rFonts w:ascii="arial" w:eastAsia="arial" w:hAnsi="arial" w:cs="arial"/>
            <w:b w:val="0"/>
            <w:i/>
            <w:strike w:val="0"/>
            <w:noProof w:val="0"/>
            <w:color w:val="0077CC"/>
            <w:position w:val="0"/>
            <w:sz w:val="20"/>
            <w:u w:val="single"/>
            <w:vertAlign w:val="baseline"/>
          </w:rPr>
          <w:t>Balentine</w:t>
        </w:r>
      </w:hyperlink>
      <w:hyperlink r:id="rId49" w:history="1">
        <w:r>
          <w:rPr>
            <w:rFonts w:ascii="arial" w:eastAsia="arial" w:hAnsi="arial" w:cs="arial"/>
            <w:b w:val="0"/>
            <w:i/>
            <w:strike w:val="0"/>
            <w:noProof w:val="0"/>
            <w:color w:val="0077CC"/>
            <w:position w:val="0"/>
            <w:sz w:val="20"/>
            <w:u w:val="single"/>
            <w:vertAlign w:val="baseline"/>
          </w:rPr>
          <w:t>, 2023 U.S. Dist. LEXIS 119832, 2023 WL 4905093, at *3</w:t>
        </w:r>
      </w:hyperlink>
      <w:r>
        <w:rPr>
          <w:rFonts w:ascii="arial" w:eastAsia="arial" w:hAnsi="arial" w:cs="arial"/>
          <w:b w:val="0"/>
          <w:i w:val="0"/>
          <w:strike w:val="0"/>
          <w:noProof w:val="0"/>
          <w:color w:val="000000"/>
          <w:position w:val="0"/>
          <w:sz w:val="20"/>
          <w:u w:val="none"/>
          <w:vertAlign w:val="baseline"/>
        </w:rPr>
        <w:t xml:space="preserve"> (citations and quotation marks omitted).</w:t>
      </w:r>
    </w:p>
    <w:p>
      <w:pPr>
        <w:keepNext w:val="0"/>
        <w:spacing w:before="240" w:after="0" w:line="260" w:lineRule="atLeast"/>
        <w:ind w:left="0" w:right="0" w:firstLine="0"/>
        <w:jc w:val="both"/>
      </w:pPr>
      <w:bookmarkStart w:id="154" w:name="Bookmark_para_45"/>
      <w:bookmarkEnd w:id="154"/>
      <w:r>
        <w:rPr>
          <w:rFonts w:ascii="arial" w:eastAsia="arial" w:hAnsi="arial" w:cs="arial"/>
          <w:b w:val="0"/>
          <w:i w:val="0"/>
          <w:strike w:val="0"/>
          <w:noProof w:val="0"/>
          <w:color w:val="000000"/>
          <w:position w:val="0"/>
          <w:sz w:val="20"/>
          <w:u w:val="none"/>
          <w:vertAlign w:val="baseline"/>
        </w:rPr>
        <w:t xml:space="preserve">Here, Plaintiff alleges that Defendant Shurgot called him a "faggot rapo," kicked him, and slapped him while she was conducting a pat frisk. </w:t>
      </w:r>
      <w:bookmarkStart w:id="155" w:name="Bookmark_I69CYMV62D6N520030000400"/>
      <w:bookmarkEnd w:id="155"/>
      <w:r>
        <w:rPr>
          <w:rFonts w:ascii="arial" w:eastAsia="arial" w:hAnsi="arial" w:cs="arial"/>
          <w:b w:val="0"/>
          <w:i w:val="0"/>
          <w:strike w:val="0"/>
          <w:noProof w:val="0"/>
          <w:color w:val="000000"/>
          <w:position w:val="0"/>
          <w:sz w:val="20"/>
          <w:u w:val="none"/>
          <w:vertAlign w:val="baseline"/>
        </w:rPr>
        <w:t xml:space="preserve">Dkt. No. 10 at 3-4. The majority of cases to consider the issue have concluded that assault, battery, and IIED claims cannot proceed under </w:t>
      </w:r>
      <w:hyperlink r:id="rId13"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where the allegations relate to a defendant's conduct that occurred while he or she was on duty as a corrections officer, interacting with an incarcerated individual. </w:t>
      </w:r>
      <w:r>
        <w:rPr>
          <w:rFonts w:ascii="arial" w:eastAsia="arial" w:hAnsi="arial" w:cs="arial"/>
          <w:b w:val="0"/>
          <w:i/>
          <w:strike w:val="0"/>
          <w:noProof w:val="0"/>
          <w:color w:val="000000"/>
          <w:position w:val="0"/>
          <w:sz w:val="20"/>
          <w:u w:val="none"/>
          <w:vertAlign w:val="baseline"/>
        </w:rPr>
        <w:t xml:space="preserve">See, e.g., </w:t>
      </w:r>
      <w:bookmarkStart w:id="156" w:name="Bookmark_I69CYMV62D6N520020000400"/>
      <w:bookmarkEnd w:id="156"/>
      <w:hyperlink r:id="rId53" w:history="1">
        <w:r>
          <w:rPr>
            <w:rFonts w:ascii="arial" w:eastAsia="arial" w:hAnsi="arial" w:cs="arial"/>
            <w:b w:val="0"/>
            <w:i/>
            <w:strike w:val="0"/>
            <w:noProof w:val="0"/>
            <w:color w:val="0077CC"/>
            <w:position w:val="0"/>
            <w:sz w:val="20"/>
            <w:u w:val="single"/>
            <w:vertAlign w:val="baseline"/>
          </w:rPr>
          <w:t>Solano v. New York</w:t>
        </w:r>
      </w:hyperlink>
      <w:hyperlink r:id="rId53" w:history="1">
        <w:r>
          <w:rPr>
            <w:rFonts w:ascii="arial" w:eastAsia="arial" w:hAnsi="arial" w:cs="arial"/>
            <w:b w:val="0"/>
            <w:i/>
            <w:strike w:val="0"/>
            <w:noProof w:val="0"/>
            <w:color w:val="0077CC"/>
            <w:position w:val="0"/>
            <w:sz w:val="20"/>
            <w:u w:val="single"/>
            <w:vertAlign w:val="baseline"/>
          </w:rPr>
          <w:t>, No. 9:20-CV-01378, 2021 U.S. Dist. LEXIS 171780, 2021 WL 4134793, *9-10 (N.D.N.Y. Sept. 10, 2021)</w:t>
        </w:r>
      </w:hyperlink>
      <w:r>
        <w:rPr>
          <w:rFonts w:ascii="arial" w:eastAsia="arial" w:hAnsi="arial" w:cs="arial"/>
          <w:b w:val="0"/>
          <w:i w:val="0"/>
          <w:strike w:val="0"/>
          <w:noProof w:val="0"/>
          <w:color w:val="000000"/>
          <w:position w:val="0"/>
          <w:sz w:val="20"/>
          <w:u w:val="none"/>
          <w:vertAlign w:val="baseline"/>
        </w:rPr>
        <w:t xml:space="preserve">; </w:t>
      </w:r>
      <w:bookmarkStart w:id="157" w:name="Bookmark_I69CYMV62D6N520040000400"/>
      <w:bookmarkEnd w:id="157"/>
      <w:hyperlink r:id="rId54" w:history="1">
        <w:r>
          <w:rPr>
            <w:rFonts w:ascii="arial" w:eastAsia="arial" w:hAnsi="arial" w:cs="arial"/>
            <w:b w:val="0"/>
            <w:i/>
            <w:strike w:val="0"/>
            <w:noProof w:val="0"/>
            <w:color w:val="0077CC"/>
            <w:position w:val="0"/>
            <w:sz w:val="20"/>
            <w:u w:val="single"/>
            <w:vertAlign w:val="baseline"/>
          </w:rPr>
          <w:t>Flint v. Jun</w:t>
        </w:r>
      </w:hyperlink>
      <w:hyperlink r:id="rId54" w:history="1">
        <w:r>
          <w:rPr>
            <w:rFonts w:ascii="arial" w:eastAsia="arial" w:hAnsi="arial" w:cs="arial"/>
            <w:b w:val="0"/>
            <w:i/>
            <w:strike w:val="0"/>
            <w:noProof w:val="0"/>
            <w:color w:val="0077CC"/>
            <w:position w:val="0"/>
            <w:sz w:val="20"/>
            <w:u w:val="single"/>
            <w:vertAlign w:val="baseline"/>
          </w:rPr>
          <w:t>, 541 F. Supp. 3d 284, 288 (W.D.N.Y. 2021)</w:t>
        </w:r>
      </w:hyperlink>
      <w:r>
        <w:rPr>
          <w:rFonts w:ascii="arial" w:eastAsia="arial" w:hAnsi="arial" w:cs="arial"/>
          <w:b w:val="0"/>
          <w:i w:val="0"/>
          <w:strike w:val="0"/>
          <w:noProof w:val="0"/>
          <w:color w:val="000000"/>
          <w:position w:val="0"/>
          <w:sz w:val="20"/>
          <w:u w:val="none"/>
          <w:vertAlign w:val="baseline"/>
        </w:rPr>
        <w:t xml:space="preserve">; </w:t>
      </w:r>
      <w:bookmarkStart w:id="158" w:name="Bookmark_I69CYMV72D6N560010000400"/>
      <w:bookmarkEnd w:id="158"/>
      <w:hyperlink r:id="rId50" w:history="1">
        <w:r>
          <w:rPr>
            <w:rFonts w:ascii="arial" w:eastAsia="arial" w:hAnsi="arial" w:cs="arial"/>
            <w:b w:val="0"/>
            <w:i/>
            <w:strike w:val="0"/>
            <w:noProof w:val="0"/>
            <w:color w:val="0077CC"/>
            <w:position w:val="0"/>
            <w:sz w:val="20"/>
            <w:u w:val="single"/>
            <w:vertAlign w:val="baseline"/>
          </w:rPr>
          <w:t>Purcelle v. Thomas</w:t>
        </w:r>
      </w:hyperlink>
      <w:hyperlink r:id="rId50" w:history="1">
        <w:r>
          <w:rPr>
            <w:rFonts w:ascii="arial" w:eastAsia="arial" w:hAnsi="arial" w:cs="arial"/>
            <w:b w:val="0"/>
            <w:i/>
            <w:strike w:val="0"/>
            <w:noProof w:val="0"/>
            <w:color w:val="0077CC"/>
            <w:position w:val="0"/>
            <w:sz w:val="20"/>
            <w:u w:val="single"/>
            <w:vertAlign w:val="baseline"/>
          </w:rPr>
          <w:t>, No. 9:18-CV-77, 2020 U.S. Dist. LEXIS 41391, 2020 WL 1516421, *15 (N.D.N.Y. Mar. 6, 2020)</w:t>
        </w:r>
      </w:hyperlink>
      <w:r>
        <w:rPr>
          <w:rFonts w:ascii="arial" w:eastAsia="arial" w:hAnsi="arial" w:cs="arial"/>
          <w:b w:val="0"/>
          <w:i w:val="0"/>
          <w:strike w:val="0"/>
          <w:noProof w:val="0"/>
          <w:color w:val="000000"/>
          <w:position w:val="0"/>
          <w:sz w:val="20"/>
          <w:u w:val="none"/>
          <w:vertAlign w:val="baseline"/>
        </w:rPr>
        <w:t xml:space="preserve">; </w:t>
      </w:r>
      <w:bookmarkStart w:id="159" w:name="Bookmark_I69CYMV72D6N560030000400"/>
      <w:bookmarkEnd w:id="159"/>
      <w:hyperlink r:id="rId55" w:history="1">
        <w:r>
          <w:rPr>
            <w:rFonts w:ascii="arial" w:eastAsia="arial" w:hAnsi="arial" w:cs="arial"/>
            <w:b w:val="0"/>
            <w:i/>
            <w:strike w:val="0"/>
            <w:noProof w:val="0"/>
            <w:color w:val="0077CC"/>
            <w:position w:val="0"/>
            <w:sz w:val="20"/>
            <w:u w:val="single"/>
            <w:vertAlign w:val="baseline"/>
          </w:rPr>
          <w:t>Mann v. Martingano</w:t>
        </w:r>
      </w:hyperlink>
      <w:hyperlink r:id="rId55" w:history="1">
        <w:r>
          <w:rPr>
            <w:rFonts w:ascii="arial" w:eastAsia="arial" w:hAnsi="arial" w:cs="arial"/>
            <w:b w:val="0"/>
            <w:i/>
            <w:strike w:val="0"/>
            <w:noProof w:val="0"/>
            <w:color w:val="0077CC"/>
            <w:position w:val="0"/>
            <w:sz w:val="20"/>
            <w:u w:val="single"/>
            <w:vertAlign w:val="baseline"/>
          </w:rPr>
          <w:t>, No. 9:19-CV-478, 2020 U.S. Dist. LEXIS 16083, 2020 WL 872441, *6 (N.D.N.Y. Jan. 30, 2020)</w:t>
        </w:r>
      </w:hyperlink>
      <w:r>
        <w:rPr>
          <w:rFonts w:ascii="arial" w:eastAsia="arial" w:hAnsi="arial" w:cs="arial"/>
          <w:b w:val="0"/>
          <w:i w:val="0"/>
          <w:strike w:val="0"/>
          <w:noProof w:val="0"/>
          <w:color w:val="000000"/>
          <w:position w:val="0"/>
          <w:sz w:val="20"/>
          <w:u w:val="none"/>
          <w:vertAlign w:val="baseline"/>
        </w:rPr>
        <w:t xml:space="preserve">; </w:t>
      </w:r>
      <w:bookmarkStart w:id="160" w:name="Bookmark_I69CYMV72D6N560050000400"/>
      <w:bookmarkEnd w:id="160"/>
      <w:hyperlink r:id="rId56" w:history="1">
        <w:r>
          <w:rPr>
            <w:rFonts w:ascii="arial" w:eastAsia="arial" w:hAnsi="arial" w:cs="arial"/>
            <w:b w:val="0"/>
            <w:i/>
            <w:strike w:val="0"/>
            <w:noProof w:val="0"/>
            <w:color w:val="0077CC"/>
            <w:position w:val="0"/>
            <w:sz w:val="20"/>
            <w:u w:val="single"/>
            <w:vertAlign w:val="baseline"/>
          </w:rPr>
          <w:t>James v. Doty</w:t>
        </w:r>
      </w:hyperlink>
      <w:hyperlink r:id="rId56" w:history="1">
        <w:r>
          <w:rPr>
            <w:rFonts w:ascii="arial" w:eastAsia="arial" w:hAnsi="arial" w:cs="arial"/>
            <w:b w:val="0"/>
            <w:i/>
            <w:strike w:val="0"/>
            <w:noProof w:val="0"/>
            <w:color w:val="0077CC"/>
            <w:position w:val="0"/>
            <w:sz w:val="20"/>
            <w:u w:val="single"/>
            <w:vertAlign w:val="baseline"/>
          </w:rPr>
          <w:t>, No. 9:17-CV-1145, 2019 U.S. Dist. LEXIS 2631, 2019 WL 1474309, *7 (N.D.N.Y. Jan. 4, 2019)</w:t>
        </w:r>
      </w:hyperlink>
      <w:r>
        <w:rPr>
          <w:rFonts w:ascii="arial" w:eastAsia="arial" w:hAnsi="arial" w:cs="arial"/>
          <w:b w:val="0"/>
          <w:i w:val="0"/>
          <w:strike w:val="0"/>
          <w:noProof w:val="0"/>
          <w:color w:val="000000"/>
          <w:position w:val="0"/>
          <w:sz w:val="20"/>
          <w:u w:val="none"/>
          <w:vertAlign w:val="baseline"/>
        </w:rPr>
        <w:t xml:space="preserve">; </w:t>
      </w:r>
      <w:bookmarkStart w:id="161" w:name="Bookmark_I69CYMV72N1PYK0020000400"/>
      <w:bookmarkEnd w:id="161"/>
      <w:hyperlink r:id="rId57" w:history="1">
        <w:r>
          <w:rPr>
            <w:rFonts w:ascii="arial" w:eastAsia="arial" w:hAnsi="arial" w:cs="arial"/>
            <w:b w:val="0"/>
            <w:i/>
            <w:strike w:val="0"/>
            <w:noProof w:val="0"/>
            <w:color w:val="0077CC"/>
            <w:position w:val="0"/>
            <w:sz w:val="20"/>
            <w:u w:val="single"/>
            <w:vertAlign w:val="baseline"/>
          </w:rPr>
          <w:t>Robinson v. Tillotson</w:t>
        </w:r>
      </w:hyperlink>
      <w:hyperlink r:id="rId57" w:history="1">
        <w:r>
          <w:rPr>
            <w:rFonts w:ascii="arial" w:eastAsia="arial" w:hAnsi="arial" w:cs="arial"/>
            <w:b w:val="0"/>
            <w:i/>
            <w:strike w:val="0"/>
            <w:noProof w:val="0"/>
            <w:color w:val="0077CC"/>
            <w:position w:val="0"/>
            <w:sz w:val="20"/>
            <w:u w:val="single"/>
            <w:vertAlign w:val="baseline"/>
          </w:rPr>
          <w:t>, No. 16-CV-5420, 2018 U.S. Dist. LEXIS 167036, 2018 WL 4682226, *8 (S.D.N.Y. Sept. 27, 2018)</w:t>
        </w:r>
      </w:hyperlink>
      <w:r>
        <w:rPr>
          <w:rFonts w:ascii="arial" w:eastAsia="arial" w:hAnsi="arial" w:cs="arial"/>
          <w:b w:val="0"/>
          <w:i w:val="0"/>
          <w:strike w:val="0"/>
          <w:noProof w:val="0"/>
          <w:color w:val="000000"/>
          <w:position w:val="0"/>
          <w:sz w:val="20"/>
          <w:u w:val="none"/>
          <w:vertAlign w:val="baseline"/>
        </w:rPr>
        <w:t xml:space="preserve">; </w:t>
      </w:r>
      <w:bookmarkStart w:id="162" w:name="Bookmark_I69CYMV72N1PYK0040000400"/>
      <w:bookmarkEnd w:id="162"/>
      <w:hyperlink r:id="rId58" w:history="1">
        <w:r>
          <w:rPr>
            <w:rFonts w:ascii="arial" w:eastAsia="arial" w:hAnsi="arial" w:cs="arial"/>
            <w:b w:val="0"/>
            <w:i/>
            <w:strike w:val="0"/>
            <w:noProof w:val="0"/>
            <w:color w:val="0077CC"/>
            <w:position w:val="0"/>
            <w:sz w:val="20"/>
            <w:u w:val="single"/>
            <w:vertAlign w:val="baseline"/>
          </w:rPr>
          <w:t>Nix v. Lester</w:t>
        </w:r>
      </w:hyperlink>
      <w:hyperlink r:id="rId58" w:history="1">
        <w:r>
          <w:rPr>
            <w:rFonts w:ascii="arial" w:eastAsia="arial" w:hAnsi="arial" w:cs="arial"/>
            <w:b w:val="0"/>
            <w:i/>
            <w:strike w:val="0"/>
            <w:noProof w:val="0"/>
            <w:color w:val="0077CC"/>
            <w:position w:val="0"/>
            <w:sz w:val="20"/>
            <w:u w:val="single"/>
            <w:vertAlign w:val="baseline"/>
          </w:rPr>
          <w:t>, No. 9:16-CV-00828, 2017 U.S. Dist. LEXIS 124289, 2017 WL 3610576, *12 (N.D.N.Y. Aug. 4,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3" w:name="Bookmark_I69CYMV72N1PYP0010000400"/>
      <w:bookmarkEnd w:id="163"/>
      <w:hyperlink r:id="rId49" w:history="1">
        <w:r>
          <w:rPr>
            <w:rFonts w:ascii="arial" w:eastAsia="arial" w:hAnsi="arial" w:cs="arial"/>
            <w:b w:val="0"/>
            <w:i/>
            <w:strike w:val="0"/>
            <w:noProof w:val="0"/>
            <w:color w:val="0077CC"/>
            <w:position w:val="0"/>
            <w:sz w:val="20"/>
            <w:u w:val="single"/>
            <w:vertAlign w:val="baseline"/>
          </w:rPr>
          <w:t>Balentine</w:t>
        </w:r>
      </w:hyperlink>
      <w:hyperlink r:id="rId49" w:history="1">
        <w:r>
          <w:rPr>
            <w:rFonts w:ascii="arial" w:eastAsia="arial" w:hAnsi="arial" w:cs="arial"/>
            <w:b w:val="0"/>
            <w:i/>
            <w:strike w:val="0"/>
            <w:noProof w:val="0"/>
            <w:color w:val="0077CC"/>
            <w:position w:val="0"/>
            <w:sz w:val="20"/>
            <w:u w:val="single"/>
            <w:vertAlign w:val="baseline"/>
          </w:rPr>
          <w:t>, 2023 U.S. Dist. LEXIS 119832, 2023 WL 4905093, at *4</w:t>
        </w:r>
      </w:hyperlink>
      <w:r>
        <w:rPr>
          <w:rFonts w:ascii="arial" w:eastAsia="arial" w:hAnsi="arial" w:cs="arial"/>
          <w:b w:val="0"/>
          <w:i w:val="0"/>
          <w:strike w:val="0"/>
          <w:noProof w:val="0"/>
          <w:color w:val="000000"/>
          <w:position w:val="0"/>
          <w:sz w:val="20"/>
          <w:u w:val="none"/>
          <w:vertAlign w:val="baseline"/>
        </w:rPr>
        <w:t xml:space="preserve"> (citations omitted)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("Immunity under </w:t>
      </w:r>
      <w:hyperlink r:id="rId13" w:history="1">
        <w:r>
          <w:rPr>
            <w:rFonts w:ascii="arial" w:eastAsia="arial" w:hAnsi="arial" w:cs="arial"/>
            <w:b w:val="0"/>
            <w:i/>
            <w:strike w:val="0"/>
            <w:noProof w:val="0"/>
            <w:color w:val="0077CC"/>
            <w:position w:val="0"/>
            <w:sz w:val="20"/>
            <w:u w:val="single"/>
            <w:vertAlign w:val="baseline"/>
          </w:rPr>
          <w:t>N.Y. Correction Law section 24</w:t>
        </w:r>
      </w:hyperlink>
      <w:r>
        <w:rPr>
          <w:rFonts w:ascii="arial" w:eastAsia="arial" w:hAnsi="arial" w:cs="arial"/>
          <w:b w:val="0"/>
          <w:i w:val="0"/>
          <w:strike w:val="0"/>
          <w:noProof w:val="0"/>
          <w:color w:val="000000"/>
          <w:position w:val="0"/>
          <w:sz w:val="20"/>
          <w:u w:val="none"/>
          <w:vertAlign w:val="baseline"/>
        </w:rPr>
        <w:t xml:space="preserve"> has been applied numerous times in the context of an IIED claim. However, other '[c]ourts that have considered the issue have held that personal harassment unrelated to an employee's assigned duties does not entitle a corrections department employee to </w:t>
      </w:r>
      <w:hyperlink r:id="rId13"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immunity'").</w:t>
      </w:r>
    </w:p>
    <w:p>
      <w:pPr>
        <w:keepNext w:val="0"/>
        <w:spacing w:before="240" w:after="0" w:line="260" w:lineRule="atLeast"/>
        <w:ind w:left="0" w:right="0" w:firstLine="0"/>
        <w:jc w:val="both"/>
      </w:pPr>
      <w:bookmarkStart w:id="164" w:name="Bookmark_para_46"/>
      <w:bookmarkEnd w:id="164"/>
      <w:bookmarkStart w:id="165" w:name="Bookmark_I69CYMV72N1PYP0040000400"/>
      <w:bookmarkEnd w:id="165"/>
      <w:r>
        <w:rPr>
          <w:rFonts w:ascii="arial" w:eastAsia="arial" w:hAnsi="arial" w:cs="arial"/>
          <w:b w:val="0"/>
          <w:i w:val="0"/>
          <w:strike w:val="0"/>
          <w:noProof w:val="0"/>
          <w:color w:val="000000"/>
          <w:position w:val="0"/>
          <w:sz w:val="20"/>
          <w:u w:val="none"/>
          <w:vertAlign w:val="baseline"/>
        </w:rPr>
        <w:t xml:space="preserve">The few cases which have allowed state law claims to proceed against corrections officers relate to conduct beyond the use of a derogatory slur and/or the use of force during a routine prison procedure. </w:t>
      </w:r>
      <w:bookmarkStart w:id="166" w:name="Bookmark_I74J2M5VHPC000016TT0003X"/>
      <w:bookmarkEnd w:id="166"/>
      <w:bookmarkStart w:id="167" w:name="Bookmark_I69CYMV728T4990010000400"/>
      <w:bookmarkEnd w:id="167"/>
      <w:r>
        <w:rPr>
          <w:rFonts w:ascii="arial" w:eastAsia="arial" w:hAnsi="arial" w:cs="arial"/>
          <w:b w:val="0"/>
          <w:i w:val="0"/>
          <w:strike w:val="0"/>
          <w:noProof w:val="0"/>
          <w:color w:val="000000"/>
          <w:position w:val="0"/>
          <w:sz w:val="20"/>
          <w:u w:val="none"/>
          <w:vertAlign w:val="baseline"/>
        </w:rPr>
        <w:t xml:space="preserve">For example, </w:t>
      </w:r>
      <w:bookmarkStart w:id="168" w:name="Bookmark_I69CYMV72N1PYP0030000400"/>
      <w:bookmarkEnd w:id="168"/>
      <w:hyperlink r:id="rId52" w:history="1">
        <w:r>
          <w:rPr>
            <w:rFonts w:ascii="arial" w:eastAsia="arial" w:hAnsi="arial" w:cs="arial"/>
            <w:b w:val="0"/>
            <w:i/>
            <w:strike w:val="0"/>
            <w:noProof w:val="0"/>
            <w:color w:val="0077CC"/>
            <w:position w:val="0"/>
            <w:sz w:val="20"/>
            <w:u w:val="single"/>
            <w:vertAlign w:val="baseline"/>
          </w:rPr>
          <w:t>Ierardi</w:t>
        </w:r>
      </w:hyperlink>
      <w:r>
        <w:rPr>
          <w:rFonts w:ascii="arial" w:eastAsia="arial" w:hAnsi="arial" w:cs="arial"/>
          <w:b w:val="0"/>
          <w:i w:val="0"/>
          <w:strike w:val="0"/>
          <w:noProof w:val="0"/>
          <w:color w:val="000000"/>
          <w:position w:val="0"/>
          <w:sz w:val="20"/>
          <w:u w:val="none"/>
          <w:vertAlign w:val="baseline"/>
        </w:rPr>
        <w:t xml:space="preserve"> concerned a DOCCS employee who was sexually harassed and touched by a DOCCS corrections officer. </w:t>
      </w:r>
      <w:bookmarkStart w:id="169" w:name="Bookmark_I69CYMV728T4990010000400_2"/>
      <w:bookmarkEnd w:id="169"/>
      <w:bookmarkStart w:id="170" w:name="Bookmark_I69CYMV728T4990030000400"/>
      <w:bookmarkEnd w:id="170"/>
      <w:r>
        <w:rPr>
          <w:rFonts w:ascii="arial" w:eastAsia="arial" w:hAnsi="arial" w:cs="arial"/>
          <w:b w:val="0"/>
          <w:i/>
          <w:strike w:val="0"/>
          <w:noProof w:val="0"/>
          <w:color w:val="000000"/>
          <w:position w:val="0"/>
          <w:sz w:val="20"/>
          <w:u w:val="none"/>
          <w:vertAlign w:val="baseline"/>
        </w:rPr>
        <w:t xml:space="preserve">See </w:t>
      </w:r>
      <w:bookmarkStart w:id="171" w:name="Bookmark_I69CYMV72N1PYP0050000400"/>
      <w:bookmarkEnd w:id="171"/>
      <w:hyperlink r:id="rId52" w:history="1">
        <w:r>
          <w:rPr>
            <w:rFonts w:ascii="arial" w:eastAsia="arial" w:hAnsi="arial" w:cs="arial"/>
            <w:b w:val="0"/>
            <w:i/>
            <w:strike w:val="0"/>
            <w:noProof w:val="0"/>
            <w:color w:val="0077CC"/>
            <w:position w:val="0"/>
            <w:sz w:val="20"/>
            <w:u w:val="single"/>
            <w:vertAlign w:val="baseline"/>
          </w:rPr>
          <w:t>Ierardi</w:t>
        </w:r>
      </w:hyperlink>
      <w:hyperlink r:id="rId52" w:history="1">
        <w:r>
          <w:rPr>
            <w:rFonts w:ascii="arial" w:eastAsia="arial" w:hAnsi="arial" w:cs="arial"/>
            <w:b w:val="0"/>
            <w:i/>
            <w:strike w:val="0"/>
            <w:noProof w:val="0"/>
            <w:color w:val="0077CC"/>
            <w:position w:val="0"/>
            <w:sz w:val="20"/>
            <w:u w:val="single"/>
            <w:vertAlign w:val="baseline"/>
          </w:rPr>
          <w:t>, 119 F.3d at 185</w:t>
        </w:r>
      </w:hyperlink>
      <w:r>
        <w:rPr>
          <w:rFonts w:ascii="arial" w:eastAsia="arial" w:hAnsi="arial" w:cs="arial"/>
          <w:b w:val="0"/>
          <w:i w:val="0"/>
          <w:strike w:val="0"/>
          <w:noProof w:val="0"/>
          <w:color w:val="000000"/>
          <w:position w:val="0"/>
          <w:sz w:val="20"/>
          <w:u w:val="none"/>
          <w:vertAlign w:val="baseline"/>
        </w:rPr>
        <w:t xml:space="preserve">. </w:t>
      </w:r>
      <w:bookmarkStart w:id="172" w:name="Bookmark_I69CYMV728T4990030000400_2"/>
      <w:bookmarkEnd w:id="172"/>
      <w:r>
        <w:rPr>
          <w:rFonts w:ascii="arial" w:eastAsia="arial" w:hAnsi="arial" w:cs="arial"/>
          <w:b w:val="0"/>
          <w:i w:val="0"/>
          <w:strike w:val="0"/>
          <w:noProof w:val="0"/>
          <w:color w:val="000000"/>
          <w:position w:val="0"/>
          <w:sz w:val="20"/>
          <w:u w:val="none"/>
          <w:vertAlign w:val="baseline"/>
        </w:rPr>
        <w:t xml:space="preserve">The Second Circuit concluded that the corrections officer was not acting within the scope of his employment because the "purported sexual harassment . . . was not undertaken in the discharge of his duties. He was not 'doing [his] employer's work.'" </w:t>
      </w:r>
      <w:bookmarkStart w:id="173" w:name="Bookmark_I69CYMV728T4990020000400"/>
      <w:bookmarkEnd w:id="173"/>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188</w:t>
        </w:r>
      </w:hyperlink>
      <w:r>
        <w:rPr>
          <w:rFonts w:ascii="arial" w:eastAsia="arial" w:hAnsi="arial" w:cs="arial"/>
          <w:b w:val="0"/>
          <w:i w:val="0"/>
          <w:strike w:val="0"/>
          <w:noProof w:val="0"/>
          <w:color w:val="000000"/>
          <w:position w:val="0"/>
          <w:sz w:val="20"/>
          <w:u w:val="none"/>
          <w:vertAlign w:val="baseline"/>
        </w:rPr>
        <w:t xml:space="preserve"> (quoting </w:t>
      </w:r>
      <w:bookmarkStart w:id="174" w:name="Bookmark_I69CYMV728T4990040000400"/>
      <w:bookmarkEnd w:id="174"/>
      <w:hyperlink r:id="rId59" w:history="1">
        <w:r>
          <w:rPr>
            <w:rFonts w:ascii="arial" w:eastAsia="arial" w:hAnsi="arial" w:cs="arial"/>
            <w:b w:val="0"/>
            <w:i/>
            <w:strike w:val="0"/>
            <w:noProof w:val="0"/>
            <w:color w:val="0077CC"/>
            <w:position w:val="0"/>
            <w:sz w:val="20"/>
            <w:u w:val="single"/>
            <w:vertAlign w:val="baseline"/>
          </w:rPr>
          <w:t>Gore v. Kuhlman</w:t>
        </w:r>
      </w:hyperlink>
      <w:hyperlink r:id="rId59" w:history="1">
        <w:r>
          <w:rPr>
            <w:rFonts w:ascii="arial" w:eastAsia="arial" w:hAnsi="arial" w:cs="arial"/>
            <w:b w:val="0"/>
            <w:i/>
            <w:strike w:val="0"/>
            <w:noProof w:val="0"/>
            <w:color w:val="0077CC"/>
            <w:position w:val="0"/>
            <w:sz w:val="20"/>
            <w:u w:val="single"/>
            <w:vertAlign w:val="baseline"/>
          </w:rPr>
          <w:t>, 217 A.D.2d 890, 890, 630 N.Y.S.2d 141 (3d Dep't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5" w:name="Bookmark_para_47"/>
      <w:bookmarkEnd w:id="175"/>
      <w:bookmarkStart w:id="176" w:name="Bookmark_I74J2M5VG25000016TT0003W"/>
      <w:bookmarkEnd w:id="176"/>
      <w:bookmarkStart w:id="177" w:name="Bookmark_I69CYMV82N1PYR0020000400"/>
      <w:bookmarkEnd w:id="177"/>
      <w:bookmarkStart w:id="178" w:name="Bookmark_I69CYMV82N1PYR0040000400"/>
      <w:bookmarkEnd w:id="17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Ozzborn v. New York</w:t>
      </w:r>
      <w:r>
        <w:rPr>
          <w:rFonts w:ascii="arial" w:eastAsia="arial" w:hAnsi="arial" w:cs="arial"/>
          <w:b w:val="0"/>
          <w:i w:val="0"/>
          <w:strike w:val="0"/>
          <w:noProof w:val="0"/>
          <w:color w:val="000000"/>
          <w:position w:val="0"/>
          <w:sz w:val="20"/>
          <w:u w:val="none"/>
          <w:vertAlign w:val="baseline"/>
        </w:rPr>
        <w:t xml:space="preserve">, the plaintiff was "singled out [] for a 'random' pat frisk[,]" the defendant planted a weapon on the plaintiff, and the defendant placed the plaintiff in solitary confinement. </w:t>
      </w:r>
      <w:bookmarkStart w:id="179" w:name="Bookmark_I69CYMV82N1PYR0010000400"/>
      <w:bookmarkEnd w:id="179"/>
      <w:hyperlink r:id="rId60" w:history="1">
        <w:r>
          <w:rPr>
            <w:rFonts w:ascii="arial" w:eastAsia="arial" w:hAnsi="arial" w:cs="arial"/>
            <w:b w:val="0"/>
            <w:i/>
            <w:strike w:val="0"/>
            <w:noProof w:val="0"/>
            <w:color w:val="0077CC"/>
            <w:position w:val="0"/>
            <w:sz w:val="20"/>
            <w:u w:val="single"/>
            <w:vertAlign w:val="baseline"/>
          </w:rPr>
          <w:t>Ozzborn v. New York</w:t>
        </w:r>
      </w:hyperlink>
      <w:hyperlink r:id="rId60" w:history="1">
        <w:r>
          <w:rPr>
            <w:rFonts w:ascii="arial" w:eastAsia="arial" w:hAnsi="arial" w:cs="arial"/>
            <w:b w:val="0"/>
            <w:i/>
            <w:strike w:val="0"/>
            <w:noProof w:val="0"/>
            <w:color w:val="0077CC"/>
            <w:position w:val="0"/>
            <w:sz w:val="20"/>
            <w:u w:val="single"/>
            <w:vertAlign w:val="baseline"/>
          </w:rPr>
          <w:t>, No. 9:17-CV-1039, 2018 U.S. Dist. LEXIS 104425, 2018 WL 3104448, *1 (N.D.N.Y. June 22, 2018)</w:t>
        </w:r>
      </w:hyperlink>
      <w:r>
        <w:rPr>
          <w:rFonts w:ascii="arial" w:eastAsia="arial" w:hAnsi="arial" w:cs="arial"/>
          <w:b w:val="0"/>
          <w:i w:val="0"/>
          <w:strike w:val="0"/>
          <w:noProof w:val="0"/>
          <w:color w:val="000000"/>
          <w:position w:val="0"/>
          <w:sz w:val="20"/>
          <w:u w:val="none"/>
          <w:vertAlign w:val="baseline"/>
        </w:rPr>
        <w:t xml:space="preserve">. The Court concluded that the state law assault, battery, and false imprisonment claims were not barred under </w:t>
      </w:r>
      <w:hyperlink r:id="rId13"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because "planting a weapon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on an inmate is not an act commonly performed by a prison guard" and "such conduct is clearly a radical departure from a prison guard's 'normal methods of performance.'" </w:t>
      </w:r>
      <w:bookmarkStart w:id="180" w:name="Bookmark_I69CYMV82N1PYR0030000400"/>
      <w:bookmarkEnd w:id="180"/>
      <w:hyperlink r:id="rId60" w:history="1">
        <w:r>
          <w:rPr>
            <w:rFonts w:ascii="arial" w:eastAsia="arial" w:hAnsi="arial" w:cs="arial"/>
            <w:b w:val="0"/>
            <w:i/>
            <w:strike w:val="0"/>
            <w:noProof w:val="0"/>
            <w:color w:val="0077CC"/>
            <w:position w:val="0"/>
            <w:sz w:val="20"/>
            <w:u w:val="single"/>
            <w:vertAlign w:val="baseline"/>
          </w:rPr>
          <w:t>2018 U.S. Dist. LEXIS 104425, [WL] at *5</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none"/>
          <w:vertAlign w:val="baseline"/>
        </w:rPr>
        <w:t xml:space="preserve">Additionally, the Court noted that "it is not reasonably foreseeable that a guard, whose duties include keeping contraband out of the hands of inmates, would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 weapon into the prison for the purpose of planting it on an inmate."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81" w:name="Bookmark_para_48"/>
      <w:bookmarkEnd w:id="181"/>
      <w:r>
        <w:rPr>
          <w:rFonts w:ascii="arial" w:eastAsia="arial" w:hAnsi="arial" w:cs="arial"/>
          <w:b w:val="0"/>
          <w:i w:val="0"/>
          <w:strike w:val="0"/>
          <w:noProof w:val="0"/>
          <w:color w:val="000000"/>
          <w:position w:val="0"/>
          <w:sz w:val="20"/>
          <w:u w:val="none"/>
          <w:vertAlign w:val="baseline"/>
        </w:rPr>
        <w:t xml:space="preserve">Here, in the context of a corrections officer and an incarcerated individual in a prison, it is reasonably foreseeable for a corrections officer to conduct a pat frisk of an incarcerated individual before allowing that individual to enter a new cell block. This is an act commonly performed. </w:t>
      </w:r>
      <w:bookmarkStart w:id="182" w:name="Bookmark_I69CYMV82HM5VV0010000400"/>
      <w:bookmarkEnd w:id="182"/>
      <w:r>
        <w:rPr>
          <w:rFonts w:ascii="arial" w:eastAsia="arial" w:hAnsi="arial" w:cs="arial"/>
          <w:b w:val="0"/>
          <w:i w:val="0"/>
          <w:strike w:val="0"/>
          <w:noProof w:val="0"/>
          <w:color w:val="000000"/>
          <w:position w:val="0"/>
          <w:sz w:val="20"/>
          <w:u w:val="none"/>
          <w:vertAlign w:val="baseline"/>
        </w:rPr>
        <w:t xml:space="preserve">It is also reasonably foreseeable that a corrections officer would inquire about the crime which resulted in the incarcerated individual's imprisonment and to order them to stand "on the wall" to conduct a pat frisk. </w:t>
      </w:r>
      <w:bookmarkStart w:id="183" w:name="Bookmark_I69CYMV82HM5VV0030000400"/>
      <w:bookmarkEnd w:id="183"/>
      <w:r>
        <w:rPr>
          <w:rFonts w:ascii="arial" w:eastAsia="arial" w:hAnsi="arial" w:cs="arial"/>
          <w:b w:val="0"/>
          <w:i w:val="0"/>
          <w:strike w:val="0"/>
          <w:noProof w:val="0"/>
          <w:color w:val="000000"/>
          <w:position w:val="0"/>
          <w:sz w:val="20"/>
          <w:u w:val="none"/>
          <w:vertAlign w:val="baseline"/>
        </w:rPr>
        <w:t xml:space="preserve">Dkt. No. 10 at 4. Although an unprovoked assault is not "is not the ordinary conduct of a DOCCS employee[,]" </w:t>
      </w:r>
      <w:bookmarkStart w:id="184" w:name="Bookmark_I69CYMV82N1PYR0050000400"/>
      <w:bookmarkEnd w:id="184"/>
      <w:hyperlink r:id="rId61" w:history="1">
        <w:r>
          <w:rPr>
            <w:rFonts w:ascii="arial" w:eastAsia="arial" w:hAnsi="arial" w:cs="arial"/>
            <w:b w:val="0"/>
            <w:i/>
            <w:strike w:val="0"/>
            <w:noProof w:val="0"/>
            <w:color w:val="0077CC"/>
            <w:position w:val="0"/>
            <w:sz w:val="20"/>
            <w:u w:val="single"/>
            <w:vertAlign w:val="baseline"/>
          </w:rPr>
          <w:t>Tranchina</w:t>
        </w:r>
      </w:hyperlink>
      <w:hyperlink r:id="rId61" w:history="1">
        <w:r>
          <w:rPr>
            <w:rFonts w:ascii="arial" w:eastAsia="arial" w:hAnsi="arial" w:cs="arial"/>
            <w:b w:val="0"/>
            <w:i/>
            <w:strike w:val="0"/>
            <w:noProof w:val="0"/>
            <w:color w:val="0077CC"/>
            <w:position w:val="0"/>
            <w:sz w:val="20"/>
            <w:u w:val="single"/>
            <w:vertAlign w:val="baseline"/>
          </w:rPr>
          <w:t>, 2018 U.S. Dist. LEXIS 101783, 2018 WL 3037377, at *3</w:t>
        </w:r>
      </w:hyperlink>
      <w:r>
        <w:rPr>
          <w:rFonts w:ascii="arial" w:eastAsia="arial" w:hAnsi="arial" w:cs="arial"/>
          <w:b w:val="0"/>
          <w:i w:val="0"/>
          <w:strike w:val="0"/>
          <w:noProof w:val="0"/>
          <w:color w:val="000000"/>
          <w:position w:val="0"/>
          <w:sz w:val="20"/>
          <w:u w:val="none"/>
          <w:vertAlign w:val="baseline"/>
        </w:rPr>
        <w:t>, because Defendant Shurgot's alleged conduct occurred within the scope of her typical duties as a DOCCS' employee, the Court concludes that the claims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against her are barred under </w:t>
      </w:r>
      <w:hyperlink r:id="rId13"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w:t>
      </w:r>
      <w:bookmarkStart w:id="185" w:name="Bookmark_I69CYMV82HM5VV0030000400_2"/>
      <w:bookmarkEnd w:id="185"/>
      <w:r>
        <w:rPr>
          <w:rFonts w:ascii="arial" w:eastAsia="arial" w:hAnsi="arial" w:cs="arial"/>
          <w:b w:val="0"/>
          <w:i/>
          <w:strike w:val="0"/>
          <w:noProof w:val="0"/>
          <w:color w:val="000000"/>
          <w:position w:val="0"/>
          <w:sz w:val="20"/>
          <w:u w:val="none"/>
          <w:vertAlign w:val="baseline"/>
        </w:rPr>
        <w:t xml:space="preserve">See </w:t>
      </w:r>
      <w:bookmarkStart w:id="186" w:name="Bookmark_I69CYMV82HM5VV0020000400"/>
      <w:bookmarkEnd w:id="186"/>
      <w:hyperlink r:id="rId49" w:history="1">
        <w:r>
          <w:rPr>
            <w:rFonts w:ascii="arial" w:eastAsia="arial" w:hAnsi="arial" w:cs="arial"/>
            <w:b w:val="0"/>
            <w:i/>
            <w:strike w:val="0"/>
            <w:noProof w:val="0"/>
            <w:color w:val="0077CC"/>
            <w:position w:val="0"/>
            <w:sz w:val="20"/>
            <w:u w:val="single"/>
            <w:vertAlign w:val="baseline"/>
          </w:rPr>
          <w:t>Balentine</w:t>
        </w:r>
      </w:hyperlink>
      <w:hyperlink r:id="rId49" w:history="1">
        <w:r>
          <w:rPr>
            <w:rFonts w:ascii="arial" w:eastAsia="arial" w:hAnsi="arial" w:cs="arial"/>
            <w:b w:val="0"/>
            <w:i/>
            <w:strike w:val="0"/>
            <w:noProof w:val="0"/>
            <w:color w:val="0077CC"/>
            <w:position w:val="0"/>
            <w:sz w:val="20"/>
            <w:u w:val="single"/>
            <w:vertAlign w:val="baseline"/>
          </w:rPr>
          <w:t>, 2023 U.S. Dist. LEXIS 119832, 2023 WL 4905093, at *6</w:t>
        </w:r>
      </w:hyperlink>
      <w:r>
        <w:rPr>
          <w:rFonts w:ascii="arial" w:eastAsia="arial" w:hAnsi="arial" w:cs="arial"/>
          <w:b w:val="0"/>
          <w:i w:val="0"/>
          <w:strike w:val="0"/>
          <w:noProof w:val="0"/>
          <w:color w:val="000000"/>
          <w:position w:val="0"/>
          <w:sz w:val="20"/>
          <w:u w:val="none"/>
          <w:vertAlign w:val="baseline"/>
        </w:rPr>
        <w:t xml:space="preserve"> (collecting cases) ("Many of the cases which have held that </w:t>
      </w:r>
      <w:hyperlink r:id="rId13"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bars a plaintiff's IIED claim relate to uses of physical force by correctional officers during an allegedly provoked attack and/or concern the medical care that the plaintiff received"); </w:t>
      </w:r>
      <w:r>
        <w:rPr>
          <w:rFonts w:ascii="arial" w:eastAsia="arial" w:hAnsi="arial" w:cs="arial"/>
          <w:b w:val="0"/>
          <w:i/>
          <w:strike w:val="0"/>
          <w:noProof w:val="0"/>
          <w:color w:val="000000"/>
          <w:position w:val="0"/>
          <w:sz w:val="20"/>
          <w:u w:val="none"/>
          <w:vertAlign w:val="baseline"/>
        </w:rPr>
        <w:t xml:space="preserve">see also </w:t>
      </w:r>
      <w:bookmarkStart w:id="187" w:name="Bookmark_I69CYMV82HM5VV0040000400"/>
      <w:bookmarkEnd w:id="187"/>
      <w:hyperlink r:id="rId57" w:history="1">
        <w:r>
          <w:rPr>
            <w:rFonts w:ascii="arial" w:eastAsia="arial" w:hAnsi="arial" w:cs="arial"/>
            <w:b w:val="0"/>
            <w:i/>
            <w:strike w:val="0"/>
            <w:noProof w:val="0"/>
            <w:color w:val="0077CC"/>
            <w:position w:val="0"/>
            <w:sz w:val="20"/>
            <w:u w:val="single"/>
            <w:vertAlign w:val="baseline"/>
          </w:rPr>
          <w:t>Robinson</w:t>
        </w:r>
      </w:hyperlink>
      <w:hyperlink r:id="rId57" w:history="1">
        <w:r>
          <w:rPr>
            <w:rFonts w:ascii="arial" w:eastAsia="arial" w:hAnsi="arial" w:cs="arial"/>
            <w:b w:val="0"/>
            <w:i/>
            <w:strike w:val="0"/>
            <w:noProof w:val="0"/>
            <w:color w:val="0077CC"/>
            <w:position w:val="0"/>
            <w:sz w:val="20"/>
            <w:u w:val="single"/>
            <w:vertAlign w:val="baseline"/>
          </w:rPr>
          <w:t>, 2018 U.S. Dist. LEXIS 167036, 2018 WL 4682226, at *1, *8</w:t>
        </w:r>
      </w:hyperlink>
      <w:r>
        <w:rPr>
          <w:rFonts w:ascii="arial" w:eastAsia="arial" w:hAnsi="arial" w:cs="arial"/>
          <w:b w:val="0"/>
          <w:i w:val="0"/>
          <w:strike w:val="0"/>
          <w:noProof w:val="0"/>
          <w:color w:val="000000"/>
          <w:position w:val="0"/>
          <w:sz w:val="20"/>
          <w:u w:val="none"/>
          <w:vertAlign w:val="baseline"/>
        </w:rPr>
        <w:t xml:space="preserve"> (concluding that the plaintiff's state law claims were barred under </w:t>
      </w:r>
      <w:hyperlink r:id="rId13"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where they related to an alleged assault and battery during a pat frisk upon admission into the suicide watch program inside a prison). Thus, Plaintiff's state law claims against Defendant Shurgot are dismissed.</w:t>
      </w:r>
    </w:p>
    <w:p>
      <w:pPr>
        <w:keepNext w:val="0"/>
        <w:spacing w:before="240" w:after="0" w:line="260" w:lineRule="atLeast"/>
        <w:ind w:left="0" w:right="0" w:firstLine="0"/>
        <w:jc w:val="both"/>
      </w:pPr>
      <w:bookmarkStart w:id="188" w:name="Bookmark_para_49"/>
      <w:bookmarkEnd w:id="188"/>
      <w:r>
        <w:rPr>
          <w:rFonts w:ascii="arial" w:eastAsia="arial" w:hAnsi="arial" w:cs="arial"/>
          <w:b w:val="0"/>
          <w:i w:val="0"/>
          <w:strike w:val="0"/>
          <w:noProof w:val="0"/>
          <w:color w:val="000000"/>
          <w:position w:val="0"/>
          <w:sz w:val="20"/>
          <w:u w:val="none"/>
          <w:vertAlign w:val="baseline"/>
        </w:rPr>
        <w:t xml:space="preserve">As to Defendant Green, in his pre-trial brief, Plaintiff does not argue that Defendant Green was acting outside the scope of her employment.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53 at 4-5. Plaintiff's argument concerning </w:t>
      </w:r>
      <w:hyperlink r:id="rId13"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relates only to Defendant Shurgot.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 Regardless, it is undisputed that Defendant Green was working as a DOCCS employee at the time she was observing Defendant Shurgot conduct the pat frisk. The act of observing another correction officer conduct a pat frisk is one commonly done by a DOCCS employee and is one that could reasonably have been anticipated. Plaintiff has not alleged that Defendant Green engaged in any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conduct that constitutes a substantial departure from normal employment practices. Plaintiff does allege that Defendant Green said, "I don't understand why they keep sending these fu**ing guys here." Dkt. No. 10 at 4. This could indicate that she failed to intervene for personal or harassing reasons. However, because Plaintiff has not alleged that Defendant Green engaged in conduct that is a substantial departure from normal methods of performance, the Court finds that </w:t>
      </w:r>
      <w:hyperlink r:id="rId13" w:history="1">
        <w:r>
          <w:rPr>
            <w:rFonts w:ascii="arial" w:eastAsia="arial" w:hAnsi="arial" w:cs="arial"/>
            <w:b w:val="0"/>
            <w:i/>
            <w:strike w:val="0"/>
            <w:noProof w:val="0"/>
            <w:color w:val="0077CC"/>
            <w:position w:val="0"/>
            <w:sz w:val="20"/>
            <w:u w:val="single"/>
            <w:vertAlign w:val="baseline"/>
          </w:rPr>
          <w:t>section 24</w:t>
        </w:r>
      </w:hyperlink>
      <w:r>
        <w:rPr>
          <w:rFonts w:ascii="arial" w:eastAsia="arial" w:hAnsi="arial" w:cs="arial"/>
          <w:b w:val="0"/>
          <w:i w:val="0"/>
          <w:strike w:val="0"/>
          <w:noProof w:val="0"/>
          <w:color w:val="000000"/>
          <w:position w:val="0"/>
          <w:sz w:val="20"/>
          <w:u w:val="none"/>
          <w:vertAlign w:val="baseline"/>
        </w:rPr>
        <w:t xml:space="preserve"> bars any state law claims against Defendant Green. As such, Plaintiff's state law claims against Defendant Green are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89" w:name="Bookmark_para_50"/>
      <w:bookmarkEnd w:id="189"/>
      <w:r>
        <w:rPr>
          <w:rFonts w:ascii="arial" w:eastAsia="arial" w:hAnsi="arial" w:cs="arial"/>
          <w:b w:val="0"/>
          <w:i w:val="0"/>
          <w:strike w:val="0"/>
          <w:noProof w:val="0"/>
          <w:color w:val="000000"/>
          <w:position w:val="0"/>
          <w:sz w:val="20"/>
          <w:u w:val="none"/>
          <w:vertAlign w:val="baseline"/>
        </w:rPr>
        <w:t>After carefully reviewing the entire record in this matter, Plaintiff's submissions, Defendants' submissions, and the applicable law, and for the reasons set forth above, the Court hereby</w:t>
      </w:r>
    </w:p>
    <w:p>
      <w:pPr>
        <w:keepNext w:val="0"/>
        <w:spacing w:before="200" w:after="0" w:line="260" w:lineRule="atLeast"/>
        <w:ind w:left="0" w:right="0" w:firstLine="0"/>
        <w:jc w:val="both"/>
      </w:pPr>
      <w:bookmarkStart w:id="190" w:name="Bookmark_para_51"/>
      <w:bookmarkEnd w:id="190"/>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that Plaintiff's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(Dkt. No. 36) is </w:t>
      </w:r>
      <w:r>
        <w:rPr>
          <w:rFonts w:ascii="arial" w:eastAsia="arial" w:hAnsi="arial" w:cs="arial"/>
          <w:b/>
          <w:i w:val="0"/>
          <w:strike w:val="0"/>
          <w:noProof w:val="0"/>
          <w:color w:val="000000"/>
          <w:position w:val="0"/>
          <w:sz w:val="20"/>
          <w:u w:val="none"/>
          <w:vertAlign w:val="baseline"/>
        </w:rPr>
        <w:t>GRANTED in part and DENIED in part</w:t>
      </w:r>
      <w:r>
        <w:rPr>
          <w:rFonts w:ascii="arial" w:eastAsia="arial" w:hAnsi="arial" w:cs="arial"/>
          <w:b w:val="0"/>
          <w:i w:val="0"/>
          <w:strike w:val="0"/>
          <w:noProof w:val="0"/>
          <w:color w:val="000000"/>
          <w:position w:val="0"/>
          <w:sz w:val="20"/>
          <w:u w:val="none"/>
          <w:vertAlign w:val="baseline"/>
        </w:rPr>
        <w:t>; and the Court further</w:t>
      </w:r>
    </w:p>
    <w:p>
      <w:pPr>
        <w:keepNext w:val="0"/>
        <w:spacing w:before="200" w:after="0" w:line="260" w:lineRule="atLeast"/>
        <w:ind w:left="0" w:right="0" w:firstLine="0"/>
        <w:jc w:val="both"/>
      </w:pPr>
      <w:bookmarkStart w:id="191" w:name="Bookmark_para_52"/>
      <w:bookmarkEnd w:id="191"/>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that Defendants'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(Dkt. No. 46) is </w:t>
      </w:r>
      <w:r>
        <w:rPr>
          <w:rFonts w:ascii="arial" w:eastAsia="arial" w:hAnsi="arial" w:cs="arial"/>
          <w:b/>
          <w:i w:val="0"/>
          <w:strike w:val="0"/>
          <w:noProof w:val="0"/>
          <w:color w:val="000000"/>
          <w:position w:val="0"/>
          <w:sz w:val="20"/>
          <w:u w:val="none"/>
          <w:vertAlign w:val="baseline"/>
        </w:rPr>
        <w:t>GRANTED in part and DENIED in part</w:t>
      </w:r>
      <w:r>
        <w:rPr>
          <w:rFonts w:ascii="arial" w:eastAsia="arial" w:hAnsi="arial" w:cs="arial"/>
          <w:b w:val="0"/>
          <w:i w:val="0"/>
          <w:strike w:val="0"/>
          <w:noProof w:val="0"/>
          <w:color w:val="000000"/>
          <w:position w:val="0"/>
          <w:sz w:val="20"/>
          <w:u w:val="none"/>
          <w:vertAlign w:val="baseline"/>
        </w:rPr>
        <w:t>; and the Court further</w:t>
      </w:r>
    </w:p>
    <w:p>
      <w:pPr>
        <w:keepNext w:val="0"/>
        <w:spacing w:before="200" w:after="0" w:line="260" w:lineRule="atLeast"/>
        <w:ind w:left="0" w:right="0" w:firstLine="0"/>
        <w:jc w:val="both"/>
      </w:pPr>
      <w:bookmarkStart w:id="192" w:name="Bookmark_para_53"/>
      <w:bookmarkEnd w:id="192"/>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that Plaintiff's state law claims are dismissed;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the Court further</w:t>
      </w:r>
    </w:p>
    <w:p>
      <w:pPr>
        <w:keepNext w:val="0"/>
        <w:spacing w:before="200" w:after="0" w:line="260" w:lineRule="atLeast"/>
        <w:ind w:left="0" w:right="0" w:firstLine="0"/>
        <w:jc w:val="both"/>
      </w:pPr>
      <w:bookmarkStart w:id="194" w:name="Bookmark_para_54"/>
      <w:bookmarkEnd w:id="194"/>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that the Clerk of the Court shall serve a copy of this Memorandum-Decision and Order</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on the parties in accordance with the Local Rules.</w:t>
      </w:r>
    </w:p>
    <w:p>
      <w:pPr>
        <w:keepNext w:val="0"/>
        <w:spacing w:before="200" w:after="0" w:line="260" w:lineRule="atLeast"/>
        <w:ind w:left="0" w:right="0" w:firstLine="0"/>
        <w:jc w:val="both"/>
      </w:pPr>
      <w:bookmarkStart w:id="195" w:name="Bookmark_para_55"/>
      <w:bookmarkEnd w:id="195"/>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6" w:name="Bookmark_para_56"/>
      <w:bookmarkEnd w:id="196"/>
      <w:r>
        <w:rPr>
          <w:rFonts w:ascii="arial" w:eastAsia="arial" w:hAnsi="arial" w:cs="arial"/>
          <w:b w:val="0"/>
          <w:i w:val="0"/>
          <w:strike w:val="0"/>
          <w:noProof w:val="0"/>
          <w:color w:val="000000"/>
          <w:position w:val="0"/>
          <w:sz w:val="20"/>
          <w:u w:val="none"/>
          <w:vertAlign w:val="baseline"/>
        </w:rPr>
        <w:t>Dated: October 11, 2023</w:t>
      </w:r>
    </w:p>
    <w:p>
      <w:pPr>
        <w:keepNext w:val="0"/>
        <w:spacing w:before="200" w:after="0" w:line="260" w:lineRule="atLeast"/>
        <w:ind w:left="0" w:right="0" w:firstLine="0"/>
        <w:jc w:val="both"/>
      </w:pPr>
      <w:bookmarkStart w:id="197" w:name="Bookmark_para_57"/>
      <w:bookmarkEnd w:id="197"/>
      <w:r>
        <w:rPr>
          <w:rFonts w:ascii="arial" w:eastAsia="arial" w:hAnsi="arial" w:cs="arial"/>
          <w:b w:val="0"/>
          <w:i w:val="0"/>
          <w:strike w:val="0"/>
          <w:noProof w:val="0"/>
          <w:color w:val="000000"/>
          <w:position w:val="0"/>
          <w:sz w:val="20"/>
          <w:u w:val="none"/>
          <w:vertAlign w:val="baseline"/>
        </w:rPr>
        <w:t>Albany, New York</w:t>
      </w:r>
    </w:p>
    <w:p>
      <w:pPr>
        <w:keepNext w:val="0"/>
        <w:spacing w:before="200" w:after="0" w:line="260" w:lineRule="atLeast"/>
        <w:ind w:left="0" w:right="0" w:firstLine="0"/>
        <w:jc w:val="both"/>
      </w:pPr>
      <w:bookmarkStart w:id="198" w:name="Bookmark_para_58"/>
      <w:bookmarkEnd w:id="198"/>
      <w:r>
        <w:rPr>
          <w:rFonts w:ascii="arial" w:eastAsia="arial" w:hAnsi="arial" w:cs="arial"/>
          <w:b w:val="0"/>
          <w:i w:val="0"/>
          <w:strike w:val="0"/>
          <w:noProof w:val="0"/>
          <w:color w:val="000000"/>
          <w:position w:val="0"/>
          <w:sz w:val="20"/>
          <w:u w:val="none"/>
          <w:vertAlign w:val="baseline"/>
        </w:rPr>
        <w:t>/s/ Mae A. D'Agostino</w:t>
      </w:r>
    </w:p>
    <w:p>
      <w:pPr>
        <w:keepNext w:val="0"/>
        <w:spacing w:before="200" w:after="0" w:line="260" w:lineRule="atLeast"/>
        <w:ind w:left="0" w:right="0" w:firstLine="0"/>
        <w:jc w:val="both"/>
      </w:pPr>
      <w:bookmarkStart w:id="199" w:name="Bookmark_para_59"/>
      <w:bookmarkEnd w:id="199"/>
      <w:r>
        <w:rPr>
          <w:rFonts w:ascii="arial" w:eastAsia="arial" w:hAnsi="arial" w:cs="arial"/>
          <w:b w:val="0"/>
          <w:i w:val="0"/>
          <w:strike w:val="0"/>
          <w:noProof w:val="0"/>
          <w:color w:val="000000"/>
          <w:position w:val="0"/>
          <w:sz w:val="20"/>
          <w:u w:val="none"/>
          <w:vertAlign w:val="baseline"/>
        </w:rPr>
        <w:t>Mae A. D'Agostino</w:t>
      </w:r>
    </w:p>
    <w:p>
      <w:pPr>
        <w:keepNext w:val="0"/>
        <w:spacing w:before="200" w:after="0" w:line="260" w:lineRule="atLeast"/>
        <w:ind w:left="0" w:right="0" w:firstLine="0"/>
        <w:jc w:val="both"/>
      </w:pPr>
      <w:bookmarkStart w:id="200" w:name="Bookmark_para_60"/>
      <w:bookmarkEnd w:id="200"/>
      <w:r>
        <w:rPr>
          <w:rFonts w:ascii="arial" w:eastAsia="arial" w:hAnsi="arial" w:cs="arial"/>
          <w:b w:val="0"/>
          <w:i w:val="0"/>
          <w:strike w:val="0"/>
          <w:noProof w:val="0"/>
          <w:color w:val="000000"/>
          <w:position w:val="0"/>
          <w:sz w:val="20"/>
          <w:u w:val="none"/>
          <w:vertAlign w:val="baseline"/>
        </w:rPr>
        <w:t>U.S.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In Defendants' preliminary statement, they contend that Plaintiff should be precluded from calling any non-party witnesses at trial.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46 at 2. However, Defendants did not include any argument pertaining to this issue in the body of their motion.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3-15. The Court is not required to consider arguments that are not briefed, and Defendants' motion is denied on this ground.</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9" w:name="Bookmark_fnpara_2"/>
      <w:bookmarkEnd w:id="129"/>
      <w:r>
        <w:rPr>
          <w:rFonts w:ascii="arial" w:eastAsia="arial" w:hAnsi="arial" w:cs="arial"/>
          <w:b w:val="0"/>
          <w:i w:val="0"/>
          <w:strike w:val="0"/>
          <w:noProof w:val="0"/>
          <w:color w:val="000000"/>
          <w:position w:val="0"/>
          <w:sz w:val="18"/>
          <w:u w:val="none"/>
          <w:vertAlign w:val="baseline"/>
        </w:rPr>
        <w:t xml:space="preserve">Should the jury find that Plaintiff is entitled to an award of punitive damages, Plaintiff may be permitted to introduce evidence relating to an indemnification agreement. </w:t>
      </w:r>
      <w:r>
        <w:rPr>
          <w:rFonts w:ascii="arial" w:eastAsia="arial" w:hAnsi="arial" w:cs="arial"/>
          <w:b w:val="0"/>
          <w:i/>
          <w:strike w:val="0"/>
          <w:noProof w:val="0"/>
          <w:color w:val="000000"/>
          <w:position w:val="0"/>
          <w:sz w:val="18"/>
          <w:u w:val="none"/>
          <w:vertAlign w:val="baseline"/>
        </w:rPr>
        <w:t xml:space="preserve">See </w:t>
      </w:r>
      <w:bookmarkStart w:id="130" w:name="Bookmark_I69CYMV52SF8J30010000400"/>
      <w:bookmarkEnd w:id="130"/>
      <w:hyperlink r:id="rId1" w:history="1">
        <w:r>
          <w:rPr>
            <w:rFonts w:ascii="arial" w:eastAsia="arial" w:hAnsi="arial" w:cs="arial"/>
            <w:b w:val="0"/>
            <w:i/>
            <w:strike w:val="0"/>
            <w:noProof w:val="0"/>
            <w:color w:val="0077CC"/>
            <w:position w:val="0"/>
            <w:sz w:val="18"/>
            <w:u w:val="single"/>
            <w:vertAlign w:val="baseline"/>
          </w:rPr>
          <w:t>Mathie v. Fries</w:t>
        </w:r>
      </w:hyperlink>
      <w:hyperlink r:id="rId1" w:history="1">
        <w:r>
          <w:rPr>
            <w:rFonts w:ascii="arial" w:eastAsia="arial" w:hAnsi="arial" w:cs="arial"/>
            <w:b w:val="0"/>
            <w:i/>
            <w:strike w:val="0"/>
            <w:noProof w:val="0"/>
            <w:color w:val="0077CC"/>
            <w:position w:val="0"/>
            <w:sz w:val="18"/>
            <w:u w:val="single"/>
            <w:vertAlign w:val="baseline"/>
          </w:rPr>
          <w:t>, 121 F.3d 808, 816 (2d Cir. 1997)</w:t>
        </w:r>
      </w:hyperlink>
      <w:r>
        <w:rPr>
          <w:rFonts w:ascii="arial" w:eastAsia="arial" w:hAnsi="arial" w:cs="arial"/>
          <w:b w:val="0"/>
          <w:i w:val="0"/>
          <w:strike w:val="0"/>
          <w:noProof w:val="0"/>
          <w:color w:val="000000"/>
          <w:position w:val="0"/>
          <w:sz w:val="18"/>
          <w:u w:val="none"/>
          <w:vertAlign w:val="baseline"/>
        </w:rPr>
        <w:t xml:space="preserve"> ("Although we do not decide the question of whether a fact-finder can rely upon the existence of an indemnity agreement in order to </w:t>
      </w:r>
      <w:r>
        <w:rPr>
          <w:rFonts w:ascii="arial" w:eastAsia="arial" w:hAnsi="arial" w:cs="arial"/>
          <w:b w:val="0"/>
          <w:i/>
          <w:strike w:val="0"/>
          <w:noProof w:val="0"/>
          <w:color w:val="000000"/>
          <w:position w:val="0"/>
          <w:sz w:val="18"/>
          <w:u w:val="none"/>
          <w:vertAlign w:val="baseline"/>
        </w:rPr>
        <w:t>increase</w:t>
      </w:r>
      <w:r>
        <w:rPr>
          <w:rFonts w:ascii="arial" w:eastAsia="arial" w:hAnsi="arial" w:cs="arial"/>
          <w:b w:val="0"/>
          <w:i w:val="0"/>
          <w:strike w:val="0"/>
          <w:noProof w:val="0"/>
          <w:color w:val="000000"/>
          <w:position w:val="0"/>
          <w:sz w:val="18"/>
          <w:u w:val="none"/>
          <w:vertAlign w:val="baseline"/>
        </w:rPr>
        <w:t xml:space="preserve"> an award of punitive damages, we rule that a fact-finder can properly consider the existence of such an agreement as obviating the need to determine whether a defendant's limited financial resources justifies some </w:t>
      </w:r>
      <w:r>
        <w:rPr>
          <w:rFonts w:ascii="arial" w:eastAsia="arial" w:hAnsi="arial" w:cs="arial"/>
          <w:b w:val="0"/>
          <w:i/>
          <w:strike w:val="0"/>
          <w:noProof w:val="0"/>
          <w:color w:val="000000"/>
          <w:position w:val="0"/>
          <w:sz w:val="18"/>
          <w:u w:val="none"/>
          <w:vertAlign w:val="baseline"/>
        </w:rPr>
        <w:t>reduction</w:t>
      </w:r>
      <w:r>
        <w:rPr>
          <w:rFonts w:ascii="arial" w:eastAsia="arial" w:hAnsi="arial" w:cs="arial"/>
          <w:b w:val="0"/>
          <w:i w:val="0"/>
          <w:strike w:val="0"/>
          <w:noProof w:val="0"/>
          <w:color w:val="000000"/>
          <w:position w:val="0"/>
          <w:sz w:val="18"/>
          <w:u w:val="none"/>
          <w:vertAlign w:val="baseline"/>
        </w:rPr>
        <w:t xml:space="preserve"> in the amount that would otherwise be awarded.").</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93" w:name="Bookmark_fnpara_3"/>
      <w:bookmarkEnd w:id="193"/>
      <w:r>
        <w:rPr>
          <w:rFonts w:ascii="arial" w:eastAsia="arial" w:hAnsi="arial" w:cs="arial"/>
          <w:b w:val="0"/>
          <w:i w:val="0"/>
          <w:strike w:val="0"/>
          <w:noProof w:val="0"/>
          <w:color w:val="000000"/>
          <w:position w:val="0"/>
          <w:sz w:val="18"/>
          <w:u w:val="none"/>
          <w:vertAlign w:val="baseline"/>
        </w:rPr>
        <w:t>Dismissal of Plaintiff's state law claims is without prejudice to him filing the claims in the appropriate state court. The Court makes no determination about Plaintiff's ability to successfully bring those claims.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Balentine v. Shurgot, 2023 U.S. Dist. LEXIS 182383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T6-5M21-JF75-M0J9-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T9R-T502-8T6X-7323-00000-00&amp;context=1519360" TargetMode="External" /><Relationship Id="rId13" Type="http://schemas.openxmlformats.org/officeDocument/2006/relationships/hyperlink" Target="https://advance.lexis.com/api/document?collection=statutes-legislation&amp;id=urn:contentItem:5CT2-YM91-6RDJ-84B3-00000-00&amp;context=1519360" TargetMode="External" /><Relationship Id="rId14" Type="http://schemas.openxmlformats.org/officeDocument/2006/relationships/hyperlink" Target="https://advance.lexis.com/api/document?collection=cases&amp;id=urn:contentItem:3S4X-32H0-003B-S03S-00000-00&amp;context=1519360" TargetMode="External" /><Relationship Id="rId15" Type="http://schemas.openxmlformats.org/officeDocument/2006/relationships/hyperlink" Target="https://advance.lexis.com/api/document?collection=cases&amp;id=urn:contentItem:3S4X-1V70-006F-M04F-00000-00&amp;context=1519360" TargetMode="External" /><Relationship Id="rId16" Type="http://schemas.openxmlformats.org/officeDocument/2006/relationships/hyperlink" Target="https://advance.lexis.com/api/document?collection=cases&amp;id=urn:contentItem:64SS-2R01-JBT7-X0V2-00000-00&amp;context=1519360" TargetMode="External" /><Relationship Id="rId17" Type="http://schemas.openxmlformats.org/officeDocument/2006/relationships/hyperlink" Target="https://advance.lexis.com/api/document?collection=statutes-legislation&amp;id=urn:contentItem:5GYC-2991-FG36-11X8-00000-00&amp;context=1519360" TargetMode="External" /><Relationship Id="rId18" Type="http://schemas.openxmlformats.org/officeDocument/2006/relationships/hyperlink" Target="https://advance.lexis.com/api/document?collection=statutes-legislation&amp;id=urn:contentItem:5GYC-2991-FG36-11XB-00000-00&amp;context=1519360" TargetMode="External" /><Relationship Id="rId19" Type="http://schemas.openxmlformats.org/officeDocument/2006/relationships/hyperlink" Target="https://advance.lexis.com/api/document?collection=cases&amp;id=urn:contentItem:3S4X-CJR0-003B-5269-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16G0-0039-P16K-00000-00&amp;context=1519360" TargetMode="External" /><Relationship Id="rId21" Type="http://schemas.openxmlformats.org/officeDocument/2006/relationships/hyperlink" Target="https://advance.lexis.com/api/document?collection=cases&amp;id=urn:contentItem:3S4X-DH20-0039-P4BD-00000-00&amp;context=1519360" TargetMode="External" /><Relationship Id="rId22" Type="http://schemas.openxmlformats.org/officeDocument/2006/relationships/hyperlink" Target="https://advance.lexis.com/api/document?collection=cases&amp;id=urn:contentItem:3S4N-CR60-006F-P3W1-00000-00&amp;context=1519360" TargetMode="External" /><Relationship Id="rId23" Type="http://schemas.openxmlformats.org/officeDocument/2006/relationships/hyperlink" Target="https://advance.lexis.com/api/document?collection=statutes-legislation&amp;id=urn:contentItem:5GYC-2991-FG36-1204-00000-00&amp;context=1519360" TargetMode="External" /><Relationship Id="rId24" Type="http://schemas.openxmlformats.org/officeDocument/2006/relationships/hyperlink" Target="https://advance.lexis.com/api/document?collection=cases&amp;id=urn:contentItem:3S4W-TSK0-003B-G0RR-00000-00&amp;context=1519360" TargetMode="External" /><Relationship Id="rId25" Type="http://schemas.openxmlformats.org/officeDocument/2006/relationships/hyperlink" Target="https://advance.lexis.com/api/document?collection=cases&amp;id=urn:contentItem:5VMN-4YT1-FCYK-220P-00000-00&amp;context=1519360" TargetMode="External" /><Relationship Id="rId26" Type="http://schemas.openxmlformats.org/officeDocument/2006/relationships/hyperlink" Target="https://advance.lexis.com/api/document?collection=cases&amp;id=urn:contentItem:3S4W-Y870-0039-M0JW-00000-00&amp;context=1519360" TargetMode="External" /><Relationship Id="rId27" Type="http://schemas.openxmlformats.org/officeDocument/2006/relationships/hyperlink" Target="https://advance.lexis.com/api/document?collection=cases&amp;id=urn:contentItem:4VT7-11C0-TXFR-J2D7-00000-00&amp;context=1519360" TargetMode="External" /><Relationship Id="rId28" Type="http://schemas.openxmlformats.org/officeDocument/2006/relationships/hyperlink" Target="https://advance.lexis.com/api/document?collection=cases&amp;id=urn:contentItem:4HP0-W1W0-0038-X3J2-00000-00&amp;context=1519360" TargetMode="External" /><Relationship Id="rId29" Type="http://schemas.openxmlformats.org/officeDocument/2006/relationships/hyperlink" Target="https://advance.lexis.com/api/document?collection=cases&amp;id=urn:contentItem:3RR0-0DM0-0038-Y0H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0X50-0039-M3DN-00000-00&amp;context=1519360" TargetMode="External" /><Relationship Id="rId31" Type="http://schemas.openxmlformats.org/officeDocument/2006/relationships/hyperlink" Target="https://advance.lexis.com/api/document?collection=cases&amp;id=urn:contentItem:3S4X-0YB0-0039-M3MD-00000-00&amp;context=1519360" TargetMode="External" /><Relationship Id="rId32" Type="http://schemas.openxmlformats.org/officeDocument/2006/relationships/hyperlink" Target="https://advance.lexis.com/api/document?collection=cases&amp;id=urn:contentItem:665D-SF01-JJ1H-X20M-00000-00&amp;context=1519360" TargetMode="External" /><Relationship Id="rId33" Type="http://schemas.openxmlformats.org/officeDocument/2006/relationships/hyperlink" Target="https://advance.lexis.com/api/document?collection=cases&amp;id=urn:contentItem:5SSM-8401-FGRY-B3P0-00000-00&amp;context=1519360" TargetMode="External" /><Relationship Id="rId34" Type="http://schemas.openxmlformats.org/officeDocument/2006/relationships/hyperlink" Target="https://advance.lexis.com/api/document?collection=cases&amp;id=urn:contentItem:5BC4-DMM1-F04F-01CM-00000-00&amp;context=1519360" TargetMode="External" /><Relationship Id="rId35" Type="http://schemas.openxmlformats.org/officeDocument/2006/relationships/hyperlink" Target="https://advance.lexis.com/api/document?collection=cases&amp;id=urn:contentItem:3S4N-NJK0-001T-6034-00000-00&amp;context=1519360" TargetMode="External" /><Relationship Id="rId36" Type="http://schemas.openxmlformats.org/officeDocument/2006/relationships/hyperlink" Target="https://advance.lexis.com/api/document?collection=cases&amp;id=urn:contentItem:83GP-BGJ1-652J-D3SG-00000-00&amp;context=1519360" TargetMode="External" /><Relationship Id="rId37" Type="http://schemas.openxmlformats.org/officeDocument/2006/relationships/hyperlink" Target="https://advance.lexis.com/api/document?collection=cases&amp;id=urn:contentItem:3S4N-PG90-001T-546C-00000-00&amp;context=1519360" TargetMode="External" /><Relationship Id="rId38" Type="http://schemas.openxmlformats.org/officeDocument/2006/relationships/hyperlink" Target="https://advance.lexis.com/api/document?collection=statutes-legislation&amp;id=urn:contentItem:6182-R703-GXJ9-32BN-00000-00&amp;context=1519360" TargetMode="External" /><Relationship Id="rId39" Type="http://schemas.openxmlformats.org/officeDocument/2006/relationships/hyperlink" Target="https://advance.lexis.com/api/document?collection=cases&amp;id=urn:contentItem:66KK-3SC1-F873-B1TJ-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MWD-6WH1-F04K-J01J-00000-00&amp;context=1519360" TargetMode="External" /><Relationship Id="rId41" Type="http://schemas.openxmlformats.org/officeDocument/2006/relationships/hyperlink" Target="https://advance.lexis.com/api/document?collection=cases&amp;id=urn:contentItem:5MY4-CFB1-F04F-014Y-00000-00&amp;context=1519360" TargetMode="External" /><Relationship Id="rId42" Type="http://schemas.openxmlformats.org/officeDocument/2006/relationships/hyperlink" Target="https://advance.lexis.com/api/document?collection=cases&amp;id=urn:contentItem:52WK-9R81-652R-0058-00000-00&amp;context=1519360" TargetMode="External" /><Relationship Id="rId43" Type="http://schemas.openxmlformats.org/officeDocument/2006/relationships/hyperlink" Target="https://advance.lexis.com/api/document?collection=cases&amp;id=urn:contentItem:58JX-MJY1-F04F-012P-00000-00&amp;context=1519360" TargetMode="External" /><Relationship Id="rId44" Type="http://schemas.openxmlformats.org/officeDocument/2006/relationships/hyperlink" Target="https://advance.lexis.com/api/document?collection=cases&amp;id=urn:contentItem:3S4X-3DH0-001B-K10C-00000-00&amp;context=1519360" TargetMode="External" /><Relationship Id="rId45" Type="http://schemas.openxmlformats.org/officeDocument/2006/relationships/hyperlink" Target="https://advance.lexis.com/api/document?collection=statutes-legislation&amp;id=urn:contentItem:5GYC-2991-FG36-11X6-00000-00&amp;context=1519360" TargetMode="External" /><Relationship Id="rId46" Type="http://schemas.openxmlformats.org/officeDocument/2006/relationships/hyperlink" Target="https://advance.lexis.com/api/document?collection=cases&amp;id=urn:contentItem:6323-5JV1-JSJC-X0KY-00000-00&amp;context=1519360" TargetMode="External" /><Relationship Id="rId47" Type="http://schemas.openxmlformats.org/officeDocument/2006/relationships/hyperlink" Target="https://advance.lexis.com/api/document?collection=cases&amp;id=urn:contentItem:5YSY-3T51-JNS1-M3T4-00000-00&amp;context=1519360" TargetMode="External" /><Relationship Id="rId48" Type="http://schemas.openxmlformats.org/officeDocument/2006/relationships/hyperlink" Target="https://advance.lexis.com/api/document?collection=cases&amp;id=urn:contentItem:5R3W-4DN1-F04F-0053-00000-00&amp;context=1519360" TargetMode="External" /><Relationship Id="rId49" Type="http://schemas.openxmlformats.org/officeDocument/2006/relationships/hyperlink" Target="https://advance.lexis.com/api/document?collection=cases&amp;id=urn:contentItem:68P4-JM11-JJ6S-6004-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YD6-C121-F57G-S1V2-00000-00&amp;context=1519360" TargetMode="External" /><Relationship Id="rId51" Type="http://schemas.openxmlformats.org/officeDocument/2006/relationships/hyperlink" Target="https://advance.lexis.com/api/document?collection=cases&amp;id=urn:contentItem:5K28-67F1-F04F-02WP-00000-00&amp;context=1519360" TargetMode="External" /><Relationship Id="rId52" Type="http://schemas.openxmlformats.org/officeDocument/2006/relationships/hyperlink" Target="https://advance.lexis.com/api/document?collection=cases&amp;id=urn:contentItem:3RJG-J390-00B1-D0TP-00000-00&amp;context=1519360" TargetMode="External" /><Relationship Id="rId53" Type="http://schemas.openxmlformats.org/officeDocument/2006/relationships/hyperlink" Target="https://advance.lexis.com/api/document?collection=cases&amp;id=urn:contentItem:63K7-38S1-F4W2-62RB-00000-00&amp;context=1519360" TargetMode="External" /><Relationship Id="rId54" Type="http://schemas.openxmlformats.org/officeDocument/2006/relationships/hyperlink" Target="https://advance.lexis.com/api/document?collection=cases&amp;id=urn:contentItem:62S2-XV01-JFKM-62WX-00000-00&amp;context=1519360" TargetMode="External" /><Relationship Id="rId55" Type="http://schemas.openxmlformats.org/officeDocument/2006/relationships/hyperlink" Target="https://advance.lexis.com/api/document?collection=cases&amp;id=urn:contentItem:5Y3V-CDR1-JK4W-M54F-00000-00&amp;context=1519360" TargetMode="External" /><Relationship Id="rId56" Type="http://schemas.openxmlformats.org/officeDocument/2006/relationships/hyperlink" Target="https://advance.lexis.com/api/document?collection=cases&amp;id=urn:contentItem:5V4X-2WX1-JGPY-X2MD-00000-00&amp;context=1519360" TargetMode="External" /><Relationship Id="rId57" Type="http://schemas.openxmlformats.org/officeDocument/2006/relationships/hyperlink" Target="https://advance.lexis.com/api/document?collection=cases&amp;id=urn:contentItem:5TC5-T711-FJM6-61WH-00000-00&amp;context=1519360" TargetMode="External" /><Relationship Id="rId58" Type="http://schemas.openxmlformats.org/officeDocument/2006/relationships/hyperlink" Target="https://advance.lexis.com/api/document?collection=cases&amp;id=urn:contentItem:5P6F-0101-F04F-001M-00000-00&amp;context=1519360" TargetMode="External" /><Relationship Id="rId59" Type="http://schemas.openxmlformats.org/officeDocument/2006/relationships/hyperlink" Target="https://advance.lexis.com/api/document?collection=cases&amp;id=urn:contentItem:3S2R-65B0-003V-B2Y4-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SMB-2N01-JX8W-M4CC-00000-00&amp;context=1519360" TargetMode="External" /><Relationship Id="rId61" Type="http://schemas.openxmlformats.org/officeDocument/2006/relationships/hyperlink" Target="https://advance.lexis.com/api/document?collection=cases&amp;id=urn:contentItem:5SKP-53M1-FBFS-S17R-00000-00&amp;context=1519360" TargetMode="External" /><Relationship Id="rId62" Type="http://schemas.openxmlformats.org/officeDocument/2006/relationships/theme" Target="theme/theme1.xml" /><Relationship Id="rId63"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CC-5491-F27X-601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2-38K0-00B1-D1W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Balentine v. Shurgot, 2023 U.S. Dist. LEXIS 182383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71</vt:lpwstr>
  </property>
  <property fmtid="{D5CDD505-2E9C-101B-9397-08002B2CF9AE}" pid="3" name="LADocCount">
    <vt:lpwstr>1</vt:lpwstr>
  </property>
  <property fmtid="{D5CDD505-2E9C-101B-9397-08002B2CF9AE}" pid="4" name="LADocumentID:71">
    <vt:lpwstr>Doc::urn:hlct:5|contextualFeaturePermID::1519360</vt:lpwstr>
  </property>
  <property fmtid="{D5CDD505-2E9C-101B-9397-08002B2CF9AE}" pid="5" name="UserPermID">
    <vt:lpwstr>urn:user:PA186186283</vt:lpwstr>
  </property>
</Properties>
</file>