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Hernandez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2023, Decided; February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File Name: 23a0019p.06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22-3120</w:t>
      </w:r>
    </w:p>
    <w:p>
      <w:pPr>
        <w:keepNext w:val="0"/>
        <w:spacing w:after="0" w:line="240" w:lineRule="atLeast"/>
        <w:ind w:right="0"/>
        <w:jc w:val="both"/>
      </w:pPr>
      <w:bookmarkStart w:id="0" w:name="Bookmark_6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59 F.4th 762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2860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FED App. 0019P (6th Cir.)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JORGE HERNANDEZ, Petitioner, v. MERRICK B. GARLAND, Attorney General,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Petition for Review from the Board of Immigration Appeals; No. A 073 646 149.</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immigrant, good moral character, removal, courts, discretionary, cancellation, convictions, immigration judge, drinking-and-driving, hardship, arrests, mixed question, lack jurisdiction, cancellation-of-removal, qualifies, reasons, removal proceedings, extremely unusual, historical fact, immigration law, question of law, legal question, decisionmaking, catch-all, alien, eligibility requirements, automatically, authorities, citizenship, questions</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Reviewability &gt; Questions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Jurisdiction</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Reviewability, Questions of Law</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When the Attorney General or his designee, the Board of Immigration Appeals, denies discretionary relief to an immigrant, the immigration laws limit the jurisdiction of the courts to review that decision. </w:t>
      </w:r>
      <w:hyperlink r:id="rId11" w:history="1">
        <w:r>
          <w:rPr>
            <w:rFonts w:ascii="arial" w:eastAsia="arial" w:hAnsi="arial" w:cs="arial"/>
            <w:b w:val="0"/>
            <w:i/>
            <w:strike w:val="0"/>
            <w:noProof w:val="0"/>
            <w:color w:val="0077CC"/>
            <w:position w:val="0"/>
            <w:sz w:val="20"/>
            <w:u w:val="single"/>
            <w:vertAlign w:val="baseline"/>
          </w:rPr>
          <w:t>8 U.S.C.S. § 1252(a)(2)(B)(i)</w:t>
        </w:r>
      </w:hyperlink>
      <w:r>
        <w:rPr>
          <w:rFonts w:ascii="arial" w:eastAsia="arial" w:hAnsi="arial" w:cs="arial"/>
          <w:b w:val="0"/>
          <w:i w:val="0"/>
          <w:strike w:val="0"/>
          <w:noProof w:val="0"/>
          <w:color w:val="000000"/>
          <w:position w:val="0"/>
          <w:sz w:val="20"/>
          <w:u w:val="none"/>
          <w:vertAlign w:val="baseline"/>
        </w:rPr>
        <w:t xml:space="preserve">. This jurisdictional limit bars appellate courts from reviewing not just the Board's ultimate discretionary choice to deny relief but also any factual findings underlying that choice. Yet a jurisdictional safe harbor preserves the appellate court's power to review questions of law embedded in the discretionary decision, </w:t>
      </w:r>
      <w:hyperlink r:id="rId11" w:history="1">
        <w:r>
          <w:rPr>
            <w:rFonts w:ascii="arial" w:eastAsia="arial" w:hAnsi="arial" w:cs="arial"/>
            <w:b w:val="0"/>
            <w:i/>
            <w:strike w:val="0"/>
            <w:noProof w:val="0"/>
            <w:color w:val="0077CC"/>
            <w:position w:val="0"/>
            <w:sz w:val="20"/>
            <w:u w:val="single"/>
            <w:vertAlign w:val="baseline"/>
          </w:rPr>
          <w:t>8 U.S.C.S. § 1252(a)(2)(D)</w:t>
        </w:r>
      </w:hyperlink>
      <w:r>
        <w:rPr>
          <w:rFonts w:ascii="arial" w:eastAsia="arial" w:hAnsi="arial" w:cs="arial"/>
          <w:b w:val="0"/>
          <w:i w:val="0"/>
          <w:strike w:val="0"/>
          <w:noProof w:val="0"/>
          <w:color w:val="000000"/>
          <w:position w:val="0"/>
          <w:sz w:val="20"/>
          <w:u w:val="none"/>
          <w:vertAlign w:val="baseline"/>
        </w:rPr>
        <w:t>, including a mixed question of law and fact that requires the Board to consider whether the historical facts meet the governing legal test.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Substantive Requirements &gt; Good Moral Character</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The Board of Immigration Appeals has discretion to cancel the removal of immigrants who meet four eligibility requirements—including that they have good moral character and that their removal would cause sufficient hardship to a qualifying relative. </w:t>
      </w:r>
      <w:hyperlink r:id="rId13" w:history="1">
        <w:r>
          <w:rPr>
            <w:rFonts w:ascii="arial" w:eastAsia="arial" w:hAnsi="arial" w:cs="arial"/>
            <w:b w:val="0"/>
            <w:i/>
            <w:strike w:val="0"/>
            <w:noProof w:val="0"/>
            <w:color w:val="0077CC"/>
            <w:position w:val="0"/>
            <w:sz w:val="20"/>
            <w:u w:val="single"/>
            <w:vertAlign w:val="baseline"/>
          </w:rPr>
          <w:t>8 U.S.C.S. § 1229b(b)(1)(B)</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The question whether the historical facts show that an immigrant lacks good moral character also qualifies as a mixed question within the appellate court's jurisdiction.</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 xml:space="preserve">Immigrants qualify for cancellation of removal if they satisfy four eligibility requirements: The Attorney General may cancel removal of, and adjust to the status of an alien lawfully admitted for permanent residence, an alien who is inadmissible or deportable from the United States if the alien—(A) has been physically present in the United States for a continuous period of not less than 10 years immediately preceding the date of such application; (B) has been a person of good moral character during such period;(C) has not been convicted of an offense under </w:t>
      </w:r>
      <w:hyperlink r:id="rId15" w:history="1">
        <w:r>
          <w:rPr>
            <w:rFonts w:ascii="arial" w:eastAsia="arial" w:hAnsi="arial" w:cs="arial"/>
            <w:b w:val="0"/>
            <w:i/>
            <w:strike w:val="0"/>
            <w:noProof w:val="0"/>
            <w:color w:val="0077CC"/>
            <w:position w:val="0"/>
            <w:sz w:val="20"/>
            <w:u w:val="single"/>
            <w:vertAlign w:val="baseline"/>
          </w:rPr>
          <w:t>8 U.S.C.S. § 1182(a)(2)</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1227(a)(2)</w:t>
        </w:r>
      </w:hyperlink>
      <w:r>
        <w:rPr>
          <w:rFonts w:ascii="arial" w:eastAsia="arial" w:hAnsi="arial" w:cs="arial"/>
          <w:b w:val="0"/>
          <w:i w:val="0"/>
          <w:strike w:val="0"/>
          <w:noProof w:val="0"/>
          <w:color w:val="000000"/>
          <w:position w:val="0"/>
          <w:sz w:val="20"/>
          <w:u w:val="none"/>
          <w:vertAlign w:val="baseline"/>
        </w:rPr>
        <w:t xml:space="preserve">, or </w:t>
      </w:r>
      <w:hyperlink r:id="rId16" w:history="1">
        <w:r>
          <w:rPr>
            <w:rFonts w:ascii="arial" w:eastAsia="arial" w:hAnsi="arial" w:cs="arial"/>
            <w:b w:val="0"/>
            <w:i/>
            <w:strike w:val="0"/>
            <w:noProof w:val="0"/>
            <w:color w:val="0077CC"/>
            <w:position w:val="0"/>
            <w:sz w:val="20"/>
            <w:u w:val="single"/>
            <w:vertAlign w:val="baseline"/>
          </w:rPr>
          <w:t>1227(a)(3)</w:t>
        </w:r>
      </w:hyperlink>
      <w:r>
        <w:rPr>
          <w:rFonts w:ascii="arial" w:eastAsia="arial" w:hAnsi="arial" w:cs="arial"/>
          <w:b w:val="0"/>
          <w:i w:val="0"/>
          <w:strike w:val="0"/>
          <w:noProof w:val="0"/>
          <w:color w:val="000000"/>
          <w:position w:val="0"/>
          <w:sz w:val="20"/>
          <w:u w:val="none"/>
          <w:vertAlign w:val="baseline"/>
        </w:rPr>
        <w:t xml:space="preserve">, subject to paragraph (5); and (D) establishes that removal would result in exceptional and extremely unusual hardship to the alien's spouse, parent, or child, who is a citizen of the United States or an alien lawfully admitted for permanent residence. </w:t>
      </w:r>
      <w:hyperlink r:id="rId13" w:history="1">
        <w:r>
          <w:rPr>
            <w:rFonts w:ascii="arial" w:eastAsia="arial" w:hAnsi="arial" w:cs="arial"/>
            <w:b w:val="0"/>
            <w:i/>
            <w:strike w:val="0"/>
            <w:noProof w:val="0"/>
            <w:color w:val="0077CC"/>
            <w:position w:val="0"/>
            <w:sz w:val="20"/>
            <w:u w:val="single"/>
            <w:vertAlign w:val="baseline"/>
          </w:rPr>
          <w:t>8 U.S.C.S. § 1229b(b)(1)</w:t>
        </w:r>
      </w:hyperlink>
      <w:r>
        <w:rPr>
          <w:rFonts w:ascii="arial" w:eastAsia="arial" w:hAnsi="arial" w:cs="arial"/>
          <w:b w:val="0"/>
          <w:i w:val="0"/>
          <w:strike w:val="0"/>
          <w:noProof w:val="0"/>
          <w:color w:val="000000"/>
          <w:position w:val="0"/>
          <w:sz w:val="20"/>
          <w:u w:val="none"/>
          <w:vertAlign w:val="baseline"/>
        </w:rPr>
        <w:t>. Yet Congress did not give immigrants who satisfy these four requirements an automatic right to this relief. The Attorney General retains discretion to deny relief to eligible immigrants.</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Aggravated Felonies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Substantive Requirements &gt; Good Moral Character</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Activity, Aggravated Felonies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Eight specific classes of immigrants automatically lack good moral character for </w:t>
      </w:r>
      <w:hyperlink r:id="rId13" w:history="1">
        <w:r>
          <w:rPr>
            <w:rFonts w:ascii="arial" w:eastAsia="arial" w:hAnsi="arial" w:cs="arial"/>
            <w:b w:val="0"/>
            <w:i/>
            <w:strike w:val="0"/>
            <w:noProof w:val="0"/>
            <w:color w:val="0077CC"/>
            <w:position w:val="0"/>
            <w:sz w:val="20"/>
            <w:u w:val="single"/>
            <w:vertAlign w:val="baseline"/>
          </w:rPr>
          <w:t>8 U.S.C.S. § 1229b</w:t>
        </w:r>
      </w:hyperlink>
      <w:r>
        <w:rPr>
          <w:rFonts w:ascii="arial" w:eastAsia="arial" w:hAnsi="arial" w:cs="arial"/>
          <w:b w:val="0"/>
          <w:i w:val="0"/>
          <w:strike w:val="0"/>
          <w:noProof w:val="0"/>
          <w:color w:val="000000"/>
          <w:position w:val="0"/>
          <w:sz w:val="20"/>
          <w:u w:val="none"/>
          <w:vertAlign w:val="baseline"/>
        </w:rPr>
        <w:t xml:space="preserve"> cancellation of removal, including those who are habitual drunkards, those who receive their main income from illegal gambling activities, those who have lied under oath to obtain immigration-related benefits, and those who have aggravated felony convictions. </w:t>
      </w:r>
      <w:hyperlink r:id="rId18" w:history="1">
        <w:r>
          <w:rPr>
            <w:rFonts w:ascii="arial" w:eastAsia="arial" w:hAnsi="arial" w:cs="arial"/>
            <w:b w:val="0"/>
            <w:i/>
            <w:strike w:val="0"/>
            <w:noProof w:val="0"/>
            <w:color w:val="0077CC"/>
            <w:position w:val="0"/>
            <w:sz w:val="20"/>
            <w:u w:val="single"/>
            <w:vertAlign w:val="baseline"/>
          </w:rPr>
          <w:t>8 U.S.C.S. § 1101(f)</w:t>
        </w:r>
      </w:hyperlink>
      <w:r>
        <w:rPr>
          <w:rFonts w:ascii="arial" w:eastAsia="arial" w:hAnsi="arial" w:cs="arial"/>
          <w:b w:val="0"/>
          <w:i w:val="0"/>
          <w:strike w:val="0"/>
          <w:noProof w:val="0"/>
          <w:color w:val="000000"/>
          <w:position w:val="0"/>
          <w:sz w:val="20"/>
          <w:u w:val="none"/>
          <w:vertAlign w:val="baseline"/>
        </w:rPr>
        <w:t xml:space="preserve">. Apart from these specific categories of per se ineligible immigrants, a catch-all clause adds that immigrants might lack good moral character for other reasons: The fact that any person is not within any of the foregoing classes shall not preclude a finding that for other reasons such person is or was not of good moral character. </w:t>
      </w:r>
      <w:hyperlink r:id="rId18" w:history="1">
        <w:r>
          <w:rPr>
            <w:rFonts w:ascii="arial" w:eastAsia="arial" w:hAnsi="arial" w:cs="arial"/>
            <w:b w:val="0"/>
            <w:i/>
            <w:strike w:val="0"/>
            <w:noProof w:val="0"/>
            <w:color w:val="0077CC"/>
            <w:position w:val="0"/>
            <w:sz w:val="20"/>
            <w:u w:val="single"/>
            <w:vertAlign w:val="baseline"/>
          </w:rPr>
          <w:t>8 U.S.C.S. § 1101(f)</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Review, Discretionary Actions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8 U.S.C.S. § 1252</w:t>
        </w:r>
      </w:hyperlink>
      <w:r>
        <w:rPr>
          <w:rFonts w:ascii="arial" w:eastAsia="arial" w:hAnsi="arial" w:cs="arial"/>
          <w:b w:val="0"/>
          <w:i w:val="0"/>
          <w:strike w:val="0"/>
          <w:noProof w:val="0"/>
          <w:color w:val="000000"/>
          <w:position w:val="0"/>
          <w:sz w:val="20"/>
          <w:u w:val="none"/>
          <w:vertAlign w:val="baseline"/>
        </w:rPr>
        <w:t xml:space="preserve">  judicial-review section bars appellate courts from reviewing, among other things, decisions that the immigration laws leave to the Attorney General's discretion.</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Review, Discretionary Actions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 xml:space="preserve">The Supreme Court has held that </w:t>
      </w:r>
      <w:hyperlink r:id="rId11" w:history="1">
        <w:r>
          <w:rPr>
            <w:rFonts w:ascii="arial" w:eastAsia="arial" w:hAnsi="arial" w:cs="arial"/>
            <w:b w:val="0"/>
            <w:i/>
            <w:strike w:val="0"/>
            <w:noProof w:val="0"/>
            <w:color w:val="0077CC"/>
            <w:position w:val="0"/>
            <w:sz w:val="20"/>
            <w:u w:val="single"/>
            <w:vertAlign w:val="baseline"/>
          </w:rPr>
          <w:t>8 U.S.C.S. § 1252(a)(2)(B)(ii)</w:t>
        </w:r>
      </w:hyperlink>
      <w:r>
        <w:rPr>
          <w:rFonts w:ascii="arial" w:eastAsia="arial" w:hAnsi="arial" w:cs="arial"/>
          <w:b w:val="0"/>
          <w:i w:val="0"/>
          <w:strike w:val="0"/>
          <w:noProof w:val="0"/>
          <w:color w:val="000000"/>
          <w:position w:val="0"/>
          <w:sz w:val="20"/>
          <w:u w:val="none"/>
          <w:vertAlign w:val="baseline"/>
        </w:rPr>
        <w:t xml:space="preserve"> presumptively precludes appellate court jurisdiction over any aspect of a cancellation-of-removal decision. Most obviously, its text covers the ultimate discretionary decision to deny relief to immigrants who meet the four eligibility requirements. </w:t>
      </w:r>
      <w:hyperlink r:id="rId11" w:history="1">
        <w:r>
          <w:rPr>
            <w:rFonts w:ascii="arial" w:eastAsia="arial" w:hAnsi="arial" w:cs="arial"/>
            <w:b w:val="0"/>
            <w:i/>
            <w:strike w:val="0"/>
            <w:noProof w:val="0"/>
            <w:color w:val="0077CC"/>
            <w:position w:val="0"/>
            <w:sz w:val="20"/>
            <w:u w:val="single"/>
            <w:vertAlign w:val="baseline"/>
          </w:rPr>
          <w:t>8 U.S.C.S. § 1252(a)(2)(B)(ii)</w:t>
        </w:r>
      </w:hyperlink>
      <w:r>
        <w:rPr>
          <w:rFonts w:ascii="arial" w:eastAsia="arial" w:hAnsi="arial" w:cs="arial"/>
          <w:b w:val="0"/>
          <w:i w:val="0"/>
          <w:strike w:val="0"/>
          <w:noProof w:val="0"/>
          <w:color w:val="000000"/>
          <w:position w:val="0"/>
          <w:sz w:val="20"/>
          <w:u w:val="none"/>
          <w:vertAlign w:val="baseline"/>
        </w:rPr>
        <w:t>.</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Judicial Review</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The U.S. Supreme Court has held that </w:t>
      </w:r>
      <w:hyperlink r:id="rId11" w:history="1">
        <w:r>
          <w:rPr>
            <w:rFonts w:ascii="arial" w:eastAsia="arial" w:hAnsi="arial" w:cs="arial"/>
            <w:b w:val="0"/>
            <w:i/>
            <w:strike w:val="0"/>
            <w:noProof w:val="0"/>
            <w:color w:val="0077CC"/>
            <w:position w:val="0"/>
            <w:sz w:val="20"/>
            <w:u w:val="single"/>
            <w:vertAlign w:val="baseline"/>
          </w:rPr>
          <w:t>8 U.S.C.S. § 1252(a)</w:t>
        </w:r>
      </w:hyperlink>
      <w:r>
        <w:rPr>
          <w:rFonts w:ascii="arial" w:eastAsia="arial" w:hAnsi="arial" w:cs="arial"/>
          <w:b w:val="0"/>
          <w:i w:val="0"/>
          <w:strike w:val="0"/>
          <w:noProof w:val="0"/>
          <w:color w:val="000000"/>
          <w:position w:val="0"/>
          <w:sz w:val="20"/>
          <w:u w:val="none"/>
          <w:vertAlign w:val="baseline"/>
        </w:rPr>
        <w:t xml:space="preserve"> broadly saves for appellate court review all manner of legal questions. It allows appellate court to review claims raising abstract legal questions, such as the claim that the Board of Immigration Appeals misinterpreted a word or phrase in the cancellation-of-removal section.</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Substantive Requirements &gt; Good Moral Character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Substantive Requirements, Good Moral Character</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8 U.S.C.S. § 1252(a)(B)</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appellate courts have jurisdiction to review some aspects of a conclusion that an immigrant did not satisfy the good moral character requirement for cancellation-of-removal , but appellate courts lack jurisdiction to review other aspects of that conclusion. </w:t>
      </w:r>
      <w:hyperlink r:id="rId11" w:history="1">
        <w:r>
          <w:rPr>
            <w:rFonts w:ascii="arial" w:eastAsia="arial" w:hAnsi="arial" w:cs="arial"/>
            <w:b w:val="0"/>
            <w:i/>
            <w:strike w:val="0"/>
            <w:noProof w:val="0"/>
            <w:color w:val="0077CC"/>
            <w:position w:val="0"/>
            <w:sz w:val="20"/>
            <w:u w:val="single"/>
            <w:vertAlign w:val="baseline"/>
          </w:rPr>
          <w:t>8 U.S.C.S. § 1252(a)(B)</w:t>
        </w:r>
      </w:hyperlink>
      <w:r>
        <w:rPr>
          <w:rFonts w:ascii="arial" w:eastAsia="arial" w:hAnsi="arial" w:cs="arial"/>
          <w:b w:val="0"/>
          <w:i w:val="0"/>
          <w:strike w:val="0"/>
          <w:noProof w:val="0"/>
          <w:color w:val="000000"/>
          <w:position w:val="0"/>
          <w:sz w:val="20"/>
          <w:u w:val="none"/>
          <w:vertAlign w:val="baseline"/>
        </w:rPr>
        <w:t xml:space="preserve"> makes clear that appellate courts lack jurisdiction over any purely factual questions underlying the conclusion.</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Substantive Requirements &gt; Good Moral Character</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 xml:space="preserve">Nothing in the text of </w:t>
      </w:r>
      <w:hyperlink r:id="rId13" w:history="1">
        <w:r>
          <w:rPr>
            <w:rFonts w:ascii="arial" w:eastAsia="arial" w:hAnsi="arial" w:cs="arial"/>
            <w:b w:val="0"/>
            <w:i/>
            <w:strike w:val="0"/>
            <w:noProof w:val="0"/>
            <w:color w:val="0077CC"/>
            <w:position w:val="0"/>
            <w:sz w:val="20"/>
            <w:u w:val="single"/>
            <w:vertAlign w:val="baseline"/>
          </w:rPr>
          <w:t>8 U.S.C.S. § 1229b</w:t>
        </w:r>
      </w:hyperlink>
      <w:r>
        <w:rPr>
          <w:rFonts w:ascii="arial" w:eastAsia="arial" w:hAnsi="arial" w:cs="arial"/>
          <w:b w:val="0"/>
          <w:i w:val="0"/>
          <w:strike w:val="0"/>
          <w:noProof w:val="0"/>
          <w:color w:val="000000"/>
          <w:position w:val="0"/>
          <w:sz w:val="20"/>
          <w:u w:val="none"/>
          <w:vertAlign w:val="baseline"/>
        </w:rPr>
        <w:t xml:space="preserve"> gives the Attorney General discretion to decide whether an immigrant has good moral character for purposes of cancellation of removal.</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Substantive Requirements &gt; Good Moral Character</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Substantive Requirements, Good Moral Character</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 xml:space="preserve">The Attorney General does not have discretion to decide whether an immigrant falls into one of the eight specific categories of immigrants who automatically lack good moral character. </w:t>
      </w:r>
      <w:hyperlink r:id="rId18" w:history="1">
        <w:r>
          <w:rPr>
            <w:rFonts w:ascii="arial" w:eastAsia="arial" w:hAnsi="arial" w:cs="arial"/>
            <w:b w:val="0"/>
            <w:i/>
            <w:strike w:val="0"/>
            <w:noProof w:val="0"/>
            <w:color w:val="0077CC"/>
            <w:position w:val="0"/>
            <w:sz w:val="20"/>
            <w:u w:val="single"/>
            <w:vertAlign w:val="baseline"/>
          </w:rPr>
          <w:t>8 U.S.C.S. § 1101(f)(1)-(9)</w:t>
        </w:r>
      </w:hyperlink>
      <w:r>
        <w:rPr>
          <w:rFonts w:ascii="arial" w:eastAsia="arial" w:hAnsi="arial" w:cs="arial"/>
          <w:b w:val="0"/>
          <w:i w:val="0"/>
          <w:strike w:val="0"/>
          <w:noProof w:val="0"/>
          <w:color w:val="000000"/>
          <w:position w:val="0"/>
          <w:sz w:val="20"/>
          <w:u w:val="none"/>
          <w:vertAlign w:val="baseline"/>
        </w:rPr>
        <w:t>.</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Substantive Requirements &gt; Good Moral Character</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Substantive Requirements, Good Moral Character</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 xml:space="preserve">The Board of Immigration Appeals has long applied a fact-specific test to decide whether an immigrant has good moral character. This test asks whether an immigrant has lived up to the standards of the average citizen in the community based on all of the immigrant's characteristics. </w:t>
      </w:r>
      <w:hyperlink r:id="rId26" w:history="1">
        <w:r>
          <w:rPr>
            <w:rFonts w:ascii="arial" w:eastAsia="arial" w:hAnsi="arial" w:cs="arial"/>
            <w:b w:val="0"/>
            <w:i/>
            <w:strike w:val="0"/>
            <w:noProof w:val="0"/>
            <w:color w:val="0077CC"/>
            <w:position w:val="0"/>
            <w:sz w:val="20"/>
            <w:u w:val="single"/>
            <w:vertAlign w:val="baseline"/>
          </w:rPr>
          <w:t>8 C.F.R. § 316.10(a)(2)</w:t>
        </w:r>
      </w:hyperlink>
      <w:r>
        <w:rPr>
          <w:rFonts w:ascii="arial" w:eastAsia="arial" w:hAnsi="arial" w:cs="arial"/>
          <w:b w:val="0"/>
          <w:i w:val="0"/>
          <w:strike w:val="0"/>
          <w:noProof w:val="0"/>
          <w:color w:val="000000"/>
          <w:position w:val="0"/>
          <w:sz w:val="20"/>
          <w:u w:val="none"/>
          <w:vertAlign w:val="baseline"/>
        </w:rPr>
        <w:t>. The initial decisionmaker, not an appellate court, is typically better suited to answer a mixed question like this one that turns on the totality of the circumstances.</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Appeals &gt; US Board of Immigration Appeals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Appeals, US Board of Immigration Appeals</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The Attorney General has instructed the Board of Immigration Appeals to adhere to a legal presumption that an immigrant lacks good moral character if the immigrant has two or more drinking-and-driving convictions in the relevant time period.</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Substantive Requirements &gt; Good Moral Character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Appeals &gt; US Board of Immigration Appeals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Substantive Requirements, Good Moral Character</w:t>
      </w:r>
    </w:p>
    <w:p>
      <w:pPr>
        <w:keepNext w:val="0"/>
        <w:spacing w:before="240" w:after="0" w:line="260" w:lineRule="atLeast"/>
        <w:ind w:left="0" w:right="0" w:firstLine="0"/>
        <w:jc w:val="both"/>
      </w:pPr>
      <w:bookmarkStart w:id="31" w:name="Bookmark_hnpara_13"/>
      <w:bookmarkEnd w:id="31"/>
      <w:hyperlink r:id="rId18" w:history="1">
        <w:r>
          <w:rPr>
            <w:rFonts w:ascii="arial" w:eastAsia="arial" w:hAnsi="arial" w:cs="arial"/>
            <w:b w:val="0"/>
            <w:i/>
            <w:strike w:val="0"/>
            <w:color w:val="0077CC"/>
            <w:sz w:val="20"/>
            <w:u w:val="single"/>
            <w:vertAlign w:val="baseline"/>
          </w:rPr>
          <w:t>8 U.S.C.S. § 1101(f)</w:t>
        </w:r>
      </w:hyperlink>
      <w:r>
        <w:rPr>
          <w:rFonts w:ascii="arial" w:eastAsia="arial" w:hAnsi="arial" w:cs="arial"/>
          <w:b w:val="0"/>
          <w:i w:val="0"/>
          <w:strike w:val="0"/>
          <w:noProof w:val="0"/>
          <w:color w:val="000000"/>
          <w:position w:val="0"/>
          <w:sz w:val="20"/>
          <w:u w:val="none"/>
          <w:vertAlign w:val="baseline"/>
        </w:rPr>
        <w:t xml:space="preserve"> allows the Board of Immigration Appeals to consider other reasons why an immigrant lacks good moral character without limit—so its text places no restriction on the Board's consideration of arrests. </w:t>
      </w:r>
      <w:hyperlink r:id="rId18" w:history="1">
        <w:r>
          <w:rPr>
            <w:rFonts w:ascii="arial" w:eastAsia="arial" w:hAnsi="arial" w:cs="arial"/>
            <w:b w:val="0"/>
            <w:i/>
            <w:strike w:val="0"/>
            <w:noProof w:val="0"/>
            <w:color w:val="0077CC"/>
            <w:position w:val="0"/>
            <w:sz w:val="20"/>
            <w:u w:val="single"/>
            <w:vertAlign w:val="baseline"/>
          </w:rPr>
          <w:t>8 U.S.C.S. § 1101(f)</w:t>
        </w:r>
      </w:hyperlink>
      <w:r>
        <w:rPr>
          <w:rFonts w:ascii="arial" w:eastAsia="arial" w:hAnsi="arial" w:cs="arial"/>
          <w:b w:val="0"/>
          <w:i w:val="0"/>
          <w:strike w:val="0"/>
          <w:noProof w:val="0"/>
          <w:color w:val="000000"/>
          <w:position w:val="0"/>
          <w:sz w:val="20"/>
          <w:u w:val="none"/>
          <w:vertAlign w:val="baseline"/>
        </w:rPr>
        <w:t>. The Board's precedent also permits it to consider the unfavorable conduct underlying an arrest—as long as it accounts for all of the circumstances, including an immigrant's assertions of innocence.</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Voluntary Departure</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Voluntary Departure</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 xml:space="preserve">The immigration laws permit immigrants to seek voluntary departure in lieu of removal at the conclusion of their removal proceedings. </w:t>
      </w:r>
      <w:hyperlink r:id="rId30" w:history="1">
        <w:r>
          <w:rPr>
            <w:rFonts w:ascii="arial" w:eastAsia="arial" w:hAnsi="arial" w:cs="arial"/>
            <w:b w:val="0"/>
            <w:i/>
            <w:strike w:val="0"/>
            <w:noProof w:val="0"/>
            <w:color w:val="0077CC"/>
            <w:position w:val="0"/>
            <w:sz w:val="20"/>
            <w:u w:val="single"/>
            <w:vertAlign w:val="baseline"/>
          </w:rPr>
          <w:t>8 U.S.C.S. § 1229c(b)(1)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34" w:name="Counsel"/>
      <w:bookmarkEnd w:id="3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Justin B. Hurst, HURST LAW GROUP, Hot Springs, Arkansas, for Petitioner.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Lisa Morinelli, UNITED STATES DEPARTMENT OF JUSTICE, Washington, D.C., for Respondent.</w:t>
      </w:r>
    </w:p>
    <w:p>
      <w:pPr>
        <w:keepNext w:val="0"/>
        <w:spacing w:before="240" w:after="0" w:line="260" w:lineRule="atLeast"/>
        <w:ind w:left="0" w:right="0" w:firstLine="0"/>
        <w:jc w:val="left"/>
      </w:pPr>
      <w:bookmarkStart w:id="35" w:name="Judges"/>
      <w:bookmarkEnd w:id="3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STRANCH, MURPHY, and DAVIS, Circuit Judges.</w:t>
      </w:r>
    </w:p>
    <w:p>
      <w:pPr>
        <w:keepNext w:val="0"/>
        <w:spacing w:before="240" w:after="0" w:line="260" w:lineRule="atLeast"/>
        <w:ind w:left="0" w:right="0" w:firstLine="0"/>
        <w:jc w:val="left"/>
      </w:pPr>
      <w:bookmarkStart w:id="36" w:name="Opinion by"/>
      <w:bookmarkEnd w:id="3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MURPHY</w:t>
      </w:r>
    </w:p>
    <w:p>
      <w:pPr>
        <w:keepNext/>
        <w:spacing w:before="240" w:after="0" w:line="340" w:lineRule="atLeast"/>
        <w:ind w:left="0" w:right="0" w:firstLine="0"/>
        <w:jc w:val="left"/>
      </w:pPr>
      <w:bookmarkStart w:id="37" w:name="Opinion"/>
      <w:bookmarkEnd w:id="3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2"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38" w:name="Bookmark_para_2"/>
      <w:bookmarkEnd w:id="38"/>
      <w:r>
        <w:rPr>
          <w:rFonts w:ascii="arial" w:eastAsia="arial" w:hAnsi="arial" w:cs="arial"/>
          <w:b/>
          <w:i w:val="0"/>
          <w:strike w:val="0"/>
          <w:noProof w:val="0"/>
          <w:color w:val="000000"/>
          <w:position w:val="0"/>
          <w:sz w:val="20"/>
          <w:u w:val="none"/>
          <w:vertAlign w:val="baseline"/>
        </w:rPr>
        <w:t> [*763]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MURPHY, Circuit Judge. </w:t>
      </w:r>
      <w:bookmarkStart w:id="39" w:name="Bookmark_I67H31N72D6NY80020000400"/>
      <w:bookmarkEnd w:id="39"/>
      <w:bookmarkStart w:id="40" w:name="Bookmark_LNHNREFclscc1"/>
      <w:bookmarkEnd w:id="40"/>
      <w:hyperlink r:id="rId31"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3"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When the Attorney General or his designee, the Board of Immigration Appeals, denies discretionary relief to an immigrant, the immigration laws limit the jurisdiction of the courts to review that decision. </w:t>
      </w:r>
      <w:hyperlink r:id="rId11"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xml:space="preserve">. </w:t>
      </w:r>
      <w:bookmarkStart w:id="41" w:name="Bookmark_I67H31N72D6NY80040000400"/>
      <w:bookmarkEnd w:id="41"/>
      <w:r>
        <w:rPr>
          <w:rFonts w:ascii="arial" w:eastAsia="arial" w:hAnsi="arial" w:cs="arial"/>
          <w:b w:val="0"/>
          <w:i w:val="0"/>
          <w:strike w:val="0"/>
          <w:noProof w:val="0"/>
          <w:color w:val="000000"/>
          <w:position w:val="0"/>
          <w:sz w:val="20"/>
          <w:u w:val="none"/>
          <w:vertAlign w:val="baseline"/>
        </w:rPr>
        <w:t xml:space="preserve">This jurisdictional limit bars us from reviewing not just the Board's ultimate discretionary choice to deny relief but also any factual findings underlying that choice. </w:t>
      </w:r>
      <w:r>
        <w:rPr>
          <w:rFonts w:ascii="arial" w:eastAsia="arial" w:hAnsi="arial" w:cs="arial"/>
          <w:b w:val="0"/>
          <w:i/>
          <w:strike w:val="0"/>
          <w:noProof w:val="0"/>
          <w:color w:val="000000"/>
          <w:position w:val="0"/>
          <w:sz w:val="20"/>
          <w:u w:val="none"/>
          <w:vertAlign w:val="baseline"/>
        </w:rPr>
        <w:t xml:space="preserve">See </w:t>
      </w:r>
      <w:bookmarkStart w:id="42" w:name="Bookmark_I67H31N72D6NY80010000400"/>
      <w:bookmarkEnd w:id="42"/>
      <w:hyperlink r:id="rId33" w:history="1">
        <w:r>
          <w:rPr>
            <w:rFonts w:ascii="arial" w:eastAsia="arial" w:hAnsi="arial" w:cs="arial"/>
            <w:b w:val="0"/>
            <w:i/>
            <w:strike w:val="0"/>
            <w:noProof w:val="0"/>
            <w:color w:val="0077CC"/>
            <w:position w:val="0"/>
            <w:sz w:val="20"/>
            <w:u w:val="single"/>
            <w:vertAlign w:val="baseline"/>
          </w:rPr>
          <w:t>Patel v. Garland</w:t>
        </w:r>
      </w:hyperlink>
      <w:hyperlink r:id="rId33" w:history="1">
        <w:r>
          <w:rPr>
            <w:rFonts w:ascii="arial" w:eastAsia="arial" w:hAnsi="arial" w:cs="arial"/>
            <w:b w:val="0"/>
            <w:i/>
            <w:strike w:val="0"/>
            <w:noProof w:val="0"/>
            <w:color w:val="0077CC"/>
            <w:position w:val="0"/>
            <w:sz w:val="20"/>
            <w:u w:val="single"/>
            <w:vertAlign w:val="baseline"/>
          </w:rPr>
          <w:t>, 142 S. Ct. 1614, 1621-23, 212 L. Ed. 2d 685 (2022)</w:t>
        </w:r>
      </w:hyperlink>
      <w:r>
        <w:rPr>
          <w:rFonts w:ascii="arial" w:eastAsia="arial" w:hAnsi="arial" w:cs="arial"/>
          <w:b w:val="0"/>
          <w:i w:val="0"/>
          <w:strike w:val="0"/>
          <w:noProof w:val="0"/>
          <w:color w:val="000000"/>
          <w:position w:val="0"/>
          <w:sz w:val="20"/>
          <w:u w:val="none"/>
          <w:vertAlign w:val="baseline"/>
        </w:rPr>
        <w:t xml:space="preserve">. </w:t>
      </w:r>
      <w:bookmarkStart w:id="43" w:name="Bookmark_I67H31N72D6NY80040000400_2"/>
      <w:bookmarkEnd w:id="43"/>
      <w:r>
        <w:rPr>
          <w:rFonts w:ascii="arial" w:eastAsia="arial" w:hAnsi="arial" w:cs="arial"/>
          <w:b w:val="0"/>
          <w:i w:val="0"/>
          <w:strike w:val="0"/>
          <w:noProof w:val="0"/>
          <w:color w:val="000000"/>
          <w:position w:val="0"/>
          <w:sz w:val="20"/>
          <w:u w:val="none"/>
          <w:vertAlign w:val="baseline"/>
        </w:rPr>
        <w:t xml:space="preserve">Yet a jurisdictional safe harbor preserves our power to review "questions of law"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embedded in the discretionary decision, </w:t>
      </w:r>
      <w:hyperlink r:id="rId11"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 xml:space="preserve">, including a "mixed question of law and fact" that requires the Board to consider whether the historical facts meet the governing legal test, </w:t>
      </w:r>
      <w:bookmarkStart w:id="44" w:name="Bookmark_I67H31N72D6NY80030000400"/>
      <w:bookmarkEnd w:id="44"/>
      <w:hyperlink r:id="rId34" w:history="1">
        <w:r>
          <w:rPr>
            <w:rFonts w:ascii="arial" w:eastAsia="arial" w:hAnsi="arial" w:cs="arial"/>
            <w:b w:val="0"/>
            <w:i/>
            <w:strike w:val="0"/>
            <w:noProof w:val="0"/>
            <w:color w:val="0077CC"/>
            <w:position w:val="0"/>
            <w:sz w:val="20"/>
            <w:u w:val="single"/>
            <w:vertAlign w:val="baseline"/>
          </w:rPr>
          <w:t>Guerrero-Lasprilla v. Barr</w:t>
        </w:r>
      </w:hyperlink>
      <w:hyperlink r:id="rId34" w:history="1">
        <w:r>
          <w:rPr>
            <w:rFonts w:ascii="arial" w:eastAsia="arial" w:hAnsi="arial" w:cs="arial"/>
            <w:b w:val="0"/>
            <w:i/>
            <w:strike w:val="0"/>
            <w:noProof w:val="0"/>
            <w:color w:val="0077CC"/>
            <w:position w:val="0"/>
            <w:sz w:val="20"/>
            <w:u w:val="single"/>
            <w:vertAlign w:val="baseline"/>
          </w:rPr>
          <w:t>, 140 S. Ct. 1062, 1068-69, 206 L. Ed. 2d 271 (2020)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45" w:name="Bookmark_para_3"/>
      <w:bookmarkEnd w:id="45"/>
      <w:r>
        <w:rPr>
          <w:rFonts w:ascii="arial" w:eastAsia="arial" w:hAnsi="arial" w:cs="arial"/>
          <w:b w:val="0"/>
          <w:i w:val="0"/>
          <w:strike w:val="0"/>
          <w:noProof w:val="0"/>
          <w:color w:val="000000"/>
          <w:position w:val="0"/>
          <w:sz w:val="20"/>
          <w:u w:val="none"/>
          <w:vertAlign w:val="baseline"/>
        </w:rPr>
        <w:t xml:space="preserve">This case requires us to consider how these rules apply to the Board's denial of one type of discretionary relief: cancellation of removal. </w:t>
      </w:r>
      <w:bookmarkStart w:id="46" w:name="Bookmark_I67H31N82SF7W30010000400"/>
      <w:bookmarkEnd w:id="46"/>
      <w:bookmarkStart w:id="47" w:name="Bookmark_LNHNREFclscc2"/>
      <w:bookmarkEnd w:id="47"/>
      <w:hyperlink r:id="rId3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4"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The Board has discretion to cancel the removal of immigrants who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meet four eligibility requirements—including that they have "good moral character" and that their removal would cause sufficient "hardship" to a qualifying relative. </w:t>
      </w:r>
      <w:hyperlink r:id="rId13" w:history="1">
        <w:r>
          <w:rPr>
            <w:rFonts w:ascii="arial" w:eastAsia="arial" w:hAnsi="arial" w:cs="arial"/>
            <w:b w:val="0"/>
            <w:i/>
            <w:strike w:val="0"/>
            <w:noProof w:val="0"/>
            <w:color w:val="0077CC"/>
            <w:position w:val="0"/>
            <w:sz w:val="20"/>
            <w:u w:val="single"/>
            <w:vertAlign w:val="baseline"/>
          </w:rPr>
          <w:t>8 U.S.C. § 1229b(b)(1)(B)</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w:t>
      </w:r>
      <w:bookmarkStart w:id="48" w:name="Bookmark_I1V3GN0DXK3000076Y20001G"/>
      <w:bookmarkEnd w:id="48"/>
      <w:bookmarkStart w:id="49" w:name="Bookmark_I67H31N82SF7W30030000400"/>
      <w:bookmarkEnd w:id="49"/>
      <w:r>
        <w:rPr>
          <w:rFonts w:ascii="arial" w:eastAsia="arial" w:hAnsi="arial" w:cs="arial"/>
          <w:b w:val="0"/>
          <w:i w:val="0"/>
          <w:strike w:val="0"/>
          <w:noProof w:val="0"/>
          <w:color w:val="000000"/>
          <w:position w:val="0"/>
          <w:sz w:val="20"/>
          <w:u w:val="none"/>
          <w:vertAlign w:val="baseline"/>
        </w:rPr>
        <w:t xml:space="preserve">We recently held that the Board's conclusion that the historical facts did not rise to the required level of "hardship" resolved a mixed question of law and fact that we have jurisdiction to review. </w:t>
      </w:r>
      <w:r>
        <w:rPr>
          <w:rFonts w:ascii="arial" w:eastAsia="arial" w:hAnsi="arial" w:cs="arial"/>
          <w:b w:val="0"/>
          <w:i/>
          <w:strike w:val="0"/>
          <w:noProof w:val="0"/>
          <w:color w:val="000000"/>
          <w:position w:val="0"/>
          <w:sz w:val="20"/>
          <w:u w:val="none"/>
          <w:vertAlign w:val="baseline"/>
        </w:rPr>
        <w:t xml:space="preserve">See </w:t>
      </w:r>
      <w:bookmarkStart w:id="50" w:name="Bookmark_I67H31N72D6NY80050000400"/>
      <w:bookmarkEnd w:id="50"/>
      <w:hyperlink r:id="rId36" w:history="1">
        <w:r>
          <w:rPr>
            <w:rFonts w:ascii="arial" w:eastAsia="arial" w:hAnsi="arial" w:cs="arial"/>
            <w:b w:val="0"/>
            <w:i/>
            <w:strike w:val="0"/>
            <w:noProof w:val="0"/>
            <w:color w:val="0077CC"/>
            <w:position w:val="0"/>
            <w:sz w:val="20"/>
            <w:u w:val="single"/>
            <w:vertAlign w:val="baseline"/>
          </w:rPr>
          <w:t>Singh v. Rosen</w:t>
        </w:r>
      </w:hyperlink>
      <w:hyperlink r:id="rId36" w:history="1">
        <w:r>
          <w:rPr>
            <w:rFonts w:ascii="arial" w:eastAsia="arial" w:hAnsi="arial" w:cs="arial"/>
            <w:b w:val="0"/>
            <w:i/>
            <w:strike w:val="0"/>
            <w:noProof w:val="0"/>
            <w:color w:val="0077CC"/>
            <w:position w:val="0"/>
            <w:sz w:val="20"/>
            <w:u w:val="single"/>
            <w:vertAlign w:val="baseline"/>
          </w:rPr>
          <w:t>, 984 F.3d 1142, 1149-54 (6th Cir. 2021)</w:t>
        </w:r>
      </w:hyperlink>
      <w:r>
        <w:rPr>
          <w:rFonts w:ascii="arial" w:eastAsia="arial" w:hAnsi="arial" w:cs="arial"/>
          <w:b w:val="0"/>
          <w:i w:val="0"/>
          <w:strike w:val="0"/>
          <w:noProof w:val="0"/>
          <w:color w:val="000000"/>
          <w:position w:val="0"/>
          <w:sz w:val="20"/>
          <w:u w:val="none"/>
          <w:vertAlign w:val="baseline"/>
        </w:rPr>
        <w:t xml:space="preserve">. </w:t>
      </w:r>
      <w:bookmarkStart w:id="51" w:name="Bookmark_I67H31N82SF7W30030000400_2"/>
      <w:bookmarkEnd w:id="51"/>
      <w:r>
        <w:rPr>
          <w:rFonts w:ascii="arial" w:eastAsia="arial" w:hAnsi="arial" w:cs="arial"/>
          <w:b w:val="0"/>
          <w:i w:val="0"/>
          <w:strike w:val="0"/>
          <w:noProof w:val="0"/>
          <w:color w:val="000000"/>
          <w:position w:val="0"/>
          <w:sz w:val="20"/>
          <w:u w:val="none"/>
          <w:vertAlign w:val="baseline"/>
        </w:rPr>
        <w:t xml:space="preserve">Like </w:t>
      </w:r>
      <w:bookmarkStart w:id="52" w:name="Bookmark_I67H31N82SF7W30030000400_3"/>
      <w:bookmarkEnd w:id="52"/>
      <w:bookmarkStart w:id="53" w:name="Bookmark_I67H31N82SF7W30020000400"/>
      <w:bookmarkEnd w:id="53"/>
      <w:hyperlink r:id="rId36" w:history="1">
        <w:r>
          <w:rPr>
            <w:rFonts w:ascii="arial" w:eastAsia="arial" w:hAnsi="arial" w:cs="arial"/>
            <w:b w:val="0"/>
            <w:i/>
            <w:strike w:val="0"/>
            <w:noProof w:val="0"/>
            <w:color w:val="0077CC"/>
            <w:position w:val="0"/>
            <w:sz w:val="20"/>
            <w:u w:val="single"/>
            <w:vertAlign w:val="baseline"/>
          </w:rPr>
          <w:t>Singh</w:t>
        </w:r>
      </w:hyperlink>
      <w:r>
        <w:rPr>
          <w:rFonts w:ascii="arial" w:eastAsia="arial" w:hAnsi="arial" w:cs="arial"/>
          <w:b w:val="0"/>
          <w:i w:val="0"/>
          <w:strike w:val="0"/>
          <w:noProof w:val="0"/>
          <w:color w:val="000000"/>
          <w:position w:val="0"/>
          <w:sz w:val="20"/>
          <w:u w:val="none"/>
          <w:vertAlign w:val="baseline"/>
        </w:rPr>
        <w:t>, we now hold that the question whether the historical facts show that an immigrant lacks "good moral character" also qualifies as a mixed question within our jurisdiction.</w:t>
      </w:r>
    </w:p>
    <w:p>
      <w:pPr>
        <w:keepNext w:val="0"/>
        <w:spacing w:before="200" w:after="0" w:line="260" w:lineRule="atLeast"/>
        <w:ind w:left="0" w:right="0" w:firstLine="0"/>
        <w:jc w:val="both"/>
      </w:pPr>
      <w:bookmarkStart w:id="54" w:name="Bookmark_para_4"/>
      <w:bookmarkEnd w:id="54"/>
      <w:r>
        <w:rPr>
          <w:rFonts w:ascii="arial" w:eastAsia="arial" w:hAnsi="arial" w:cs="arial"/>
          <w:b w:val="0"/>
          <w:i w:val="0"/>
          <w:strike w:val="0"/>
          <w:noProof w:val="0"/>
          <w:color w:val="000000"/>
          <w:position w:val="0"/>
          <w:sz w:val="20"/>
          <w:u w:val="none"/>
          <w:vertAlign w:val="baseline"/>
        </w:rPr>
        <w:t xml:space="preserve">We thus may review Jorge Hernandez's argument that the Board wrongly held that he lacked good moral character because his negative attributes (including two drinking-and-driving convictions) outweighed his positive attributes (including his support of his ill wife). That said, the Board properly concluded that Hernandez's history of alcohol use and drinking-and-driving convictions showed his lack of </w:t>
      </w:r>
      <w:r>
        <w:rPr>
          <w:rFonts w:ascii="arial" w:eastAsia="arial" w:hAnsi="arial" w:cs="arial"/>
          <w:b/>
          <w:i w:val="0"/>
          <w:strike w:val="0"/>
          <w:noProof w:val="0"/>
          <w:color w:val="000000"/>
          <w:position w:val="0"/>
          <w:sz w:val="20"/>
          <w:u w:val="none"/>
          <w:vertAlign w:val="baseline"/>
        </w:rPr>
        <w:t> [*764] </w:t>
      </w:r>
      <w:r>
        <w:rPr>
          <w:rFonts w:ascii="arial" w:eastAsia="arial" w:hAnsi="arial" w:cs="arial"/>
          <w:b w:val="0"/>
          <w:i w:val="0"/>
          <w:strike w:val="0"/>
          <w:noProof w:val="0"/>
          <w:color w:val="000000"/>
          <w:position w:val="0"/>
          <w:sz w:val="20"/>
          <w:u w:val="none"/>
          <w:vertAlign w:val="baseline"/>
        </w:rPr>
        <w:t xml:space="preserve"> "good moral character." We thus deny his petition for review on the merits.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55" w:name="Bookmark_para_5"/>
      <w:bookmarkEnd w:id="55"/>
      <w:r>
        <w:rPr>
          <w:rFonts w:ascii="arial" w:eastAsia="arial" w:hAnsi="arial" w:cs="arial"/>
          <w:b w:val="0"/>
          <w:i w:val="0"/>
          <w:strike w:val="0"/>
          <w:noProof w:val="0"/>
          <w:color w:val="000000"/>
          <w:position w:val="0"/>
          <w:sz w:val="20"/>
          <w:u w:val="none"/>
          <w:vertAlign w:val="baseline"/>
        </w:rPr>
        <w:t>Born and raised in El Salvador, Hernandez came to the United States a couple of months before his eighteenth birthday in 1994. Admin. R. (A.R.) 1363, 1637. Hernandez</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entered without inspection and has lived in this country ever since. A.R. 1638.</w:t>
      </w:r>
    </w:p>
    <w:p>
      <w:pPr>
        <w:keepNext w:val="0"/>
        <w:spacing w:before="240" w:after="0" w:line="260" w:lineRule="atLeast"/>
        <w:ind w:left="0" w:right="0" w:firstLine="0"/>
        <w:jc w:val="both"/>
      </w:pPr>
      <w:bookmarkStart w:id="56" w:name="Bookmark_para_6"/>
      <w:bookmarkEnd w:id="56"/>
      <w:r>
        <w:rPr>
          <w:rFonts w:ascii="arial" w:eastAsia="arial" w:hAnsi="arial" w:cs="arial"/>
          <w:b w:val="0"/>
          <w:i w:val="0"/>
          <w:strike w:val="0"/>
          <w:noProof w:val="0"/>
          <w:color w:val="000000"/>
          <w:position w:val="0"/>
          <w:sz w:val="20"/>
          <w:u w:val="none"/>
          <w:vertAlign w:val="baseline"/>
        </w:rPr>
        <w:t xml:space="preserve">At some point, immigration authorities learned of Hernandez's presence and mailed him a "notice to appear" in proceedings designed to remove him to El Salvador. A.R. 1953, 2057-59. In 1999, Hernandez did not appear at his initial hearing, so an immigration judge ordered him removed in his absence. A.R. 1334, 2052;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8 U.S.C. § 1229a(b)(5)(A)</w:t>
        </w:r>
      </w:hyperlink>
      <w:r>
        <w:rPr>
          <w:rFonts w:ascii="arial" w:eastAsia="arial" w:hAnsi="arial" w:cs="arial"/>
          <w:b w:val="0"/>
          <w:i w:val="0"/>
          <w:strike w:val="0"/>
          <w:noProof w:val="0"/>
          <w:color w:val="000000"/>
          <w:position w:val="0"/>
          <w:sz w:val="20"/>
          <w:u w:val="none"/>
          <w:vertAlign w:val="baseline"/>
        </w:rPr>
        <w:t xml:space="preserve">. Over ten years later, another immigration judge granted Hernandez's motion to reopen his removal proceedings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 the ground that he had never received the notice to appear that the authorities had mailed to him. A.R. 1954-96, 2013-15;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8 U.S.C. § 1229a(b)(5)(C)(ii)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7"/>
      <w:bookmarkEnd w:id="57"/>
      <w:r>
        <w:rPr>
          <w:rFonts w:ascii="arial" w:eastAsia="arial" w:hAnsi="arial" w:cs="arial"/>
          <w:b w:val="0"/>
          <w:i w:val="0"/>
          <w:strike w:val="0"/>
          <w:noProof w:val="0"/>
          <w:color w:val="000000"/>
          <w:position w:val="0"/>
          <w:sz w:val="20"/>
          <w:u w:val="none"/>
          <w:vertAlign w:val="baseline"/>
        </w:rPr>
        <w:t>In the meantime, Hernandez married his wife and became the stepfather of her four children. A.R. 1364-65, 1430. The couple lived in Arkansas. But Hernandez's job laying cable for an oil company took him to other states, with the expectation that he would spend a month or more at home for every three months he spent away. A.R. 1366-68, 1432-34, 1447.</w:t>
      </w:r>
    </w:p>
    <w:p>
      <w:pPr>
        <w:keepNext w:val="0"/>
        <w:spacing w:before="240" w:after="0" w:line="260" w:lineRule="atLeast"/>
        <w:ind w:left="0" w:right="0" w:firstLine="0"/>
        <w:jc w:val="both"/>
      </w:pPr>
      <w:bookmarkStart w:id="58" w:name="Bookmark_para_8"/>
      <w:bookmarkEnd w:id="58"/>
      <w:r>
        <w:rPr>
          <w:rFonts w:ascii="arial" w:eastAsia="arial" w:hAnsi="arial" w:cs="arial"/>
          <w:b w:val="0"/>
          <w:i w:val="0"/>
          <w:strike w:val="0"/>
          <w:noProof w:val="0"/>
          <w:color w:val="000000"/>
          <w:position w:val="0"/>
          <w:sz w:val="20"/>
          <w:u w:val="none"/>
          <w:vertAlign w:val="baseline"/>
        </w:rPr>
        <w:t>In 2012, Hernandez sought cancellation of removal. A.R. 1637-44. To qualify for this relief, Hernandez needed to establish: (1) that he had remained in the United States for the past ten years; (2) that he had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"been a person of good moral character during" that time; (3) that he had not been convicted of certain crimes; and (4) that his "removal would result in exceptional and extremely unusual hardship to" his wife. </w:t>
      </w:r>
      <w:hyperlink r:id="rId13" w:history="1">
        <w:r>
          <w:rPr>
            <w:rFonts w:ascii="arial" w:eastAsia="arial" w:hAnsi="arial" w:cs="arial"/>
            <w:b w:val="0"/>
            <w:i/>
            <w:strike w:val="0"/>
            <w:noProof w:val="0"/>
            <w:color w:val="0077CC"/>
            <w:position w:val="0"/>
            <w:sz w:val="20"/>
            <w:u w:val="single"/>
            <w:vertAlign w:val="baseline"/>
          </w:rPr>
          <w:t>8 U.S.C. § 1229b(b)(1)(A)-(D)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9"/>
      <w:bookmarkEnd w:id="59"/>
      <w:r>
        <w:rPr>
          <w:rFonts w:ascii="arial" w:eastAsia="arial" w:hAnsi="arial" w:cs="arial"/>
          <w:b w:val="0"/>
          <w:i w:val="0"/>
          <w:strike w:val="0"/>
          <w:noProof w:val="0"/>
          <w:color w:val="000000"/>
          <w:position w:val="0"/>
          <w:sz w:val="20"/>
          <w:u w:val="none"/>
          <w:vertAlign w:val="baseline"/>
        </w:rPr>
        <w:t>After holding a hearing at which Hernandez and his wife testified, an immigration judge denied his cancellation-of-removal motion. A.R. 1329. The judge found that Hernandez met two of the four elements: he had remained in this country for ten years and had not been convicted of disqualifying offenses. A.R. 1323, 1325. But the judge concluded that Hernandez did not satisfy the other elements for several reasons. According to the judge, Hernandez lacked good moral character because of his failure to pay taxes in recent years and because of his criminal record. A.R. 1323-25. Hernandez allegedly provided obfuscating testimony about his tax-paying history in an effort to "confuse" the court. A.R. 1319. Hernandez also had been convicted of three criminal offenses. A.R. 1324-25. In 2003, he pleaded guilty to possessing an instrument of crime in violation of Arkansas law after an officer found him with a fake ID. A.R. 1378-81. In 2007 and 2010, he pleaded guilty to drinking-and-driving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offenses. A.R. 1383-84.</w:t>
      </w:r>
    </w:p>
    <w:p>
      <w:pPr>
        <w:keepNext w:val="0"/>
        <w:spacing w:before="200" w:after="0" w:line="260" w:lineRule="atLeast"/>
        <w:ind w:left="0" w:right="0" w:firstLine="0"/>
        <w:jc w:val="both"/>
      </w:pPr>
      <w:bookmarkStart w:id="60" w:name="Bookmark_para_10"/>
      <w:bookmarkEnd w:id="60"/>
      <w:r>
        <w:rPr>
          <w:rFonts w:ascii="arial" w:eastAsia="arial" w:hAnsi="arial" w:cs="arial"/>
          <w:b w:val="0"/>
          <w:i w:val="0"/>
          <w:strike w:val="0"/>
          <w:noProof w:val="0"/>
          <w:color w:val="000000"/>
          <w:position w:val="0"/>
          <w:sz w:val="20"/>
          <w:u w:val="none"/>
          <w:vertAlign w:val="baseline"/>
        </w:rPr>
        <w:t xml:space="preserve">Alternatively, the judge found that Hernandez's removal would not cause exceptional and extremely unusual hardship to his wife. A.R. 1325-28. The judge acknowledged that she could not work due to her many health problems, including diabetes and a heart condition. A.R. 1326, 1436-38. Yet Hernandez's job took him away from their home for nine months of the year, so he largely provided his wife with only financial support. A.R. 1327. The judge reasoned that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she received sufficient government aid to meet her monetary needs and that she could use other sources of income to pay for medicines not covered by insurance.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1" w:name="Bookmark_para_11"/>
      <w:bookmarkEnd w:id="61"/>
      <w:r>
        <w:rPr>
          <w:rFonts w:ascii="arial" w:eastAsia="arial" w:hAnsi="arial" w:cs="arial"/>
          <w:b w:val="0"/>
          <w:i w:val="0"/>
          <w:strike w:val="0"/>
          <w:noProof w:val="0"/>
          <w:color w:val="000000"/>
          <w:position w:val="0"/>
          <w:sz w:val="20"/>
          <w:u w:val="none"/>
          <w:vertAlign w:val="baseline"/>
        </w:rPr>
        <w:t xml:space="preserve">After Hernandez appealed to the Board, immigration authorities approved his wife's visa petition to allow him to become a permanent resident due to their relationship. </w:t>
      </w:r>
      <w:r>
        <w:rPr>
          <w:rFonts w:ascii="arial" w:eastAsia="arial" w:hAnsi="arial" w:cs="arial"/>
          <w:b/>
          <w:i w:val="0"/>
          <w:strike w:val="0"/>
          <w:noProof w:val="0"/>
          <w:color w:val="000000"/>
          <w:position w:val="0"/>
          <w:sz w:val="20"/>
          <w:u w:val="none"/>
          <w:vertAlign w:val="baseline"/>
        </w:rPr>
        <w:t> [*765] </w:t>
      </w:r>
      <w:r>
        <w:rPr>
          <w:rFonts w:ascii="arial" w:eastAsia="arial" w:hAnsi="arial" w:cs="arial"/>
          <w:b w:val="0"/>
          <w:i w:val="0"/>
          <w:strike w:val="0"/>
          <w:noProof w:val="0"/>
          <w:color w:val="000000"/>
          <w:position w:val="0"/>
          <w:sz w:val="20"/>
          <w:u w:val="none"/>
          <w:vertAlign w:val="baseline"/>
        </w:rPr>
        <w:t xml:space="preserve"> A.R. 1247. This development, which occurred outside these removal proceedings, led the Board in 2014 to remand the case so that the immigration judge could consider Hernandez's request for an "administrative closure" of the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doing so, the Board criticized part of the judge's rationale for denying cancellation of removal. As relevant here, it noted that Hernandez's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conviction from 2003 (a conviction on which the judge had partially relied) now fell outside the ten-year window for assessing his moral character under the governing statute. A.R. 1247-48 n.2.</w:t>
      </w:r>
    </w:p>
    <w:p>
      <w:pPr>
        <w:keepNext w:val="0"/>
        <w:spacing w:before="200" w:after="0" w:line="260" w:lineRule="atLeast"/>
        <w:ind w:left="0" w:right="0" w:firstLine="0"/>
        <w:jc w:val="both"/>
      </w:pPr>
      <w:bookmarkStart w:id="62" w:name="Bookmark_para_12"/>
      <w:bookmarkEnd w:id="62"/>
      <w:r>
        <w:rPr>
          <w:rFonts w:ascii="arial" w:eastAsia="arial" w:hAnsi="arial" w:cs="arial"/>
          <w:b w:val="0"/>
          <w:i w:val="0"/>
          <w:strike w:val="0"/>
          <w:noProof w:val="0"/>
          <w:color w:val="000000"/>
          <w:position w:val="0"/>
          <w:sz w:val="20"/>
          <w:u w:val="none"/>
          <w:vertAlign w:val="baseline"/>
        </w:rPr>
        <w:t>On remand, the immigration judge administratively closed Hernandez's case. A.R. 1194. The judge granted this relief to give him time to apply for a certain waiver with immigration authorities. The waiver would allow him to receive the applied-for visa even while he remained in this country (rather than force him to leave the country to obtain it). A.R. 82-95, 1194.</w:t>
      </w:r>
    </w:p>
    <w:p>
      <w:pPr>
        <w:keepNext w:val="0"/>
        <w:spacing w:before="200" w:after="0" w:line="260" w:lineRule="atLeast"/>
        <w:ind w:left="0" w:right="0" w:firstLine="0"/>
        <w:jc w:val="both"/>
      </w:pPr>
      <w:bookmarkStart w:id="63" w:name="Bookmark_para_13"/>
      <w:bookmarkEnd w:id="63"/>
      <w:r>
        <w:rPr>
          <w:rFonts w:ascii="arial" w:eastAsia="arial" w:hAnsi="arial" w:cs="arial"/>
          <w:b w:val="0"/>
          <w:i w:val="0"/>
          <w:strike w:val="0"/>
          <w:noProof w:val="0"/>
          <w:color w:val="000000"/>
          <w:position w:val="0"/>
          <w:sz w:val="20"/>
          <w:u w:val="none"/>
          <w:vertAlign w:val="baseline"/>
        </w:rPr>
        <w:t>The case remained administratively closed for over a year, but Hernandez never sought the contemplated waiver. A.R. 54, 520. (He alleges that he asked his attorneys to do so but that they declined for unknown reasons. A.R. 521-22.) At the request of immigration authorities who viewed Hernandez as an "enforcement priority," a new immigration judge reopened his removal proceedings. A.R. 98. The judge scheduled a supplemental hearing for the parties to provide updated evidence concerning the cancellation-of-removal eligibility requirements. A.R. 103.</w:t>
      </w:r>
    </w:p>
    <w:p>
      <w:pPr>
        <w:keepNext w:val="0"/>
        <w:spacing w:before="20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After Hernandez and his wife testified a second time, the immigration judge again held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he did not qualify for cancellation of removal. A.R. 63. This time, however, the judge found that his removal would cause his wife exceptional and extremely unusual hardship. A.R. 61-63. Her health had deteriorated even more in recent years, and Hernandez cared for her and the household. A.R. 62. Hernandez had also taken a job that allowed him to stay in Arkansas, so he now gave his wife more than financial support.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5" w:name="Bookmark_para_15"/>
      <w:bookmarkEnd w:id="65"/>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Yet the judge found that Hernandez still lacked "good moral character." A.R. 60-61. According to the judge, Hernandez's "positive" qualities did not outweigh his "negative" ones. A.R. 60. On the positive side, Hernandez kept a job and was the primary caregiver and financial provider for his wife and stepchildren.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the negative side, he had three more run-ins with the law. A.R. 60-61. The police arrested him two more times for drinking and driving in 2016. One arrest led to a third drinking-and-driving conviction. A.R. 61, 146, 154-56, 162, 165. The police also arrested him for a domestic-violence offense in 2013. A.R. 58, 143-44, 160-61. After consuming alcohol, he began screaming at his wife and daughter because they would not let him leave their home. A.R.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160-61. Hearing the commotion, neighbors called the police out of fear that Hernandez was hitting his family members. A.R. 144, 160. Both Hernandez and his wife testified that he had not hit anyone, and the state dropped the charges. A.R. 144-45, 161. The judge nevertheless reasoned that Hernandez's inability to control his drinking had led to another drinking-and-driving conviction, even after the prior judge had explained the importance of following the law. A.R. 61. And while Hernandez claimed that he no longer drinks alcohol to excess, he admitted that he still drinks.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A.R. 164. The judge thus found that he remained a danger to his community. A.R. 61.</w:t>
      </w:r>
    </w:p>
    <w:p>
      <w:pPr>
        <w:keepNext w:val="0"/>
        <w:spacing w:before="200" w:after="0" w:line="260" w:lineRule="atLeast"/>
        <w:ind w:left="0" w:right="0" w:firstLine="0"/>
        <w:jc w:val="both"/>
      </w:pPr>
      <w:bookmarkStart w:id="66" w:name="Bookmark_para_16"/>
      <w:bookmarkEnd w:id="66"/>
      <w:r>
        <w:rPr>
          <w:rFonts w:ascii="arial" w:eastAsia="arial" w:hAnsi="arial" w:cs="arial"/>
          <w:b w:val="0"/>
          <w:i w:val="0"/>
          <w:strike w:val="0"/>
          <w:noProof w:val="0"/>
          <w:color w:val="000000"/>
          <w:position w:val="0"/>
          <w:sz w:val="20"/>
          <w:u w:val="none"/>
          <w:vertAlign w:val="baseline"/>
        </w:rPr>
        <w:t xml:space="preserve">The Board upheld the immigration judge's decision that Hernandez lacked the good moral character required for cancellation of removal. According to the Board, the judge properly concluded that Hernandez's </w:t>
      </w:r>
      <w:r>
        <w:rPr>
          <w:rFonts w:ascii="arial" w:eastAsia="arial" w:hAnsi="arial" w:cs="arial"/>
          <w:b/>
          <w:i w:val="0"/>
          <w:strike w:val="0"/>
          <w:noProof w:val="0"/>
          <w:color w:val="000000"/>
          <w:position w:val="0"/>
          <w:sz w:val="20"/>
          <w:u w:val="none"/>
          <w:vertAlign w:val="baseline"/>
        </w:rPr>
        <w:t> [*766] </w:t>
      </w:r>
      <w:r>
        <w:rPr>
          <w:rFonts w:ascii="arial" w:eastAsia="arial" w:hAnsi="arial" w:cs="arial"/>
          <w:b w:val="0"/>
          <w:i w:val="0"/>
          <w:strike w:val="0"/>
          <w:noProof w:val="0"/>
          <w:color w:val="000000"/>
          <w:position w:val="0"/>
          <w:sz w:val="20"/>
          <w:u w:val="none"/>
          <w:vertAlign w:val="baseline"/>
        </w:rPr>
        <w:t xml:space="preserve"> negative traits outweighed his positive traits. A.R. 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67" w:name="Bookmark_para_17"/>
      <w:bookmarkEnd w:id="67"/>
      <w:r>
        <w:rPr>
          <w:rFonts w:ascii="arial" w:eastAsia="arial" w:hAnsi="arial" w:cs="arial"/>
          <w:b w:val="0"/>
          <w:i w:val="0"/>
          <w:strike w:val="0"/>
          <w:noProof w:val="0"/>
          <w:color w:val="000000"/>
          <w:position w:val="0"/>
          <w:sz w:val="20"/>
          <w:u w:val="none"/>
          <w:vertAlign w:val="baseline"/>
        </w:rPr>
        <w:t xml:space="preserve">Hernandez petitions for our review of the Board's denial of cancellation of removal. </w:t>
      </w:r>
      <w:bookmarkStart w:id="68" w:name="Bookmark_LNHNREFclscc3"/>
      <w:bookmarkEnd w:id="68"/>
      <w:hyperlink r:id="rId3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5"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Immigrants qualify for this relief if they satisfy four eligibility requirements:</w:t>
      </w:r>
    </w:p>
    <w:p>
      <w:pPr>
        <w:keepNext w:val="0"/>
        <w:spacing w:before="200" w:after="0" w:line="260" w:lineRule="atLeast"/>
        <w:ind w:left="400" w:right="0" w:firstLine="0"/>
        <w:jc w:val="both"/>
      </w:pPr>
      <w:bookmarkStart w:id="69" w:name="Bookmark_para_18"/>
      <w:bookmarkEnd w:id="69"/>
      <w:r>
        <w:rPr>
          <w:rFonts w:ascii="arial" w:eastAsia="arial" w:hAnsi="arial" w:cs="arial"/>
          <w:b w:val="0"/>
          <w:i w:val="0"/>
          <w:strike w:val="0"/>
          <w:noProof w:val="0"/>
          <w:color w:val="000000"/>
          <w:position w:val="0"/>
          <w:sz w:val="20"/>
          <w:u w:val="none"/>
          <w:vertAlign w:val="baseline"/>
        </w:rPr>
        <w:t>The Attorney General may cancel removal of, and adjust to the status of an alien lawfully admitted for permanent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residence, an alien who is inadmissible or deportable from the United States if the alien—</w:t>
      </w:r>
    </w:p>
    <w:p>
      <w:pPr>
        <w:keepNext w:val="0"/>
        <w:spacing w:after="0" w:line="260" w:lineRule="atLeast"/>
        <w:ind w:left="800" w:right="0" w:firstLine="0"/>
        <w:jc w:val="both"/>
      </w:pPr>
      <w:bookmarkStart w:id="70" w:name="Bookmark_para_19"/>
      <w:bookmarkEnd w:id="70"/>
      <w:r>
        <w:rPr>
          <w:rFonts w:ascii="arial" w:eastAsia="arial" w:hAnsi="arial" w:cs="arial"/>
          <w:b w:val="0"/>
          <w:i w:val="0"/>
          <w:strike w:val="0"/>
          <w:noProof w:val="0"/>
          <w:color w:val="000000"/>
          <w:position w:val="0"/>
          <w:sz w:val="20"/>
          <w:u w:val="none"/>
          <w:vertAlign w:val="baseline"/>
        </w:rPr>
        <w:t>(A) has been physically present in the United States for a continuous period of not less than 10 years immediately preceding the date of such application;</w:t>
      </w:r>
    </w:p>
    <w:p>
      <w:pPr>
        <w:keepNext w:val="0"/>
        <w:spacing w:after="0" w:line="260" w:lineRule="atLeast"/>
        <w:ind w:left="800" w:right="0" w:firstLine="0"/>
        <w:jc w:val="both"/>
      </w:pPr>
      <w:bookmarkStart w:id="71" w:name="Bookmark_para_20"/>
      <w:bookmarkEnd w:id="71"/>
      <w:r>
        <w:rPr>
          <w:rFonts w:ascii="arial" w:eastAsia="arial" w:hAnsi="arial" w:cs="arial"/>
          <w:b w:val="0"/>
          <w:i w:val="0"/>
          <w:strike w:val="0"/>
          <w:noProof w:val="0"/>
          <w:color w:val="000000"/>
          <w:position w:val="0"/>
          <w:sz w:val="20"/>
          <w:u w:val="none"/>
          <w:vertAlign w:val="baseline"/>
        </w:rPr>
        <w:t>(B) has been a person of good moral character during such period;</w:t>
      </w:r>
    </w:p>
    <w:p>
      <w:pPr>
        <w:keepNext w:val="0"/>
        <w:spacing w:before="240" w:after="0" w:line="260" w:lineRule="atLeast"/>
        <w:ind w:left="800" w:right="0" w:firstLine="0"/>
        <w:jc w:val="both"/>
      </w:pPr>
      <w:bookmarkStart w:id="72" w:name="Bookmark_para_21"/>
      <w:bookmarkEnd w:id="72"/>
      <w:r>
        <w:rPr>
          <w:rFonts w:ascii="arial" w:eastAsia="arial" w:hAnsi="arial" w:cs="arial"/>
          <w:b w:val="0"/>
          <w:i w:val="0"/>
          <w:strike w:val="0"/>
          <w:noProof w:val="0"/>
          <w:color w:val="000000"/>
          <w:position w:val="0"/>
          <w:sz w:val="20"/>
          <w:u w:val="none"/>
          <w:vertAlign w:val="baseline"/>
        </w:rPr>
        <w:t xml:space="preserve">(C) has not been convicted of an offense under </w:t>
      </w:r>
      <w:hyperlink r:id="rId15" w:history="1">
        <w:r>
          <w:rPr>
            <w:rFonts w:ascii="arial" w:eastAsia="arial" w:hAnsi="arial" w:cs="arial"/>
            <w:b w:val="0"/>
            <w:i/>
            <w:strike w:val="0"/>
            <w:noProof w:val="0"/>
            <w:color w:val="0077CC"/>
            <w:position w:val="0"/>
            <w:sz w:val="20"/>
            <w:u w:val="single"/>
            <w:vertAlign w:val="baseline"/>
          </w:rPr>
          <w:t>section 1182(a)(2)</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1227(a)(2)</w:t>
        </w:r>
      </w:hyperlink>
      <w:r>
        <w:rPr>
          <w:rFonts w:ascii="arial" w:eastAsia="arial" w:hAnsi="arial" w:cs="arial"/>
          <w:b w:val="0"/>
          <w:i w:val="0"/>
          <w:strike w:val="0"/>
          <w:noProof w:val="0"/>
          <w:color w:val="000000"/>
          <w:position w:val="0"/>
          <w:sz w:val="20"/>
          <w:u w:val="none"/>
          <w:vertAlign w:val="baseline"/>
        </w:rPr>
        <w:t xml:space="preserve">, or </w:t>
      </w:r>
      <w:hyperlink r:id="rId16" w:history="1">
        <w:r>
          <w:rPr>
            <w:rFonts w:ascii="arial" w:eastAsia="arial" w:hAnsi="arial" w:cs="arial"/>
            <w:b w:val="0"/>
            <w:i/>
            <w:strike w:val="0"/>
            <w:noProof w:val="0"/>
            <w:color w:val="0077CC"/>
            <w:position w:val="0"/>
            <w:sz w:val="20"/>
            <w:u w:val="single"/>
            <w:vertAlign w:val="baseline"/>
          </w:rPr>
          <w:t>1227(a)(3)</w:t>
        </w:r>
      </w:hyperlink>
      <w:r>
        <w:rPr>
          <w:rFonts w:ascii="arial" w:eastAsia="arial" w:hAnsi="arial" w:cs="arial"/>
          <w:b w:val="0"/>
          <w:i w:val="0"/>
          <w:strike w:val="0"/>
          <w:noProof w:val="0"/>
          <w:color w:val="000000"/>
          <w:position w:val="0"/>
          <w:sz w:val="20"/>
          <w:u w:val="none"/>
          <w:vertAlign w:val="baseline"/>
        </w:rPr>
        <w:t xml:space="preserve"> of this title, subject to </w:t>
      </w:r>
      <w:hyperlink r:id="rId16" w:history="1">
        <w:r>
          <w:rPr>
            <w:rFonts w:ascii="arial" w:eastAsia="arial" w:hAnsi="arial" w:cs="arial"/>
            <w:b w:val="0"/>
            <w:i/>
            <w:strike w:val="0"/>
            <w:noProof w:val="0"/>
            <w:color w:val="0077CC"/>
            <w:position w:val="0"/>
            <w:sz w:val="20"/>
            <w:u w:val="single"/>
            <w:vertAlign w:val="baseline"/>
          </w:rPr>
          <w:t>paragraph (5)</w:t>
        </w:r>
      </w:hyperlink>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800" w:right="0" w:firstLine="0"/>
        <w:jc w:val="both"/>
      </w:pPr>
      <w:bookmarkStart w:id="73" w:name="Bookmark_para_22"/>
      <w:bookmarkEnd w:id="73"/>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 establishes that removal would result in exceptional and extremely unusual hardship to the alien's spouse, parent, or child, who is a citizen of the United States or an alien lawfully admitted for permanent residence.</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8 U.S.C. § 1229b(b)(1)</w:t>
        </w:r>
      </w:hyperlink>
      <w:r>
        <w:rPr>
          <w:rFonts w:ascii="arial" w:eastAsia="arial" w:hAnsi="arial" w:cs="arial"/>
          <w:b w:val="0"/>
          <w:i w:val="0"/>
          <w:strike w:val="0"/>
          <w:noProof w:val="0"/>
          <w:color w:val="000000"/>
          <w:position w:val="0"/>
          <w:sz w:val="20"/>
          <w:u w:val="none"/>
          <w:vertAlign w:val="baseline"/>
        </w:rPr>
        <w:t xml:space="preserve">. </w:t>
      </w:r>
      <w:bookmarkStart w:id="74" w:name="Bookmark_I67H31N82SF7W30050000400"/>
      <w:bookmarkEnd w:id="74"/>
      <w:r>
        <w:rPr>
          <w:rFonts w:ascii="arial" w:eastAsia="arial" w:hAnsi="arial" w:cs="arial"/>
          <w:b w:val="0"/>
          <w:i w:val="0"/>
          <w:strike w:val="0"/>
          <w:noProof w:val="0"/>
          <w:color w:val="000000"/>
          <w:position w:val="0"/>
          <w:sz w:val="20"/>
          <w:u w:val="none"/>
          <w:vertAlign w:val="baseline"/>
        </w:rPr>
        <w:t xml:space="preserve">Yet Congress did not give immigrants who satisfy these four requirements an automatic right to this relief. As the statute's use of the verb "may" shows, the Attorney General retains discretion to deny relief to eligible immigrants. </w:t>
      </w:r>
      <w:bookmarkStart w:id="75" w:name="Bookmark_I67H31N82N1R4W0020000400"/>
      <w:bookmarkEnd w:id="75"/>
      <w:r>
        <w:rPr>
          <w:rFonts w:ascii="arial" w:eastAsia="arial" w:hAnsi="arial" w:cs="arial"/>
          <w:b w:val="0"/>
          <w:i/>
          <w:strike w:val="0"/>
          <w:noProof w:val="0"/>
          <w:color w:val="000000"/>
          <w:position w:val="0"/>
          <w:sz w:val="20"/>
          <w:u w:val="none"/>
          <w:vertAlign w:val="baseline"/>
        </w:rPr>
        <w:t xml:space="preserve">See </w:t>
      </w:r>
      <w:bookmarkStart w:id="76" w:name="Bookmark_I67H31N82SF7W30040000400"/>
      <w:bookmarkEnd w:id="76"/>
      <w:hyperlink r:id="rId36" w:history="1">
        <w:r>
          <w:rPr>
            <w:rFonts w:ascii="arial" w:eastAsia="arial" w:hAnsi="arial" w:cs="arial"/>
            <w:b w:val="0"/>
            <w:i/>
            <w:strike w:val="0"/>
            <w:noProof w:val="0"/>
            <w:color w:val="0077CC"/>
            <w:position w:val="0"/>
            <w:sz w:val="20"/>
            <w:u w:val="single"/>
            <w:vertAlign w:val="baseline"/>
          </w:rPr>
          <w:t>Singh</w:t>
        </w:r>
      </w:hyperlink>
      <w:hyperlink r:id="rId36" w:history="1">
        <w:r>
          <w:rPr>
            <w:rFonts w:ascii="arial" w:eastAsia="arial" w:hAnsi="arial" w:cs="arial"/>
            <w:b w:val="0"/>
            <w:i/>
            <w:strike w:val="0"/>
            <w:noProof w:val="0"/>
            <w:color w:val="0077CC"/>
            <w:position w:val="0"/>
            <w:sz w:val="20"/>
            <w:u w:val="single"/>
            <w:vertAlign w:val="baseline"/>
          </w:rPr>
          <w:t>, 984 F.3d at 1147</w:t>
        </w:r>
      </w:hyperlink>
      <w:r>
        <w:rPr>
          <w:rFonts w:ascii="arial" w:eastAsia="arial" w:hAnsi="arial" w:cs="arial"/>
          <w:b w:val="0"/>
          <w:i w:val="0"/>
          <w:strike w:val="0"/>
          <w:noProof w:val="0"/>
          <w:color w:val="000000"/>
          <w:position w:val="0"/>
          <w:sz w:val="20"/>
          <w:u w:val="none"/>
          <w:vertAlign w:val="baseline"/>
        </w:rPr>
        <w:t xml:space="preserve">. </w:t>
      </w:r>
      <w:bookmarkStart w:id="77" w:name="Bookmark_I67H31N82N1R4W0020000400_2"/>
      <w:bookmarkEnd w:id="77"/>
      <w:r>
        <w:rPr>
          <w:rFonts w:ascii="arial" w:eastAsia="arial" w:hAnsi="arial" w:cs="arial"/>
          <w:b w:val="0"/>
          <w:i w:val="0"/>
          <w:strike w:val="0"/>
          <w:noProof w:val="0"/>
          <w:color w:val="000000"/>
          <w:position w:val="0"/>
          <w:sz w:val="20"/>
          <w:u w:val="none"/>
          <w:vertAlign w:val="baseline"/>
        </w:rPr>
        <w:t xml:space="preserve">(The Attorney General has delegated this power to the Board. </w:t>
      </w:r>
      <w:bookmarkStart w:id="78" w:name="Bookmark_I67H31N82N1R4W0010000400"/>
      <w:bookmarkEnd w:id="78"/>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1148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8 C.F.R. § 1003.1(a)(1)</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(d)(3)(ii)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23"/>
      <w:bookmarkEnd w:id="79"/>
      <w:r>
        <w:rPr>
          <w:rFonts w:ascii="arial" w:eastAsia="arial" w:hAnsi="arial" w:cs="arial"/>
          <w:b w:val="0"/>
          <w:i w:val="0"/>
          <w:strike w:val="0"/>
          <w:noProof w:val="0"/>
          <w:color w:val="000000"/>
          <w:position w:val="0"/>
          <w:sz w:val="20"/>
          <w:u w:val="none"/>
          <w:vertAlign w:val="baseline"/>
        </w:rPr>
        <w:t xml:space="preserve">The parties agree that Hernandez met all eligibility requirements but the one mandating that he have "good moral character." The general "definitions" section in the immigration laws provides guidance on what this term of art means. </w:t>
      </w:r>
      <w:bookmarkStart w:id="80" w:name="Bookmark_LNHNREFclscc4"/>
      <w:bookmarkEnd w:id="80"/>
      <w:hyperlink r:id="rId4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6"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The relevant subsection provides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eight specific classes of immigrants automatically lack "good moral character," including those who are "habitual drunkard[s]," those who receive their main income "from illegal gambling activities," those who have lied under oath to obtain immigration-related benefits, and those who have "aggravated felony" convictions. </w:t>
      </w:r>
      <w:hyperlink r:id="rId18" w:history="1">
        <w:r>
          <w:rPr>
            <w:rFonts w:ascii="arial" w:eastAsia="arial" w:hAnsi="arial" w:cs="arial"/>
            <w:b w:val="0"/>
            <w:i/>
            <w:strike w:val="0"/>
            <w:noProof w:val="0"/>
            <w:color w:val="0077CC"/>
            <w:position w:val="0"/>
            <w:sz w:val="20"/>
            <w:u w:val="single"/>
            <w:vertAlign w:val="baseline"/>
          </w:rPr>
          <w:t>8 U.S.C. § 1101(f)</w:t>
        </w:r>
      </w:hyperlink>
      <w:r>
        <w:rPr>
          <w:rFonts w:ascii="arial" w:eastAsia="arial" w:hAnsi="arial" w:cs="arial"/>
          <w:b w:val="0"/>
          <w:i w:val="0"/>
          <w:strike w:val="0"/>
          <w:noProof w:val="0"/>
          <w:color w:val="000000"/>
          <w:position w:val="0"/>
          <w:sz w:val="20"/>
          <w:u w:val="none"/>
          <w:vertAlign w:val="baseline"/>
        </w:rPr>
        <w:t xml:space="preserve">. Apart from these specific categories of per se ineligible immigrants, a catch-all clause adds that immigrants might lack good moral character for other reasons: "The fact that any person is not within any of the foregoing classes shall not preclude a finding that for other reasons such person is or was not of good moral character."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1" w:name="Bookmark_para_24"/>
      <w:bookmarkEnd w:id="81"/>
      <w:r>
        <w:rPr>
          <w:rFonts w:ascii="arial" w:eastAsia="arial" w:hAnsi="arial" w:cs="arial"/>
          <w:b w:val="0"/>
          <w:i w:val="0"/>
          <w:strike w:val="0"/>
          <w:noProof w:val="0"/>
          <w:color w:val="000000"/>
          <w:position w:val="0"/>
          <w:sz w:val="20"/>
          <w:u w:val="none"/>
          <w:vertAlign w:val="baseline"/>
        </w:rPr>
        <w:t xml:space="preserve">Here, the immigration judge found that Hernandez did not fall within any of the specific categories of immigrants whom </w:t>
      </w:r>
      <w:hyperlink r:id="rId18" w:history="1">
        <w:r>
          <w:rPr>
            <w:rFonts w:ascii="arial" w:eastAsia="arial" w:hAnsi="arial" w:cs="arial"/>
            <w:b w:val="0"/>
            <w:i/>
            <w:strike w:val="0"/>
            <w:noProof w:val="0"/>
            <w:color w:val="0077CC"/>
            <w:position w:val="0"/>
            <w:sz w:val="20"/>
            <w:u w:val="single"/>
            <w:vertAlign w:val="baseline"/>
          </w:rPr>
          <w:t>§ 1101(f)</w:t>
        </w:r>
      </w:hyperlink>
      <w:r>
        <w:rPr>
          <w:rFonts w:ascii="arial" w:eastAsia="arial" w:hAnsi="arial" w:cs="arial"/>
          <w:b w:val="0"/>
          <w:i w:val="0"/>
          <w:strike w:val="0"/>
          <w:noProof w:val="0"/>
          <w:color w:val="000000"/>
          <w:position w:val="0"/>
          <w:sz w:val="20"/>
          <w:u w:val="none"/>
          <w:vertAlign w:val="baseline"/>
        </w:rPr>
        <w:t xml:space="preserve"> treats as automatically ineligible. A.R. 60. The judge (and Board) instead held that Hernandez lacked good moral character under </w:t>
      </w:r>
      <w:hyperlink r:id="rId18" w:history="1">
        <w:r>
          <w:rPr>
            <w:rFonts w:ascii="arial" w:eastAsia="arial" w:hAnsi="arial" w:cs="arial"/>
            <w:b w:val="0"/>
            <w:i/>
            <w:strike w:val="0"/>
            <w:noProof w:val="0"/>
            <w:color w:val="0077CC"/>
            <w:position w:val="0"/>
            <w:sz w:val="20"/>
            <w:u w:val="single"/>
            <w:vertAlign w:val="baseline"/>
          </w:rPr>
          <w:t>§ 1101(f)</w:t>
        </w:r>
      </w:hyperlink>
      <w:r>
        <w:rPr>
          <w:rFonts w:ascii="arial" w:eastAsia="arial" w:hAnsi="arial" w:cs="arial"/>
          <w:b w:val="0"/>
          <w:i w:val="0"/>
          <w:strike w:val="0"/>
          <w:noProof w:val="0"/>
          <w:color w:val="000000"/>
          <w:position w:val="0"/>
          <w:sz w:val="20"/>
          <w:u w:val="none"/>
          <w:vertAlign w:val="baseline"/>
        </w:rPr>
        <w:t>'s catch-all provision. A.R. 3-4, 60-61. Hernandez challenges this conclusion in his petition for review. The government responds that we lack jurisdiction to review his challenge. We disagree with the government's jurisdictional argument but reject Hernandez's claim on the merits.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Jurisdiction</w:t>
      </w:r>
      <w:r>
        <w:rPr>
          <w:rFonts w:ascii="arial" w:eastAsia="arial" w:hAnsi="arial" w:cs="arial"/>
          <w:b/>
          <w:i w:val="0"/>
          <w:strike w:val="0"/>
          <w:noProof w:val="0"/>
          <w:color w:val="000000"/>
          <w:position w:val="0"/>
          <w:sz w:val="20"/>
          <w:u w:val="none"/>
          <w:vertAlign w:val="baseline"/>
        </w:rPr>
        <w:t> [**11] </w:t>
      </w:r>
    </w:p>
    <w:p>
      <w:pPr>
        <w:keepNext w:val="0"/>
        <w:spacing w:before="240" w:after="0" w:line="260" w:lineRule="atLeast"/>
        <w:ind w:left="0" w:right="0" w:firstLine="0"/>
        <w:jc w:val="both"/>
      </w:pPr>
      <w:bookmarkStart w:id="82" w:name="Bookmark_para_25"/>
      <w:bookmarkEnd w:id="82"/>
      <w:r>
        <w:rPr>
          <w:rFonts w:ascii="arial" w:eastAsia="arial" w:hAnsi="arial" w:cs="arial"/>
          <w:b w:val="0"/>
          <w:i w:val="0"/>
          <w:strike w:val="0"/>
          <w:noProof w:val="0"/>
          <w:color w:val="000000"/>
          <w:position w:val="0"/>
          <w:sz w:val="20"/>
          <w:u w:val="none"/>
          <w:vertAlign w:val="baseline"/>
        </w:rPr>
        <w:t xml:space="preserve">All agree that the Board's decision to deny Hernandez cancellation of removal qualifies as a "final order of removal" that we generally have jurisdiction to review. </w:t>
      </w:r>
      <w:hyperlink r:id="rId11" w:history="1">
        <w:r>
          <w:rPr>
            <w:rFonts w:ascii="arial" w:eastAsia="arial" w:hAnsi="arial" w:cs="arial"/>
            <w:b w:val="0"/>
            <w:i/>
            <w:strike w:val="0"/>
            <w:noProof w:val="0"/>
            <w:color w:val="0077CC"/>
            <w:position w:val="0"/>
            <w:sz w:val="20"/>
            <w:u w:val="single"/>
            <w:vertAlign w:val="baseline"/>
          </w:rPr>
          <w:t>8 U.S.C. § 1252(a)(1)</w:t>
        </w:r>
      </w:hyperlink>
      <w:r>
        <w:rPr>
          <w:rFonts w:ascii="arial" w:eastAsia="arial" w:hAnsi="arial" w:cs="arial"/>
          <w:b w:val="0"/>
          <w:i w:val="0"/>
          <w:strike w:val="0"/>
          <w:noProof w:val="0"/>
          <w:color w:val="000000"/>
          <w:position w:val="0"/>
          <w:sz w:val="20"/>
          <w:u w:val="none"/>
          <w:vertAlign w:val="baseline"/>
        </w:rPr>
        <w:t xml:space="preserve">. Yet the section authorizing judicial review also limits our jurisdiction over certain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issues and then carves out a safe harbor from these jurisdictional limits.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1252(a)(2)(A)-(D)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26"/>
      <w:bookmarkEnd w:id="83"/>
      <w:r>
        <w:rPr>
          <w:rFonts w:ascii="arial" w:eastAsia="arial" w:hAnsi="arial" w:cs="arial"/>
          <w:b w:val="0"/>
          <w:i w:val="0"/>
          <w:strike w:val="0"/>
          <w:noProof w:val="0"/>
          <w:color w:val="000000"/>
          <w:position w:val="0"/>
          <w:sz w:val="20"/>
          <w:u w:val="none"/>
          <w:vertAlign w:val="baseline"/>
        </w:rPr>
        <w:t xml:space="preserve">As for the jurisdictional limits, </w:t>
      </w:r>
      <w:bookmarkStart w:id="84" w:name="Bookmark_LNHNREFclscc5"/>
      <w:bookmarkEnd w:id="84"/>
      <w:hyperlink r:id="rId4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7"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judicial-review section bars courts from reviewing, among other things, decisions that </w:t>
      </w:r>
      <w:r>
        <w:rPr>
          <w:rFonts w:ascii="arial" w:eastAsia="arial" w:hAnsi="arial" w:cs="arial"/>
          <w:b/>
          <w:i w:val="0"/>
          <w:strike w:val="0"/>
          <w:noProof w:val="0"/>
          <w:color w:val="000000"/>
          <w:position w:val="0"/>
          <w:sz w:val="20"/>
          <w:u w:val="none"/>
          <w:vertAlign w:val="baseline"/>
        </w:rPr>
        <w:t> [*767] </w:t>
      </w:r>
      <w:r>
        <w:rPr>
          <w:rFonts w:ascii="arial" w:eastAsia="arial" w:hAnsi="arial" w:cs="arial"/>
          <w:b w:val="0"/>
          <w:i w:val="0"/>
          <w:strike w:val="0"/>
          <w:noProof w:val="0"/>
          <w:color w:val="000000"/>
          <w:position w:val="0"/>
          <w:sz w:val="20"/>
          <w:u w:val="none"/>
          <w:vertAlign w:val="baseline"/>
        </w:rPr>
        <w:t xml:space="preserve"> the immigration laws leave to the Attorney General's discretion. In what we will call "subparagraph (B)," the section indicates: "[E]xcept as provided in subparagraph (D)," "no court shall have jurisdiction to review" "any judgment regarding the granting of relief under" various sections, including the cancellation-of-removal section (</w:t>
      </w:r>
      <w:hyperlink r:id="rId13" w:history="1">
        <w:r>
          <w:rPr>
            <w:rFonts w:ascii="arial" w:eastAsia="arial" w:hAnsi="arial" w:cs="arial"/>
            <w:b w:val="0"/>
            <w:i/>
            <w:strike w:val="0"/>
            <w:noProof w:val="0"/>
            <w:color w:val="0077CC"/>
            <w:position w:val="0"/>
            <w:sz w:val="20"/>
            <w:u w:val="single"/>
            <w:vertAlign w:val="baseline"/>
          </w:rPr>
          <w:t>§ 1229b</w:t>
        </w:r>
      </w:hyperlink>
      <w:r>
        <w:rPr>
          <w:rFonts w:ascii="arial" w:eastAsia="arial" w:hAnsi="arial" w:cs="arial"/>
          <w:b w:val="0"/>
          <w:i w:val="0"/>
          <w:strike w:val="0"/>
          <w:noProof w:val="0"/>
          <w:color w:val="000000"/>
          <w:position w:val="0"/>
          <w:sz w:val="20"/>
          <w:u w:val="none"/>
          <w:vertAlign w:val="baseline"/>
        </w:rPr>
        <w:t xml:space="preserve">). </w:t>
      </w:r>
      <w:bookmarkStart w:id="85" w:name="Bookmark_I67H31N82N1R4W0040000400"/>
      <w:bookmarkEnd w:id="8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w:t>
      </w:r>
      <w:bookmarkStart w:id="86" w:name="Bookmark_LNHNREFclscc6"/>
      <w:bookmarkEnd w:id="86"/>
      <w:hyperlink r:id="rId4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8"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Supreme Court recently held that </w:t>
      </w:r>
      <w:hyperlink r:id="rId11" w:history="1">
        <w:r>
          <w:rPr>
            <w:rFonts w:ascii="arial" w:eastAsia="arial" w:hAnsi="arial" w:cs="arial"/>
            <w:b w:val="0"/>
            <w:i/>
            <w:strike w:val="0"/>
            <w:noProof w:val="0"/>
            <w:color w:val="0077CC"/>
            <w:position w:val="0"/>
            <w:sz w:val="20"/>
            <w:u w:val="single"/>
            <w:vertAlign w:val="baseline"/>
          </w:rPr>
          <w:t>subparagraph (B)</w:t>
        </w:r>
      </w:hyperlink>
      <w:r>
        <w:rPr>
          <w:rFonts w:ascii="arial" w:eastAsia="arial" w:hAnsi="arial" w:cs="arial"/>
          <w:b w:val="0"/>
          <w:i w:val="0"/>
          <w:strike w:val="0"/>
          <w:noProof w:val="0"/>
          <w:color w:val="000000"/>
          <w:position w:val="0"/>
          <w:sz w:val="20"/>
          <w:u w:val="none"/>
          <w:vertAlign w:val="baseline"/>
        </w:rPr>
        <w:t xml:space="preserve"> presumptively precludes our jurisdiction over any aspect of a cancellation-of-removal decision. </w:t>
      </w:r>
      <w:bookmarkStart w:id="87" w:name="Bookmark_I67H31N82HM6YC0010000400"/>
      <w:bookmarkEnd w:id="87"/>
      <w:r>
        <w:rPr>
          <w:rFonts w:ascii="arial" w:eastAsia="arial" w:hAnsi="arial" w:cs="arial"/>
          <w:b w:val="0"/>
          <w:i/>
          <w:strike w:val="0"/>
          <w:noProof w:val="0"/>
          <w:color w:val="000000"/>
          <w:position w:val="0"/>
          <w:sz w:val="20"/>
          <w:u w:val="none"/>
          <w:vertAlign w:val="baseline"/>
        </w:rPr>
        <w:t xml:space="preserve">See </w:t>
      </w:r>
      <w:bookmarkStart w:id="88" w:name="Bookmark_I67H31N82N1R4W0030000400"/>
      <w:bookmarkEnd w:id="88"/>
      <w:hyperlink r:id="rId33" w:history="1">
        <w:r>
          <w:rPr>
            <w:rFonts w:ascii="arial" w:eastAsia="arial" w:hAnsi="arial" w:cs="arial"/>
            <w:b w:val="0"/>
            <w:i/>
            <w:strike w:val="0"/>
            <w:noProof w:val="0"/>
            <w:color w:val="0077CC"/>
            <w:position w:val="0"/>
            <w:sz w:val="20"/>
            <w:u w:val="single"/>
            <w:vertAlign w:val="baseline"/>
          </w:rPr>
          <w:t>Patel</w:t>
        </w:r>
      </w:hyperlink>
      <w:hyperlink r:id="rId33" w:history="1">
        <w:r>
          <w:rPr>
            <w:rFonts w:ascii="arial" w:eastAsia="arial" w:hAnsi="arial" w:cs="arial"/>
            <w:b w:val="0"/>
            <w:i/>
            <w:strike w:val="0"/>
            <w:noProof w:val="0"/>
            <w:color w:val="0077CC"/>
            <w:position w:val="0"/>
            <w:sz w:val="20"/>
            <w:u w:val="single"/>
            <w:vertAlign w:val="baseline"/>
          </w:rPr>
          <w:t>, 142 S. Ct. at 1622</w:t>
        </w:r>
      </w:hyperlink>
      <w:r>
        <w:rPr>
          <w:rFonts w:ascii="arial" w:eastAsia="arial" w:hAnsi="arial" w:cs="arial"/>
          <w:b w:val="0"/>
          <w:i w:val="0"/>
          <w:strike w:val="0"/>
          <w:noProof w:val="0"/>
          <w:color w:val="000000"/>
          <w:position w:val="0"/>
          <w:sz w:val="20"/>
          <w:u w:val="none"/>
          <w:vertAlign w:val="baseline"/>
        </w:rPr>
        <w:t xml:space="preserve">. </w:t>
      </w:r>
      <w:bookmarkStart w:id="89" w:name="Bookmark_I67H31N82HM6YC0010000400_2"/>
      <w:bookmarkEnd w:id="89"/>
      <w:r>
        <w:rPr>
          <w:rFonts w:ascii="arial" w:eastAsia="arial" w:hAnsi="arial" w:cs="arial"/>
          <w:b w:val="0"/>
          <w:i w:val="0"/>
          <w:strike w:val="0"/>
          <w:noProof w:val="0"/>
          <w:color w:val="000000"/>
          <w:position w:val="0"/>
          <w:sz w:val="20"/>
          <w:u w:val="none"/>
          <w:vertAlign w:val="baseline"/>
        </w:rPr>
        <w:t xml:space="preserve">Most obviously, its text covers the ultimate discretionary decision to deny relief to immigrants who meet the four eligibility requirements. </w:t>
      </w:r>
      <w:r>
        <w:rPr>
          <w:rFonts w:ascii="arial" w:eastAsia="arial" w:hAnsi="arial" w:cs="arial"/>
          <w:b w:val="0"/>
          <w:i/>
          <w:strike w:val="0"/>
          <w:noProof w:val="0"/>
          <w:color w:val="000000"/>
          <w:position w:val="0"/>
          <w:sz w:val="20"/>
          <w:u w:val="none"/>
          <w:vertAlign w:val="baseline"/>
        </w:rPr>
        <w:t xml:space="preserve">See </w:t>
      </w:r>
      <w:bookmarkStart w:id="90" w:name="Bookmark_I67H31N82N1R4W0050000400"/>
      <w:bookmarkEnd w:id="90"/>
      <w:hyperlink r:id="rId36" w:history="1">
        <w:r>
          <w:rPr>
            <w:rFonts w:ascii="arial" w:eastAsia="arial" w:hAnsi="arial" w:cs="arial"/>
            <w:b w:val="0"/>
            <w:i/>
            <w:strike w:val="0"/>
            <w:noProof w:val="0"/>
            <w:color w:val="0077CC"/>
            <w:position w:val="0"/>
            <w:sz w:val="20"/>
            <w:u w:val="single"/>
            <w:vertAlign w:val="baseline"/>
          </w:rPr>
          <w:t>Singh</w:t>
        </w:r>
      </w:hyperlink>
      <w:hyperlink r:id="rId36" w:history="1">
        <w:r>
          <w:rPr>
            <w:rFonts w:ascii="arial" w:eastAsia="arial" w:hAnsi="arial" w:cs="arial"/>
            <w:b w:val="0"/>
            <w:i/>
            <w:strike w:val="0"/>
            <w:noProof w:val="0"/>
            <w:color w:val="0077CC"/>
            <w:position w:val="0"/>
            <w:sz w:val="20"/>
            <w:u w:val="single"/>
            <w:vertAlign w:val="baseline"/>
          </w:rPr>
          <w:t>, 984 F.3d at 1149</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8 U.S.C. § 1252(a)(2)(B)(ii)</w:t>
        </w:r>
      </w:hyperlink>
      <w:r>
        <w:rPr>
          <w:rFonts w:ascii="arial" w:eastAsia="arial" w:hAnsi="arial" w:cs="arial"/>
          <w:b w:val="0"/>
          <w:i w:val="0"/>
          <w:strike w:val="0"/>
          <w:noProof w:val="0"/>
          <w:color w:val="000000"/>
          <w:position w:val="0"/>
          <w:sz w:val="20"/>
          <w:u w:val="none"/>
          <w:vertAlign w:val="baseline"/>
        </w:rPr>
        <w:t xml:space="preserve">. </w:t>
      </w:r>
      <w:bookmarkStart w:id="91" w:name="Bookmark_I67H31N82HM6YC0030000400"/>
      <w:bookmarkEnd w:id="91"/>
      <w:r>
        <w:rPr>
          <w:rFonts w:ascii="arial" w:eastAsia="arial" w:hAnsi="arial" w:cs="arial"/>
          <w:b w:val="0"/>
          <w:i w:val="0"/>
          <w:strike w:val="0"/>
          <w:noProof w:val="0"/>
          <w:color w:val="000000"/>
          <w:position w:val="0"/>
          <w:sz w:val="20"/>
          <w:u w:val="none"/>
          <w:vertAlign w:val="baseline"/>
        </w:rPr>
        <w:t xml:space="preserve">But the text goes further. The Court in </w:t>
      </w:r>
      <w:r>
        <w:rPr>
          <w:rFonts w:ascii="arial" w:eastAsia="arial" w:hAnsi="arial" w:cs="arial"/>
          <w:b w:val="0"/>
          <w:i/>
          <w:strike w:val="0"/>
          <w:noProof w:val="0"/>
          <w:color w:val="000000"/>
          <w:position w:val="0"/>
          <w:sz w:val="20"/>
          <w:u w:val="none"/>
          <w:vertAlign w:val="baseline"/>
        </w:rPr>
        <w:t>Patel</w:t>
      </w:r>
      <w:r>
        <w:rPr>
          <w:rFonts w:ascii="arial" w:eastAsia="arial" w:hAnsi="arial" w:cs="arial"/>
          <w:b w:val="0"/>
          <w:i w:val="0"/>
          <w:strike w:val="0"/>
          <w:noProof w:val="0"/>
          <w:color w:val="000000"/>
          <w:position w:val="0"/>
          <w:sz w:val="20"/>
          <w:u w:val="none"/>
          <w:vertAlign w:val="baseline"/>
        </w:rPr>
        <w:t xml:space="preserve"> read it also to cover any factual findings that underlie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grant or denial of cancellation of removal.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2" w:name="Bookmark_I67H31N82HM6YC0020000400"/>
      <w:bookmarkEnd w:id="92"/>
      <w:hyperlink r:id="rId33" w:history="1">
        <w:r>
          <w:rPr>
            <w:rFonts w:ascii="arial" w:eastAsia="arial" w:hAnsi="arial" w:cs="arial"/>
            <w:b w:val="0"/>
            <w:i/>
            <w:strike w:val="0"/>
            <w:noProof w:val="0"/>
            <w:color w:val="0077CC"/>
            <w:position w:val="0"/>
            <w:sz w:val="20"/>
            <w:u w:val="single"/>
            <w:vertAlign w:val="baseline"/>
          </w:rPr>
          <w:t>142 S. Ct. at 1621-23</w:t>
        </w:r>
      </w:hyperlink>
      <w:r>
        <w:rPr>
          <w:rFonts w:ascii="arial" w:eastAsia="arial" w:hAnsi="arial" w:cs="arial"/>
          <w:b w:val="0"/>
          <w:i w:val="0"/>
          <w:strike w:val="0"/>
          <w:noProof w:val="0"/>
          <w:color w:val="000000"/>
          <w:position w:val="0"/>
          <w:sz w:val="20"/>
          <w:u w:val="none"/>
          <w:vertAlign w:val="baseline"/>
        </w:rPr>
        <w:t xml:space="preserve">. </w:t>
      </w:r>
      <w:bookmarkStart w:id="93" w:name="Bookmark_I67H31N82HM6YC0050000400"/>
      <w:bookmarkEnd w:id="93"/>
      <w:r>
        <w:rPr>
          <w:rFonts w:ascii="arial" w:eastAsia="arial" w:hAnsi="arial" w:cs="arial"/>
          <w:b w:val="0"/>
          <w:i w:val="0"/>
          <w:strike w:val="0"/>
          <w:noProof w:val="0"/>
          <w:color w:val="000000"/>
          <w:position w:val="0"/>
          <w:sz w:val="20"/>
          <w:u w:val="none"/>
          <w:vertAlign w:val="baseline"/>
        </w:rPr>
        <w:t xml:space="preserve">This holding matches what we had recognized in </w:t>
      </w:r>
      <w:r>
        <w:rPr>
          <w:rFonts w:ascii="arial" w:eastAsia="arial" w:hAnsi="arial" w:cs="arial"/>
          <w:b w:val="0"/>
          <w:i/>
          <w:strike w:val="0"/>
          <w:noProof w:val="0"/>
          <w:color w:val="000000"/>
          <w:position w:val="0"/>
          <w:sz w:val="20"/>
          <w:u w:val="none"/>
          <w:vertAlign w:val="baseline"/>
        </w:rPr>
        <w:t>Singh</w:t>
      </w:r>
      <w:r>
        <w:rPr>
          <w:rFonts w:ascii="arial" w:eastAsia="arial" w:hAnsi="arial" w:cs="arial"/>
          <w:b w:val="0"/>
          <w:i w:val="0"/>
          <w:strike w:val="0"/>
          <w:noProof w:val="0"/>
          <w:color w:val="000000"/>
          <w:position w:val="0"/>
          <w:sz w:val="20"/>
          <w:u w:val="none"/>
          <w:vertAlign w:val="baseline"/>
        </w:rPr>
        <w:t xml:space="preserve">. There, we noted that courts lack jurisdiction over factual findings undergirding the conclusion that an immigrant's removal would not cause "exceptional and extremely unusual hardship" to a relative. </w:t>
      </w:r>
      <w:bookmarkStart w:id="94" w:name="Bookmark_I67H31N82HM6YC0040000400"/>
      <w:bookmarkEnd w:id="94"/>
      <w:hyperlink r:id="rId36" w:history="1">
        <w:r>
          <w:rPr>
            <w:rFonts w:ascii="arial" w:eastAsia="arial" w:hAnsi="arial" w:cs="arial"/>
            <w:b w:val="0"/>
            <w:i/>
            <w:strike w:val="0"/>
            <w:noProof w:val="0"/>
            <w:color w:val="0077CC"/>
            <w:position w:val="0"/>
            <w:sz w:val="20"/>
            <w:u w:val="single"/>
            <w:vertAlign w:val="baseline"/>
          </w:rPr>
          <w:t>Singh</w:t>
        </w:r>
      </w:hyperlink>
      <w:hyperlink r:id="rId36" w:history="1">
        <w:r>
          <w:rPr>
            <w:rFonts w:ascii="arial" w:eastAsia="arial" w:hAnsi="arial" w:cs="arial"/>
            <w:b w:val="0"/>
            <w:i/>
            <w:strike w:val="0"/>
            <w:noProof w:val="0"/>
            <w:color w:val="0077CC"/>
            <w:position w:val="0"/>
            <w:sz w:val="20"/>
            <w:u w:val="single"/>
            <w:vertAlign w:val="baseline"/>
          </w:rPr>
          <w:t>, 984 F.3d at 1149-50, 1154-55</w:t>
        </w:r>
      </w:hyperlink>
      <w:r>
        <w:rPr>
          <w:rFonts w:ascii="arial" w:eastAsia="arial" w:hAnsi="arial" w:cs="arial"/>
          <w:b w:val="0"/>
          <w:i w:val="0"/>
          <w:strike w:val="0"/>
          <w:noProof w:val="0"/>
          <w:color w:val="000000"/>
          <w:position w:val="0"/>
          <w:sz w:val="20"/>
          <w:u w:val="none"/>
          <w:vertAlign w:val="baseline"/>
        </w:rPr>
        <w:t xml:space="preserve"> (citing </w:t>
      </w:r>
      <w:hyperlink r:id="rId13" w:history="1">
        <w:r>
          <w:rPr>
            <w:rFonts w:ascii="arial" w:eastAsia="arial" w:hAnsi="arial" w:cs="arial"/>
            <w:b w:val="0"/>
            <w:i/>
            <w:strike w:val="0"/>
            <w:noProof w:val="0"/>
            <w:color w:val="0077CC"/>
            <w:position w:val="0"/>
            <w:sz w:val="20"/>
            <w:u w:val="single"/>
            <w:vertAlign w:val="baseline"/>
          </w:rPr>
          <w:t>8 U.S.C. § 1229b(b)(1)(D)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27"/>
      <w:bookmarkEnd w:id="95"/>
      <w:r>
        <w:rPr>
          <w:rFonts w:ascii="arial" w:eastAsia="arial" w:hAnsi="arial" w:cs="arial"/>
          <w:b w:val="0"/>
          <w:i w:val="0"/>
          <w:strike w:val="0"/>
          <w:noProof w:val="0"/>
          <w:color w:val="000000"/>
          <w:position w:val="0"/>
          <w:sz w:val="20"/>
          <w:u w:val="none"/>
          <w:vertAlign w:val="baseline"/>
        </w:rPr>
        <w:t xml:space="preserve">As for the safe harbor, a nearby provision (subparagraph (D)) allows courts to review certain legal questions embedded in a discretionary denial of cancellation of removal. </w:t>
      </w:r>
      <w:bookmarkStart w:id="96" w:name="Bookmark_I67H31N82D6NYK0020000400"/>
      <w:bookmarkEnd w:id="96"/>
      <w:r>
        <w:rPr>
          <w:rFonts w:ascii="arial" w:eastAsia="arial" w:hAnsi="arial" w:cs="arial"/>
          <w:b w:val="0"/>
          <w:i w:val="0"/>
          <w:strike w:val="0"/>
          <w:noProof w:val="0"/>
          <w:color w:val="000000"/>
          <w:position w:val="0"/>
          <w:sz w:val="20"/>
          <w:u w:val="none"/>
          <w:vertAlign w:val="baseline"/>
        </w:rPr>
        <w:t xml:space="preserve">It provides: "Nothing in subparagraph (B) . . . shall be construed as precluding review of constitutional claims or questions of law raised upon a petition for review filed with an appropriate court of appeals in accordance with this section." </w:t>
      </w:r>
      <w:hyperlink r:id="rId11"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 xml:space="preserve">. </w:t>
      </w:r>
      <w:bookmarkStart w:id="97" w:name="Bookmark_LNHNREFclscc7"/>
      <w:bookmarkEnd w:id="97"/>
      <w:hyperlink r:id="rId43"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9"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Supreme Court recently held that </w:t>
      </w:r>
      <w:hyperlink r:id="rId11" w:history="1">
        <w:r>
          <w:rPr>
            <w:rFonts w:ascii="arial" w:eastAsia="arial" w:hAnsi="arial" w:cs="arial"/>
            <w:b w:val="0"/>
            <w:i/>
            <w:strike w:val="0"/>
            <w:noProof w:val="0"/>
            <w:color w:val="0077CC"/>
            <w:position w:val="0"/>
            <w:sz w:val="20"/>
            <w:u w:val="single"/>
            <w:vertAlign w:val="baseline"/>
          </w:rPr>
          <w:t>subparagraph (D)</w:t>
        </w:r>
      </w:hyperlink>
      <w:r>
        <w:rPr>
          <w:rFonts w:ascii="arial" w:eastAsia="arial" w:hAnsi="arial" w:cs="arial"/>
          <w:b w:val="0"/>
          <w:i w:val="0"/>
          <w:strike w:val="0"/>
          <w:noProof w:val="0"/>
          <w:color w:val="000000"/>
          <w:position w:val="0"/>
          <w:sz w:val="20"/>
          <w:u w:val="none"/>
          <w:vertAlign w:val="baseline"/>
        </w:rPr>
        <w:t xml:space="preserve"> broadly saves for our review all manner of legal questions. </w:t>
      </w:r>
      <w:bookmarkStart w:id="98" w:name="Bookmark_I67H31N82D6NYK0040000400"/>
      <w:bookmarkEnd w:id="98"/>
      <w:r>
        <w:rPr>
          <w:rFonts w:ascii="arial" w:eastAsia="arial" w:hAnsi="arial" w:cs="arial"/>
          <w:b w:val="0"/>
          <w:i/>
          <w:strike w:val="0"/>
          <w:noProof w:val="0"/>
          <w:color w:val="000000"/>
          <w:position w:val="0"/>
          <w:sz w:val="20"/>
          <w:u w:val="none"/>
          <w:vertAlign w:val="baseline"/>
        </w:rPr>
        <w:t xml:space="preserve">See </w:t>
      </w:r>
      <w:bookmarkStart w:id="99" w:name="Bookmark_I67H31N82D6NYK0010000400"/>
      <w:bookmarkEnd w:id="99"/>
      <w:hyperlink r:id="rId34" w:history="1">
        <w:r>
          <w:rPr>
            <w:rFonts w:ascii="arial" w:eastAsia="arial" w:hAnsi="arial" w:cs="arial"/>
            <w:b w:val="0"/>
            <w:i/>
            <w:strike w:val="0"/>
            <w:noProof w:val="0"/>
            <w:color w:val="0077CC"/>
            <w:position w:val="0"/>
            <w:sz w:val="20"/>
            <w:u w:val="single"/>
            <w:vertAlign w:val="baseline"/>
          </w:rPr>
          <w:t>Guerrero-Lasprilla v. Barr</w:t>
        </w:r>
      </w:hyperlink>
      <w:hyperlink r:id="rId34" w:history="1">
        <w:r>
          <w:rPr>
            <w:rFonts w:ascii="arial" w:eastAsia="arial" w:hAnsi="arial" w:cs="arial"/>
            <w:b w:val="0"/>
            <w:i/>
            <w:strike w:val="0"/>
            <w:noProof w:val="0"/>
            <w:color w:val="0077CC"/>
            <w:position w:val="0"/>
            <w:sz w:val="20"/>
            <w:u w:val="single"/>
            <w:vertAlign w:val="baseline"/>
          </w:rPr>
          <w:t>, 140 S. Ct. 1062, 1068-69, 206 L. Ed. 2d 271 (2020)</w:t>
        </w:r>
      </w:hyperlink>
      <w:r>
        <w:rPr>
          <w:rFonts w:ascii="arial" w:eastAsia="arial" w:hAnsi="arial" w:cs="arial"/>
          <w:b w:val="0"/>
          <w:i w:val="0"/>
          <w:strike w:val="0"/>
          <w:noProof w:val="0"/>
          <w:color w:val="000000"/>
          <w:position w:val="0"/>
          <w:sz w:val="20"/>
          <w:u w:val="none"/>
          <w:vertAlign w:val="baseline"/>
        </w:rPr>
        <w:t xml:space="preserve">. </w:t>
      </w:r>
      <w:bookmarkStart w:id="100" w:name="Bookmark_I67H31N82D6NYK0040000400_2"/>
      <w:bookmarkEnd w:id="100"/>
      <w:r>
        <w:rPr>
          <w:rFonts w:ascii="arial" w:eastAsia="arial" w:hAnsi="arial" w:cs="arial"/>
          <w:b w:val="0"/>
          <w:i w:val="0"/>
          <w:strike w:val="0"/>
          <w:noProof w:val="0"/>
          <w:color w:val="000000"/>
          <w:position w:val="0"/>
          <w:sz w:val="20"/>
          <w:u w:val="none"/>
          <w:vertAlign w:val="baseline"/>
        </w:rPr>
        <w:t xml:space="preserve">Most obviously, it allows us to review claims raising abstract legal questions, such as the claim that the Board misinterpreted a word or phrase in the cancellation-of-removal section. </w:t>
      </w:r>
      <w:bookmarkStart w:id="101" w:name="Bookmark_I67H31N82SF7W70010000400"/>
      <w:bookmarkEnd w:id="101"/>
      <w:r>
        <w:rPr>
          <w:rFonts w:ascii="arial" w:eastAsia="arial" w:hAnsi="arial" w:cs="arial"/>
          <w:b w:val="0"/>
          <w:i/>
          <w:strike w:val="0"/>
          <w:noProof w:val="0"/>
          <w:color w:val="000000"/>
          <w:position w:val="0"/>
          <w:sz w:val="20"/>
          <w:u w:val="none"/>
          <w:vertAlign w:val="baseline"/>
        </w:rPr>
        <w:t xml:space="preserve">See </w:t>
      </w:r>
      <w:bookmarkStart w:id="102" w:name="Bookmark_I67H31N82D6NYK0030000400"/>
      <w:bookmarkEnd w:id="102"/>
      <w:hyperlink r:id="rId36" w:history="1">
        <w:r>
          <w:rPr>
            <w:rFonts w:ascii="arial" w:eastAsia="arial" w:hAnsi="arial" w:cs="arial"/>
            <w:b w:val="0"/>
            <w:i/>
            <w:strike w:val="0"/>
            <w:noProof w:val="0"/>
            <w:color w:val="0077CC"/>
            <w:position w:val="0"/>
            <w:sz w:val="20"/>
            <w:u w:val="single"/>
            <w:vertAlign w:val="baseline"/>
          </w:rPr>
          <w:t>Singh</w:t>
        </w:r>
      </w:hyperlink>
      <w:hyperlink r:id="rId36" w:history="1">
        <w:r>
          <w:rPr>
            <w:rFonts w:ascii="arial" w:eastAsia="arial" w:hAnsi="arial" w:cs="arial"/>
            <w:b w:val="0"/>
            <w:i/>
            <w:strike w:val="0"/>
            <w:noProof w:val="0"/>
            <w:color w:val="0077CC"/>
            <w:position w:val="0"/>
            <w:sz w:val="20"/>
            <w:u w:val="single"/>
            <w:vertAlign w:val="baseline"/>
          </w:rPr>
          <w:t>, 984 F.3d at 1149</w:t>
        </w:r>
      </w:hyperlink>
      <w:r>
        <w:rPr>
          <w:rFonts w:ascii="arial" w:eastAsia="arial" w:hAnsi="arial" w:cs="arial"/>
          <w:b w:val="0"/>
          <w:i w:val="0"/>
          <w:strike w:val="0"/>
          <w:noProof w:val="0"/>
          <w:color w:val="000000"/>
          <w:position w:val="0"/>
          <w:sz w:val="20"/>
          <w:u w:val="none"/>
          <w:vertAlign w:val="baseline"/>
        </w:rPr>
        <w:t xml:space="preserve">. </w:t>
      </w:r>
      <w:bookmarkStart w:id="103" w:name="Bookmark_I67H31N82SF7W70010000400_2"/>
      <w:bookmarkEnd w:id="103"/>
      <w:bookmarkStart w:id="104" w:name="Bookmark_I67H31N82SF7W70050000400"/>
      <w:bookmarkEnd w:id="104"/>
      <w:r>
        <w:rPr>
          <w:rFonts w:ascii="arial" w:eastAsia="arial" w:hAnsi="arial" w:cs="arial"/>
          <w:b w:val="0"/>
          <w:i w:val="0"/>
          <w:strike w:val="0"/>
          <w:noProof w:val="0"/>
          <w:color w:val="000000"/>
          <w:position w:val="0"/>
          <w:sz w:val="20"/>
          <w:u w:val="none"/>
          <w:vertAlign w:val="baseline"/>
        </w:rPr>
        <w:t xml:space="preserve">But its text goes further too. The Court interpreted "questions of law" in </w:t>
      </w:r>
      <w:hyperlink r:id="rId11" w:history="1">
        <w:r>
          <w:rPr>
            <w:rFonts w:ascii="arial" w:eastAsia="arial" w:hAnsi="arial" w:cs="arial"/>
            <w:b w:val="0"/>
            <w:i/>
            <w:strike w:val="0"/>
            <w:noProof w:val="0"/>
            <w:color w:val="0077CC"/>
            <w:position w:val="0"/>
            <w:sz w:val="20"/>
            <w:u w:val="single"/>
            <w:vertAlign w:val="baseline"/>
          </w:rPr>
          <w:t>subparagraph (D)</w:t>
        </w:r>
      </w:hyperlink>
      <w:r>
        <w:rPr>
          <w:rFonts w:ascii="arial" w:eastAsia="arial" w:hAnsi="arial" w:cs="arial"/>
          <w:b w:val="0"/>
          <w:i w:val="0"/>
          <w:strike w:val="0"/>
          <w:noProof w:val="0"/>
          <w:color w:val="000000"/>
          <w:position w:val="0"/>
          <w:sz w:val="20"/>
          <w:u w:val="none"/>
          <w:vertAlign w:val="baseline"/>
        </w:rPr>
        <w:t xml:space="preserve"> to include "mixed question[s] of law and fact"—that is, questions asking whether the historical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facts that an immigration judge has found "satisfy a legal standard" in the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cancellation-of-removal statute. </w:t>
      </w:r>
      <w:bookmarkStart w:id="105" w:name="Bookmark_I67H31N82D6NYK0050000400"/>
      <w:bookmarkEnd w:id="105"/>
      <w:hyperlink r:id="rId34" w:history="1">
        <w:r>
          <w:rPr>
            <w:rFonts w:ascii="arial" w:eastAsia="arial" w:hAnsi="arial" w:cs="arial"/>
            <w:b w:val="0"/>
            <w:i/>
            <w:strike w:val="0"/>
            <w:noProof w:val="0"/>
            <w:color w:val="0077CC"/>
            <w:position w:val="0"/>
            <w:sz w:val="20"/>
            <w:u w:val="single"/>
            <w:vertAlign w:val="baseline"/>
          </w:rPr>
          <w:t>Guerrero-Lasprilla</w:t>
        </w:r>
      </w:hyperlink>
      <w:hyperlink r:id="rId34" w:history="1">
        <w:r>
          <w:rPr>
            <w:rFonts w:ascii="arial" w:eastAsia="arial" w:hAnsi="arial" w:cs="arial"/>
            <w:b w:val="0"/>
            <w:i/>
            <w:strike w:val="0"/>
            <w:noProof w:val="0"/>
            <w:color w:val="0077CC"/>
            <w:position w:val="0"/>
            <w:sz w:val="20"/>
            <w:u w:val="single"/>
            <w:vertAlign w:val="baseline"/>
          </w:rPr>
          <w:t>, 140 S. Ct. at 1068-69</w:t>
        </w:r>
      </w:hyperlink>
      <w:r>
        <w:rPr>
          <w:rFonts w:ascii="arial" w:eastAsia="arial" w:hAnsi="arial" w:cs="arial"/>
          <w:b w:val="0"/>
          <w:i w:val="0"/>
          <w:strike w:val="0"/>
          <w:noProof w:val="0"/>
          <w:color w:val="000000"/>
          <w:position w:val="0"/>
          <w:sz w:val="20"/>
          <w:u w:val="none"/>
          <w:vertAlign w:val="baseline"/>
        </w:rPr>
        <w:t xml:space="preserve"> (quoting </w:t>
      </w:r>
      <w:bookmarkStart w:id="106" w:name="Bookmark_I67H31N82SF7W70020000400"/>
      <w:bookmarkEnd w:id="106"/>
      <w:hyperlink r:id="rId44" w:history="1">
        <w:r>
          <w:rPr>
            <w:rFonts w:ascii="arial" w:eastAsia="arial" w:hAnsi="arial" w:cs="arial"/>
            <w:b w:val="0"/>
            <w:i/>
            <w:strike w:val="0"/>
            <w:noProof w:val="0"/>
            <w:color w:val="0077CC"/>
            <w:position w:val="0"/>
            <w:sz w:val="20"/>
            <w:u w:val="single"/>
            <w:vertAlign w:val="baseline"/>
          </w:rPr>
          <w:t>U.S. Bank Nat'l Ass'n v. Village at Lakeridge, LLC</w:t>
        </w:r>
      </w:hyperlink>
      <w:hyperlink r:id="rId44" w:history="1">
        <w:r>
          <w:rPr>
            <w:rFonts w:ascii="arial" w:eastAsia="arial" w:hAnsi="arial" w:cs="arial"/>
            <w:b w:val="0"/>
            <w:i/>
            <w:strike w:val="0"/>
            <w:noProof w:val="0"/>
            <w:color w:val="0077CC"/>
            <w:position w:val="0"/>
            <w:sz w:val="20"/>
            <w:u w:val="single"/>
            <w:vertAlign w:val="baseline"/>
          </w:rPr>
          <w:t>, 138 S. Ct. 960, 967-69, 200 L. Ed. 2d 218 (2018)</w:t>
        </w:r>
      </w:hyperlink>
      <w:r>
        <w:rPr>
          <w:rFonts w:ascii="arial" w:eastAsia="arial" w:hAnsi="arial" w:cs="arial"/>
          <w:b w:val="0"/>
          <w:i w:val="0"/>
          <w:strike w:val="0"/>
          <w:noProof w:val="0"/>
          <w:color w:val="000000"/>
          <w:position w:val="0"/>
          <w:sz w:val="20"/>
          <w:u w:val="none"/>
          <w:vertAlign w:val="baseline"/>
        </w:rPr>
        <w:t xml:space="preserve">). </w:t>
      </w:r>
      <w:bookmarkStart w:id="107" w:name="Bookmark_I67H31N82SF7W70050000400_2"/>
      <w:bookmarkEnd w:id="107"/>
      <w:r>
        <w:rPr>
          <w:rFonts w:ascii="arial" w:eastAsia="arial" w:hAnsi="arial" w:cs="arial"/>
          <w:b w:val="0"/>
          <w:i w:val="0"/>
          <w:strike w:val="0"/>
          <w:noProof w:val="0"/>
          <w:color w:val="000000"/>
          <w:position w:val="0"/>
          <w:sz w:val="20"/>
          <w:u w:val="none"/>
          <w:vertAlign w:val="baseline"/>
        </w:rPr>
        <w:t xml:space="preserve">In light of </w:t>
      </w:r>
      <w:r>
        <w:rPr>
          <w:rFonts w:ascii="arial" w:eastAsia="arial" w:hAnsi="arial" w:cs="arial"/>
          <w:b w:val="0"/>
          <w:i/>
          <w:strike w:val="0"/>
          <w:noProof w:val="0"/>
          <w:color w:val="000000"/>
          <w:position w:val="0"/>
          <w:sz w:val="20"/>
          <w:u w:val="none"/>
          <w:vertAlign w:val="baseline"/>
        </w:rPr>
        <w:t>Guerrero-Lasprilla</w:t>
      </w:r>
      <w:r>
        <w:rPr>
          <w:rFonts w:ascii="arial" w:eastAsia="arial" w:hAnsi="arial" w:cs="arial"/>
          <w:b w:val="0"/>
          <w:i w:val="0"/>
          <w:strike w:val="0"/>
          <w:noProof w:val="0"/>
          <w:color w:val="000000"/>
          <w:position w:val="0"/>
          <w:sz w:val="20"/>
          <w:u w:val="none"/>
          <w:vertAlign w:val="baseline"/>
        </w:rPr>
        <w:t xml:space="preserve">, we held in </w:t>
      </w:r>
      <w:r>
        <w:rPr>
          <w:rFonts w:ascii="arial" w:eastAsia="arial" w:hAnsi="arial" w:cs="arial"/>
          <w:b w:val="0"/>
          <w:i/>
          <w:strike w:val="0"/>
          <w:noProof w:val="0"/>
          <w:color w:val="000000"/>
          <w:position w:val="0"/>
          <w:sz w:val="20"/>
          <w:u w:val="none"/>
          <w:vertAlign w:val="baseline"/>
        </w:rPr>
        <w:t>Singh</w:t>
      </w:r>
      <w:r>
        <w:rPr>
          <w:rFonts w:ascii="arial" w:eastAsia="arial" w:hAnsi="arial" w:cs="arial"/>
          <w:b w:val="0"/>
          <w:i w:val="0"/>
          <w:strike w:val="0"/>
          <w:noProof w:val="0"/>
          <w:color w:val="000000"/>
          <w:position w:val="0"/>
          <w:sz w:val="20"/>
          <w:u w:val="none"/>
          <w:vertAlign w:val="baseline"/>
        </w:rPr>
        <w:t xml:space="preserve"> that </w:t>
      </w:r>
      <w:hyperlink r:id="rId11" w:history="1">
        <w:r>
          <w:rPr>
            <w:rFonts w:ascii="arial" w:eastAsia="arial" w:hAnsi="arial" w:cs="arial"/>
            <w:b w:val="0"/>
            <w:i/>
            <w:strike w:val="0"/>
            <w:noProof w:val="0"/>
            <w:color w:val="0077CC"/>
            <w:position w:val="0"/>
            <w:sz w:val="20"/>
            <w:u w:val="single"/>
            <w:vertAlign w:val="baseline"/>
          </w:rPr>
          <w:t>subparagraph (D)</w:t>
        </w:r>
      </w:hyperlink>
      <w:r>
        <w:rPr>
          <w:rFonts w:ascii="arial" w:eastAsia="arial" w:hAnsi="arial" w:cs="arial"/>
          <w:b w:val="0"/>
          <w:i w:val="0"/>
          <w:strike w:val="0"/>
          <w:noProof w:val="0"/>
          <w:color w:val="000000"/>
          <w:position w:val="0"/>
          <w:sz w:val="20"/>
          <w:u w:val="none"/>
          <w:vertAlign w:val="baseline"/>
        </w:rPr>
        <w:t xml:space="preserve"> gave us jurisdiction to review the Board's conclusion that the historical facts that an immigration judge found did not rise to the required level of "exceptional and extremely unusual hardship."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08" w:name="Bookmark_I67H31N82SF7W70040000400"/>
      <w:bookmarkEnd w:id="108"/>
      <w:hyperlink r:id="rId36" w:history="1">
        <w:r>
          <w:rPr>
            <w:rFonts w:ascii="arial" w:eastAsia="arial" w:hAnsi="arial" w:cs="arial"/>
            <w:b w:val="0"/>
            <w:i/>
            <w:strike w:val="0"/>
            <w:noProof w:val="0"/>
            <w:color w:val="0077CC"/>
            <w:position w:val="0"/>
            <w:sz w:val="20"/>
            <w:u w:val="single"/>
            <w:vertAlign w:val="baseline"/>
          </w:rPr>
          <w:t>984 F.3d at 1150-54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28"/>
      <w:bookmarkEnd w:id="109"/>
      <w:bookmarkStart w:id="110" w:name="Bookmark_I67H31N928T4TF0020000400"/>
      <w:bookmarkEnd w:id="110"/>
      <w:bookmarkStart w:id="111" w:name="Bookmark_LNHNREFclscc8"/>
      <w:bookmarkEnd w:id="111"/>
      <w:hyperlink r:id="rId4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0"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Putting </w:t>
      </w:r>
      <w:hyperlink r:id="rId11" w:history="1">
        <w:r>
          <w:rPr>
            <w:rFonts w:ascii="arial" w:eastAsia="arial" w:hAnsi="arial" w:cs="arial"/>
            <w:b w:val="0"/>
            <w:i/>
            <w:strike w:val="0"/>
            <w:noProof w:val="0"/>
            <w:color w:val="0077CC"/>
            <w:position w:val="0"/>
            <w:sz w:val="20"/>
            <w:u w:val="single"/>
            <w:vertAlign w:val="baseline"/>
          </w:rPr>
          <w:t>subparagraphs (B)</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together, we have jurisdiction to review some aspects of a conclusion that an immigrant did not satisfy the "good moral character" requirement, but we lack jurisdiction to review other aspects of that conclusion. </w:t>
      </w:r>
      <w:hyperlink r:id="rId11" w:history="1">
        <w:r>
          <w:rPr>
            <w:rFonts w:ascii="arial" w:eastAsia="arial" w:hAnsi="arial" w:cs="arial"/>
            <w:b w:val="0"/>
            <w:i/>
            <w:strike w:val="0"/>
            <w:noProof w:val="0"/>
            <w:color w:val="0077CC"/>
            <w:position w:val="0"/>
            <w:sz w:val="20"/>
            <w:u w:val="single"/>
            <w:vertAlign w:val="baseline"/>
          </w:rPr>
          <w:t>Subparagraph (B)</w:t>
        </w:r>
      </w:hyperlink>
      <w:r>
        <w:rPr>
          <w:rFonts w:ascii="arial" w:eastAsia="arial" w:hAnsi="arial" w:cs="arial"/>
          <w:b w:val="0"/>
          <w:i w:val="0"/>
          <w:strike w:val="0"/>
          <w:noProof w:val="0"/>
          <w:color w:val="000000"/>
          <w:position w:val="0"/>
          <w:sz w:val="20"/>
          <w:u w:val="none"/>
          <w:vertAlign w:val="baseline"/>
        </w:rPr>
        <w:t xml:space="preserve"> makes clear that we lack jurisdiction over any purely factual questions underlying the conclusion. </w:t>
      </w:r>
      <w:bookmarkStart w:id="112" w:name="Bookmark_I67H31N928T4TF0040000400"/>
      <w:bookmarkEnd w:id="112"/>
      <w:r>
        <w:rPr>
          <w:rFonts w:ascii="arial" w:eastAsia="arial" w:hAnsi="arial" w:cs="arial"/>
          <w:b w:val="0"/>
          <w:i/>
          <w:strike w:val="0"/>
          <w:noProof w:val="0"/>
          <w:color w:val="000000"/>
          <w:position w:val="0"/>
          <w:sz w:val="20"/>
          <w:u w:val="none"/>
          <w:vertAlign w:val="baseline"/>
        </w:rPr>
        <w:t xml:space="preserve">See </w:t>
      </w:r>
      <w:bookmarkStart w:id="113" w:name="Bookmark_I67H31N928T4TF0010000400"/>
      <w:bookmarkEnd w:id="113"/>
      <w:hyperlink r:id="rId33" w:history="1">
        <w:r>
          <w:rPr>
            <w:rFonts w:ascii="arial" w:eastAsia="arial" w:hAnsi="arial" w:cs="arial"/>
            <w:b w:val="0"/>
            <w:i/>
            <w:strike w:val="0"/>
            <w:noProof w:val="0"/>
            <w:color w:val="0077CC"/>
            <w:position w:val="0"/>
            <w:sz w:val="20"/>
            <w:u w:val="single"/>
            <w:vertAlign w:val="baseline"/>
          </w:rPr>
          <w:t>Patel</w:t>
        </w:r>
      </w:hyperlink>
      <w:hyperlink r:id="rId33" w:history="1">
        <w:r>
          <w:rPr>
            <w:rFonts w:ascii="arial" w:eastAsia="arial" w:hAnsi="arial" w:cs="arial"/>
            <w:b w:val="0"/>
            <w:i/>
            <w:strike w:val="0"/>
            <w:noProof w:val="0"/>
            <w:color w:val="0077CC"/>
            <w:position w:val="0"/>
            <w:sz w:val="20"/>
            <w:u w:val="single"/>
            <w:vertAlign w:val="baseline"/>
          </w:rPr>
          <w:t>, 142 S. Ct. at 1621-23</w:t>
        </w:r>
      </w:hyperlink>
      <w:r>
        <w:rPr>
          <w:rFonts w:ascii="arial" w:eastAsia="arial" w:hAnsi="arial" w:cs="arial"/>
          <w:b w:val="0"/>
          <w:i w:val="0"/>
          <w:strike w:val="0"/>
          <w:noProof w:val="0"/>
          <w:color w:val="000000"/>
          <w:position w:val="0"/>
          <w:sz w:val="20"/>
          <w:u w:val="none"/>
          <w:vertAlign w:val="baseline"/>
        </w:rPr>
        <w:t xml:space="preserve">. </w:t>
      </w:r>
      <w:bookmarkStart w:id="114" w:name="Bookmark_I67H31N928T4TF0040000400_2"/>
      <w:bookmarkEnd w:id="114"/>
      <w:r>
        <w:rPr>
          <w:rFonts w:ascii="arial" w:eastAsia="arial" w:hAnsi="arial" w:cs="arial"/>
          <w:b w:val="0"/>
          <w:i w:val="0"/>
          <w:strike w:val="0"/>
          <w:noProof w:val="0"/>
          <w:color w:val="000000"/>
          <w:position w:val="0"/>
          <w:sz w:val="20"/>
          <w:u w:val="none"/>
          <w:vertAlign w:val="baseline"/>
        </w:rPr>
        <w:t xml:space="preserve">An immigrant thus could not challenge an immigration judge's finding that he had driven "while intoxicated on several occasions" when that finding undergirded the holding that he lacked good moral character. </w:t>
      </w:r>
      <w:bookmarkStart w:id="115" w:name="Bookmark_I67H31N928T4TF0030000400"/>
      <w:bookmarkEnd w:id="115"/>
      <w:hyperlink r:id="rId46" w:history="1">
        <w:r>
          <w:rPr>
            <w:rFonts w:ascii="arial" w:eastAsia="arial" w:hAnsi="arial" w:cs="arial"/>
            <w:b w:val="0"/>
            <w:i/>
            <w:strike w:val="0"/>
            <w:noProof w:val="0"/>
            <w:color w:val="0077CC"/>
            <w:position w:val="0"/>
            <w:sz w:val="20"/>
            <w:u w:val="single"/>
            <w:vertAlign w:val="baseline"/>
          </w:rPr>
          <w:t>Martinez-Acosta v. Garland</w:t>
        </w:r>
      </w:hyperlink>
      <w:hyperlink r:id="rId46" w:history="1">
        <w:r>
          <w:rPr>
            <w:rFonts w:ascii="arial" w:eastAsia="arial" w:hAnsi="arial" w:cs="arial"/>
            <w:b w:val="0"/>
            <w:i/>
            <w:strike w:val="0"/>
            <w:noProof w:val="0"/>
            <w:color w:val="0077CC"/>
            <w:position w:val="0"/>
            <w:sz w:val="20"/>
            <w:u w:val="single"/>
            <w:vertAlign w:val="baseline"/>
          </w:rPr>
          <w:t>, 2021 U.S. App. LEXIS 32384, 2021 WL 5013813, at *2 (6th Cir. Oct. 28, 2021)</w:t>
        </w:r>
      </w:hyperlink>
      <w:r>
        <w:rPr>
          <w:rFonts w:ascii="arial" w:eastAsia="arial" w:hAnsi="arial" w:cs="arial"/>
          <w:b w:val="0"/>
          <w:i w:val="0"/>
          <w:strike w:val="0"/>
          <w:noProof w:val="0"/>
          <w:color w:val="000000"/>
          <w:position w:val="0"/>
          <w:sz w:val="20"/>
          <w:u w:val="none"/>
          <w:vertAlign w:val="baseline"/>
        </w:rPr>
        <w:t xml:space="preserve">. </w:t>
      </w:r>
      <w:bookmarkStart w:id="116" w:name="Bookmark_I67H31N928T4TG0010000400"/>
      <w:bookmarkEnd w:id="116"/>
      <w:r>
        <w:rPr>
          <w:rFonts w:ascii="arial" w:eastAsia="arial" w:hAnsi="arial" w:cs="arial"/>
          <w:b w:val="0"/>
          <w:i w:val="0"/>
          <w:strike w:val="0"/>
          <w:noProof w:val="0"/>
          <w:color w:val="000000"/>
          <w:position w:val="0"/>
          <w:sz w:val="20"/>
          <w:u w:val="none"/>
          <w:vertAlign w:val="baseline"/>
        </w:rPr>
        <w:t xml:space="preserve">Conversely, </w:t>
      </w:r>
      <w:hyperlink r:id="rId11" w:history="1">
        <w:r>
          <w:rPr>
            <w:rFonts w:ascii="arial" w:eastAsia="arial" w:hAnsi="arial" w:cs="arial"/>
            <w:b w:val="0"/>
            <w:i/>
            <w:strike w:val="0"/>
            <w:noProof w:val="0"/>
            <w:color w:val="0077CC"/>
            <w:position w:val="0"/>
            <w:sz w:val="20"/>
            <w:u w:val="single"/>
            <w:vertAlign w:val="baseline"/>
          </w:rPr>
          <w:t>subparagraph (D)</w:t>
        </w:r>
      </w:hyperlink>
      <w:r>
        <w:rPr>
          <w:rFonts w:ascii="arial" w:eastAsia="arial" w:hAnsi="arial" w:cs="arial"/>
          <w:b w:val="0"/>
          <w:i w:val="0"/>
          <w:strike w:val="0"/>
          <w:noProof w:val="0"/>
          <w:color w:val="000000"/>
          <w:position w:val="0"/>
          <w:sz w:val="20"/>
          <w:u w:val="none"/>
          <w:vertAlign w:val="baseline"/>
        </w:rPr>
        <w:t xml:space="preserve"> makes clear that we have jurisdiction over any purely legal question resolved in the process of reaching a "good moral character" conclusion. So an immigrant could raise a challenge </w:t>
      </w:r>
      <w:r>
        <w:rPr>
          <w:rFonts w:ascii="arial" w:eastAsia="arial" w:hAnsi="arial" w:cs="arial"/>
          <w:b/>
          <w:i w:val="0"/>
          <w:strike w:val="0"/>
          <w:noProof w:val="0"/>
          <w:color w:val="000000"/>
          <w:position w:val="0"/>
          <w:sz w:val="20"/>
          <w:u w:val="none"/>
          <w:vertAlign w:val="baseline"/>
        </w:rPr>
        <w:t> [*768] </w:t>
      </w:r>
      <w:r>
        <w:rPr>
          <w:rFonts w:ascii="arial" w:eastAsia="arial" w:hAnsi="arial" w:cs="arial"/>
          <w:b w:val="0"/>
          <w:i w:val="0"/>
          <w:strike w:val="0"/>
          <w:noProof w:val="0"/>
          <w:color w:val="000000"/>
          <w:position w:val="0"/>
          <w:sz w:val="20"/>
          <w:u w:val="none"/>
          <w:vertAlign w:val="baseline"/>
        </w:rPr>
        <w:t xml:space="preserve"> that the "good moral character" provision violated the Due Process Clause because it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was void for vagueness. </w:t>
      </w:r>
      <w:bookmarkStart w:id="117" w:name="Bookmark_I67H31N928T4TG0050000400"/>
      <w:bookmarkEnd w:id="117"/>
      <w:r>
        <w:rPr>
          <w:rFonts w:ascii="arial" w:eastAsia="arial" w:hAnsi="arial" w:cs="arial"/>
          <w:b w:val="0"/>
          <w:i/>
          <w:strike w:val="0"/>
          <w:noProof w:val="0"/>
          <w:color w:val="000000"/>
          <w:position w:val="0"/>
          <w:sz w:val="20"/>
          <w:u w:val="none"/>
          <w:vertAlign w:val="baseline"/>
        </w:rPr>
        <w:t xml:space="preserve">See, e.g., </w:t>
      </w:r>
      <w:bookmarkStart w:id="118" w:name="Bookmark_I67H31N928T4TF0050000400"/>
      <w:bookmarkEnd w:id="118"/>
      <w:hyperlink r:id="rId47" w:history="1">
        <w:r>
          <w:rPr>
            <w:rFonts w:ascii="arial" w:eastAsia="arial" w:hAnsi="arial" w:cs="arial"/>
            <w:b w:val="0"/>
            <w:i/>
            <w:strike w:val="0"/>
            <w:noProof w:val="0"/>
            <w:color w:val="0077CC"/>
            <w:position w:val="0"/>
            <w:sz w:val="20"/>
            <w:u w:val="single"/>
            <w:vertAlign w:val="baseline"/>
          </w:rPr>
          <w:t>Cedillo-Ramirez v. Rosen</w:t>
        </w:r>
      </w:hyperlink>
      <w:hyperlink r:id="rId47" w:history="1">
        <w:r>
          <w:rPr>
            <w:rFonts w:ascii="arial" w:eastAsia="arial" w:hAnsi="arial" w:cs="arial"/>
            <w:b w:val="0"/>
            <w:i/>
            <w:strike w:val="0"/>
            <w:noProof w:val="0"/>
            <w:color w:val="0077CC"/>
            <w:position w:val="0"/>
            <w:sz w:val="20"/>
            <w:u w:val="single"/>
            <w:vertAlign w:val="baseline"/>
          </w:rPr>
          <w:t>, 833 Fed. Appx. 47, 47-48 (9th Cir. 2021)</w:t>
        </w:r>
      </w:hyperlink>
      <w:r>
        <w:rPr>
          <w:rFonts w:ascii="arial" w:eastAsia="arial" w:hAnsi="arial" w:cs="arial"/>
          <w:b w:val="0"/>
          <w:i w:val="0"/>
          <w:strike w:val="0"/>
          <w:noProof w:val="0"/>
          <w:color w:val="000000"/>
          <w:position w:val="0"/>
          <w:sz w:val="20"/>
          <w:u w:val="none"/>
          <w:vertAlign w:val="baseline"/>
        </w:rPr>
        <w:t xml:space="preserve"> (memorandum); </w:t>
      </w:r>
      <w:bookmarkStart w:id="119" w:name="Bookmark_I67H31N928T4TG0020000400"/>
      <w:bookmarkEnd w:id="119"/>
      <w:hyperlink r:id="rId48" w:history="1">
        <w:r>
          <w:rPr>
            <w:rFonts w:ascii="arial" w:eastAsia="arial" w:hAnsi="arial" w:cs="arial"/>
            <w:b w:val="0"/>
            <w:i/>
            <w:strike w:val="0"/>
            <w:noProof w:val="0"/>
            <w:color w:val="0077CC"/>
            <w:position w:val="0"/>
            <w:sz w:val="20"/>
            <w:u w:val="single"/>
            <w:vertAlign w:val="baseline"/>
          </w:rPr>
          <w:t>Tomaszczuk v. Whitaker</w:t>
        </w:r>
      </w:hyperlink>
      <w:hyperlink r:id="rId48" w:history="1">
        <w:r>
          <w:rPr>
            <w:rFonts w:ascii="arial" w:eastAsia="arial" w:hAnsi="arial" w:cs="arial"/>
            <w:b w:val="0"/>
            <w:i/>
            <w:strike w:val="0"/>
            <w:noProof w:val="0"/>
            <w:color w:val="0077CC"/>
            <w:position w:val="0"/>
            <w:sz w:val="20"/>
            <w:u w:val="single"/>
            <w:vertAlign w:val="baseline"/>
          </w:rPr>
          <w:t>, 909 F.3d 159, 164 (6th Cir. 2018)</w:t>
        </w:r>
      </w:hyperlink>
      <w:r>
        <w:rPr>
          <w:rFonts w:ascii="arial" w:eastAsia="arial" w:hAnsi="arial" w:cs="arial"/>
          <w:b w:val="0"/>
          <w:i w:val="0"/>
          <w:strike w:val="0"/>
          <w:noProof w:val="0"/>
          <w:color w:val="000000"/>
          <w:position w:val="0"/>
          <w:sz w:val="20"/>
          <w:u w:val="none"/>
          <w:vertAlign w:val="baseline"/>
        </w:rPr>
        <w:t xml:space="preserve">. </w:t>
      </w:r>
      <w:bookmarkStart w:id="120" w:name="Bookmark_I67H31N928T4TG0050000400_2"/>
      <w:bookmarkEnd w:id="120"/>
      <w:r>
        <w:rPr>
          <w:rFonts w:ascii="arial" w:eastAsia="arial" w:hAnsi="arial" w:cs="arial"/>
          <w:b w:val="0"/>
          <w:i w:val="0"/>
          <w:strike w:val="0"/>
          <w:noProof w:val="0"/>
          <w:color w:val="000000"/>
          <w:position w:val="0"/>
          <w:sz w:val="20"/>
          <w:u w:val="none"/>
          <w:vertAlign w:val="baseline"/>
        </w:rPr>
        <w:t xml:space="preserve">And an immigrant could raise a challenge that the Board improperly interpreted the phrase "good moral character" to allow consideration of an immigrant's "expunged" prior convictions. </w:t>
      </w:r>
      <w:bookmarkStart w:id="121" w:name="Bookmark_I67H31N928T4TG0040000400"/>
      <w:bookmarkEnd w:id="121"/>
      <w:hyperlink r:id="rId49" w:history="1">
        <w:r>
          <w:rPr>
            <w:rFonts w:ascii="arial" w:eastAsia="arial" w:hAnsi="arial" w:cs="arial"/>
            <w:b w:val="0"/>
            <w:i/>
            <w:strike w:val="0"/>
            <w:noProof w:val="0"/>
            <w:color w:val="0077CC"/>
            <w:position w:val="0"/>
            <w:sz w:val="20"/>
            <w:u w:val="single"/>
            <w:vertAlign w:val="baseline"/>
          </w:rPr>
          <w:t>Ikenokwalu-White v. I.N.S.</w:t>
        </w:r>
      </w:hyperlink>
      <w:hyperlink r:id="rId49" w:history="1">
        <w:r>
          <w:rPr>
            <w:rFonts w:ascii="arial" w:eastAsia="arial" w:hAnsi="arial" w:cs="arial"/>
            <w:b w:val="0"/>
            <w:i/>
            <w:strike w:val="0"/>
            <w:noProof w:val="0"/>
            <w:color w:val="0077CC"/>
            <w:position w:val="0"/>
            <w:sz w:val="20"/>
            <w:u w:val="single"/>
            <w:vertAlign w:val="baseline"/>
          </w:rPr>
          <w:t>, 316 F.3d 798, 804 (8th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29"/>
      <w:bookmarkEnd w:id="122"/>
      <w:bookmarkStart w:id="123" w:name="Bookmark_I67H31N92HM6YV0020000400"/>
      <w:bookmarkEnd w:id="123"/>
      <w:r>
        <w:rPr>
          <w:rFonts w:ascii="arial" w:eastAsia="arial" w:hAnsi="arial" w:cs="arial"/>
          <w:b w:val="0"/>
          <w:i w:val="0"/>
          <w:strike w:val="0"/>
          <w:noProof w:val="0"/>
          <w:color w:val="000000"/>
          <w:position w:val="0"/>
          <w:sz w:val="20"/>
          <w:u w:val="none"/>
          <w:vertAlign w:val="baseline"/>
        </w:rPr>
        <w:t xml:space="preserve">What type of challenge does Hernandez raise here? To answer this question, we must look to the substance of his claim. </w:t>
      </w:r>
      <w:r>
        <w:rPr>
          <w:rFonts w:ascii="arial" w:eastAsia="arial" w:hAnsi="arial" w:cs="arial"/>
          <w:b w:val="0"/>
          <w:i/>
          <w:strike w:val="0"/>
          <w:noProof w:val="0"/>
          <w:color w:val="000000"/>
          <w:position w:val="0"/>
          <w:sz w:val="20"/>
          <w:u w:val="none"/>
          <w:vertAlign w:val="baseline"/>
        </w:rPr>
        <w:t xml:space="preserve">See </w:t>
      </w:r>
      <w:bookmarkStart w:id="124" w:name="Bookmark_I67H31N92HM6YV0010000400"/>
      <w:bookmarkEnd w:id="124"/>
      <w:hyperlink r:id="rId36" w:history="1">
        <w:r>
          <w:rPr>
            <w:rFonts w:ascii="arial" w:eastAsia="arial" w:hAnsi="arial" w:cs="arial"/>
            <w:b w:val="0"/>
            <w:i/>
            <w:strike w:val="0"/>
            <w:noProof w:val="0"/>
            <w:color w:val="0077CC"/>
            <w:position w:val="0"/>
            <w:sz w:val="20"/>
            <w:u w:val="single"/>
            <w:vertAlign w:val="baseline"/>
          </w:rPr>
          <w:t>Singh</w:t>
        </w:r>
      </w:hyperlink>
      <w:hyperlink r:id="rId36" w:history="1">
        <w:r>
          <w:rPr>
            <w:rFonts w:ascii="arial" w:eastAsia="arial" w:hAnsi="arial" w:cs="arial"/>
            <w:b w:val="0"/>
            <w:i/>
            <w:strike w:val="0"/>
            <w:noProof w:val="0"/>
            <w:color w:val="0077CC"/>
            <w:position w:val="0"/>
            <w:sz w:val="20"/>
            <w:u w:val="single"/>
            <w:vertAlign w:val="baseline"/>
          </w:rPr>
          <w:t>, 984 F.3d at 1149</w:t>
        </w:r>
      </w:hyperlink>
      <w:r>
        <w:rPr>
          <w:rFonts w:ascii="arial" w:eastAsia="arial" w:hAnsi="arial" w:cs="arial"/>
          <w:b w:val="0"/>
          <w:i w:val="0"/>
          <w:strike w:val="0"/>
          <w:noProof w:val="0"/>
          <w:color w:val="000000"/>
          <w:position w:val="0"/>
          <w:sz w:val="20"/>
          <w:u w:val="none"/>
          <w:vertAlign w:val="baseline"/>
        </w:rPr>
        <w:t xml:space="preserve">. And for the most part, his challenge does not fit neatly within either the purely legal or purely factual buckets. He does not challenge any of the immigration judge's findings about the historical facts. He, for example, accepts the findings about his prior encounters with the police and the danger that his drinking poses. A.R. 60-61. At the same time, Hernandez does not challenge the Board's interpretation that the phrase "good moral character" turns on an evaluation of all of an immigrant's positive and negative traits. A.R. 3 (citing </w:t>
      </w:r>
      <w:hyperlink r:id="rId50" w:history="1">
        <w:r>
          <w:rPr>
            <w:rFonts w:ascii="arial" w:eastAsia="arial" w:hAnsi="arial" w:cs="arial"/>
            <w:b w:val="0"/>
            <w:i/>
            <w:strike w:val="0"/>
            <w:noProof w:val="0"/>
            <w:color w:val="0077CC"/>
            <w:position w:val="0"/>
            <w:sz w:val="20"/>
            <w:u w:val="single"/>
            <w:vertAlign w:val="baseline"/>
          </w:rPr>
          <w:t>Matter of Guadarrama de Contreras</w:t>
        </w:r>
      </w:hyperlink>
      <w:hyperlink r:id="rId50" w:history="1">
        <w:r>
          <w:rPr>
            <w:rFonts w:ascii="arial" w:eastAsia="arial" w:hAnsi="arial" w:cs="arial"/>
            <w:b w:val="0"/>
            <w:i/>
            <w:strike w:val="0"/>
            <w:noProof w:val="0"/>
            <w:color w:val="0077CC"/>
            <w:position w:val="0"/>
            <w:sz w:val="20"/>
            <w:u w:val="single"/>
            <w:vertAlign w:val="baseline"/>
          </w:rPr>
          <w:t xml:space="preserve">, 24 I. &amp; N. Dec. 625, 627 </w:t>
        </w:r>
      </w:hyperlink>
      <w:hyperlink r:id="rId50" w:history="1">
        <w:r>
          <w:rPr>
            <w:rFonts w:ascii="arial" w:eastAsia="arial" w:hAnsi="arial" w:cs="arial"/>
            <w:b/>
            <w:i/>
            <w:strike w:val="0"/>
            <w:noProof w:val="0"/>
            <w:color w:val="0077CC"/>
            <w:position w:val="0"/>
            <w:sz w:val="20"/>
            <w:u w:val="single"/>
            <w:vertAlign w:val="baseline"/>
          </w:rPr>
          <w:t> [***9] </w:t>
        </w:r>
      </w:hyperlink>
      <w:hyperlink r:id="rId50" w:history="1">
        <w:r>
          <w:rPr>
            <w:rFonts w:ascii="arial" w:eastAsia="arial" w:hAnsi="arial" w:cs="arial"/>
            <w:b w:val="0"/>
            <w:i/>
            <w:strike w:val="0"/>
            <w:noProof w:val="0"/>
            <w:color w:val="0077CC"/>
            <w:position w:val="0"/>
            <w:sz w:val="20"/>
            <w:u w:val="single"/>
            <w:vertAlign w:val="baseline"/>
          </w:rPr>
          <w:t xml:space="preserve"> (B.I.A. 2008)</w:t>
        </w:r>
      </w:hyperlink>
      <w:r>
        <w:rPr>
          <w:rFonts w:ascii="arial" w:eastAsia="arial" w:hAnsi="arial" w:cs="arial"/>
          <w:b w:val="0"/>
          <w:i w:val="0"/>
          <w:strike w:val="0"/>
          <w:noProof w:val="0"/>
          <w:color w:val="000000"/>
          <w:position w:val="0"/>
          <w:sz w:val="20"/>
          <w:u w:val="none"/>
          <w:vertAlign w:val="baseline"/>
        </w:rPr>
        <w:t>). Rather, he challenges the ultimate conclusion that his negative traits outweighed his positive ones.</w:t>
      </w:r>
    </w:p>
    <w:p>
      <w:pPr>
        <w:keepNext w:val="0"/>
        <w:spacing w:before="240" w:after="0" w:line="260" w:lineRule="atLeast"/>
        <w:ind w:left="0" w:right="0" w:firstLine="0"/>
        <w:jc w:val="both"/>
      </w:pPr>
      <w:bookmarkStart w:id="125" w:name="Bookmark_para_30"/>
      <w:bookmarkEnd w:id="125"/>
      <w:bookmarkStart w:id="126" w:name="Bookmark_I67H31N92HM6YV0040000400"/>
      <w:bookmarkEnd w:id="126"/>
      <w:r>
        <w:rPr>
          <w:rFonts w:ascii="arial" w:eastAsia="arial" w:hAnsi="arial" w:cs="arial"/>
          <w:b w:val="0"/>
          <w:i w:val="0"/>
          <w:strike w:val="0"/>
          <w:noProof w:val="0"/>
          <w:color w:val="000000"/>
          <w:position w:val="0"/>
          <w:sz w:val="20"/>
          <w:u w:val="none"/>
          <w:vertAlign w:val="baseline"/>
        </w:rPr>
        <w:t>Courts have disagreed over the type of question that this challenge raises. The Eighth Circuit held that it represents a mixed question of law and fact that courts have jurisdiction to review</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under </w:t>
      </w:r>
      <w:hyperlink r:id="rId11" w:history="1">
        <w:r>
          <w:rPr>
            <w:rFonts w:ascii="arial" w:eastAsia="arial" w:hAnsi="arial" w:cs="arial"/>
            <w:b w:val="0"/>
            <w:i/>
            <w:strike w:val="0"/>
            <w:noProof w:val="0"/>
            <w:color w:val="0077CC"/>
            <w:position w:val="0"/>
            <w:sz w:val="20"/>
            <w:u w:val="single"/>
            <w:vertAlign w:val="baseline"/>
          </w:rPr>
          <w:t>subparagraph (D)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7" w:name="Bookmark_I67H31N92HM6YV0030000400"/>
      <w:bookmarkEnd w:id="127"/>
      <w:hyperlink r:id="rId51" w:history="1">
        <w:r>
          <w:rPr>
            <w:rFonts w:ascii="arial" w:eastAsia="arial" w:hAnsi="arial" w:cs="arial"/>
            <w:b w:val="0"/>
            <w:i/>
            <w:strike w:val="0"/>
            <w:noProof w:val="0"/>
            <w:color w:val="0077CC"/>
            <w:position w:val="0"/>
            <w:sz w:val="20"/>
            <w:u w:val="single"/>
            <w:vertAlign w:val="baseline"/>
          </w:rPr>
          <w:t>Hernandez v. Garland</w:t>
        </w:r>
      </w:hyperlink>
      <w:hyperlink r:id="rId51" w:history="1">
        <w:r>
          <w:rPr>
            <w:rFonts w:ascii="arial" w:eastAsia="arial" w:hAnsi="arial" w:cs="arial"/>
            <w:b w:val="0"/>
            <w:i/>
            <w:strike w:val="0"/>
            <w:noProof w:val="0"/>
            <w:color w:val="0077CC"/>
            <w:position w:val="0"/>
            <w:sz w:val="20"/>
            <w:u w:val="single"/>
            <w:vertAlign w:val="baseline"/>
          </w:rPr>
          <w:t>, 28 F.4th 917, 921 (8th Cir. 2022)</w:t>
        </w:r>
      </w:hyperlink>
      <w:r>
        <w:rPr>
          <w:rFonts w:ascii="arial" w:eastAsia="arial" w:hAnsi="arial" w:cs="arial"/>
          <w:b w:val="0"/>
          <w:i w:val="0"/>
          <w:strike w:val="0"/>
          <w:noProof w:val="0"/>
          <w:color w:val="000000"/>
          <w:position w:val="0"/>
          <w:sz w:val="20"/>
          <w:u w:val="none"/>
          <w:vertAlign w:val="baseline"/>
        </w:rPr>
        <w:t xml:space="preserve"> (citing </w:t>
      </w:r>
      <w:bookmarkStart w:id="128" w:name="Bookmark_I67H31N92HM6YV0050000400"/>
      <w:bookmarkEnd w:id="128"/>
      <w:hyperlink r:id="rId49" w:history="1">
        <w:r>
          <w:rPr>
            <w:rFonts w:ascii="arial" w:eastAsia="arial" w:hAnsi="arial" w:cs="arial"/>
            <w:b w:val="0"/>
            <w:i/>
            <w:strike w:val="0"/>
            <w:noProof w:val="0"/>
            <w:color w:val="0077CC"/>
            <w:position w:val="0"/>
            <w:sz w:val="20"/>
            <w:u w:val="single"/>
            <w:vertAlign w:val="baseline"/>
          </w:rPr>
          <w:t>Ikenokwalu-White</w:t>
        </w:r>
      </w:hyperlink>
      <w:hyperlink r:id="rId49" w:history="1">
        <w:r>
          <w:rPr>
            <w:rFonts w:ascii="arial" w:eastAsia="arial" w:hAnsi="arial" w:cs="arial"/>
            <w:b w:val="0"/>
            <w:i/>
            <w:strike w:val="0"/>
            <w:noProof w:val="0"/>
            <w:color w:val="0077CC"/>
            <w:position w:val="0"/>
            <w:sz w:val="20"/>
            <w:u w:val="single"/>
            <w:vertAlign w:val="baseline"/>
          </w:rPr>
          <w:t>, 316 F.3d at 803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9" w:name="Bookmark_I67H31NB2D6P0B0020000400"/>
      <w:bookmarkEnd w:id="129"/>
      <w:hyperlink r:id="rId52" w:history="1">
        <w:r>
          <w:rPr>
            <w:rFonts w:ascii="arial" w:eastAsia="arial" w:hAnsi="arial" w:cs="arial"/>
            <w:b w:val="0"/>
            <w:i/>
            <w:strike w:val="0"/>
            <w:noProof w:val="0"/>
            <w:color w:val="0077CC"/>
            <w:position w:val="0"/>
            <w:sz w:val="20"/>
            <w:u w:val="single"/>
            <w:vertAlign w:val="baseline"/>
          </w:rPr>
          <w:t>Patel v. U.S. Att'y Gen.</w:t>
        </w:r>
      </w:hyperlink>
      <w:hyperlink r:id="rId52" w:history="1">
        <w:r>
          <w:rPr>
            <w:rFonts w:ascii="arial" w:eastAsia="arial" w:hAnsi="arial" w:cs="arial"/>
            <w:b w:val="0"/>
            <w:i/>
            <w:strike w:val="0"/>
            <w:noProof w:val="0"/>
            <w:color w:val="0077CC"/>
            <w:position w:val="0"/>
            <w:sz w:val="20"/>
            <w:u w:val="single"/>
            <w:vertAlign w:val="baseline"/>
          </w:rPr>
          <w:t>, 971 F.3d 1258, 1278 (11th Cir. 2020)</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 xml:space="preserve">aff'd, </w:t>
      </w:r>
      <w:bookmarkStart w:id="130" w:name="Bookmark_I67H31NB2D6P0B0040000400"/>
      <w:bookmarkEnd w:id="130"/>
      <w:hyperlink r:id="rId33" w:history="1">
        <w:r>
          <w:rPr>
            <w:rFonts w:ascii="arial" w:eastAsia="arial" w:hAnsi="arial" w:cs="arial"/>
            <w:b w:val="0"/>
            <w:i/>
            <w:strike w:val="0"/>
            <w:noProof w:val="0"/>
            <w:color w:val="0077CC"/>
            <w:position w:val="0"/>
            <w:sz w:val="20"/>
            <w:u w:val="single"/>
            <w:vertAlign w:val="baseline"/>
          </w:rPr>
          <w:t>Patel v. Garland</w:t>
        </w:r>
      </w:hyperlink>
      <w:hyperlink r:id="rId33" w:history="1">
        <w:r>
          <w:rPr>
            <w:rFonts w:ascii="arial" w:eastAsia="arial" w:hAnsi="arial" w:cs="arial"/>
            <w:b w:val="0"/>
            <w:i/>
            <w:strike w:val="0"/>
            <w:noProof w:val="0"/>
            <w:color w:val="0077CC"/>
            <w:position w:val="0"/>
            <w:sz w:val="20"/>
            <w:u w:val="single"/>
            <w:vertAlign w:val="baseline"/>
          </w:rPr>
          <w:t>, 142 S. Ct. 1614, 212 L. Ed. 2d 685 (2022)</w:t>
        </w:r>
      </w:hyperlink>
      <w:r>
        <w:rPr>
          <w:rFonts w:ascii="arial" w:eastAsia="arial" w:hAnsi="arial" w:cs="arial"/>
          <w:b w:val="0"/>
          <w:i w:val="0"/>
          <w:strike w:val="0"/>
          <w:noProof w:val="0"/>
          <w:color w:val="000000"/>
          <w:position w:val="0"/>
          <w:sz w:val="20"/>
          <w:u w:val="none"/>
          <w:vertAlign w:val="baseline"/>
        </w:rPr>
        <w:t xml:space="preserve">. </w:t>
      </w:r>
      <w:bookmarkStart w:id="131" w:name="Bookmark_I67H31NC2D6P0G0020000400"/>
      <w:bookmarkEnd w:id="131"/>
      <w:r>
        <w:rPr>
          <w:rFonts w:ascii="arial" w:eastAsia="arial" w:hAnsi="arial" w:cs="arial"/>
          <w:b w:val="0"/>
          <w:i w:val="0"/>
          <w:strike w:val="0"/>
          <w:noProof w:val="0"/>
          <w:color w:val="000000"/>
          <w:position w:val="0"/>
          <w:sz w:val="20"/>
          <w:u w:val="none"/>
          <w:vertAlign w:val="baseline"/>
        </w:rPr>
        <w:t xml:space="preserve">Before </w:t>
      </w:r>
      <w:r>
        <w:rPr>
          <w:rFonts w:ascii="arial" w:eastAsia="arial" w:hAnsi="arial" w:cs="arial"/>
          <w:b w:val="0"/>
          <w:i/>
          <w:strike w:val="0"/>
          <w:noProof w:val="0"/>
          <w:color w:val="000000"/>
          <w:position w:val="0"/>
          <w:sz w:val="20"/>
          <w:u w:val="none"/>
          <w:vertAlign w:val="baseline"/>
        </w:rPr>
        <w:t>Guerrero-Lasprilla</w:t>
      </w:r>
      <w:r>
        <w:rPr>
          <w:rFonts w:ascii="arial" w:eastAsia="arial" w:hAnsi="arial" w:cs="arial"/>
          <w:b w:val="0"/>
          <w:i w:val="0"/>
          <w:strike w:val="0"/>
          <w:noProof w:val="0"/>
          <w:color w:val="000000"/>
          <w:position w:val="0"/>
          <w:sz w:val="20"/>
          <w:u w:val="none"/>
          <w:vertAlign w:val="baseline"/>
        </w:rPr>
        <w:t xml:space="preserve">, other courts offered more complex views. If the Board found that immigrants lacked good moral character because they fell within one of the automatically ineligible categories in </w:t>
      </w:r>
      <w:hyperlink r:id="rId18" w:history="1">
        <w:r>
          <w:rPr>
            <w:rFonts w:ascii="arial" w:eastAsia="arial" w:hAnsi="arial" w:cs="arial"/>
            <w:b w:val="0"/>
            <w:i/>
            <w:strike w:val="0"/>
            <w:noProof w:val="0"/>
            <w:color w:val="0077CC"/>
            <w:position w:val="0"/>
            <w:sz w:val="20"/>
            <w:u w:val="single"/>
            <w:vertAlign w:val="baseline"/>
          </w:rPr>
          <w:t>§ 1101(f)</w:t>
        </w:r>
      </w:hyperlink>
      <w:r>
        <w:rPr>
          <w:rFonts w:ascii="arial" w:eastAsia="arial" w:hAnsi="arial" w:cs="arial"/>
          <w:b w:val="0"/>
          <w:i w:val="0"/>
          <w:strike w:val="0"/>
          <w:noProof w:val="0"/>
          <w:color w:val="000000"/>
          <w:position w:val="0"/>
          <w:sz w:val="20"/>
          <w:u w:val="none"/>
          <w:vertAlign w:val="baseline"/>
        </w:rPr>
        <w:t xml:space="preserve"> (for example, if it found that they were "habitual drunkards"), these courts held that the Board resolved a mixed question that they could review. </w:t>
      </w:r>
      <w:bookmarkStart w:id="132" w:name="Bookmark_I67H31ND2HM5PX0020000400"/>
      <w:bookmarkEnd w:id="132"/>
      <w:r>
        <w:rPr>
          <w:rFonts w:ascii="arial" w:eastAsia="arial" w:hAnsi="arial" w:cs="arial"/>
          <w:b w:val="0"/>
          <w:i/>
          <w:strike w:val="0"/>
          <w:noProof w:val="0"/>
          <w:color w:val="000000"/>
          <w:position w:val="0"/>
          <w:sz w:val="20"/>
          <w:u w:val="none"/>
          <w:vertAlign w:val="baseline"/>
        </w:rPr>
        <w:t xml:space="preserve">See </w:t>
      </w:r>
      <w:bookmarkStart w:id="133" w:name="Bookmark_I67H31NC2D6P0G0010000400"/>
      <w:bookmarkEnd w:id="133"/>
      <w:hyperlink r:id="rId53" w:history="1">
        <w:r>
          <w:rPr>
            <w:rFonts w:ascii="arial" w:eastAsia="arial" w:hAnsi="arial" w:cs="arial"/>
            <w:b w:val="0"/>
            <w:i/>
            <w:strike w:val="0"/>
            <w:noProof w:val="0"/>
            <w:color w:val="0077CC"/>
            <w:position w:val="0"/>
            <w:sz w:val="20"/>
            <w:u w:val="single"/>
            <w:vertAlign w:val="baseline"/>
          </w:rPr>
          <w:t>Restrepo v. Holder</w:t>
        </w:r>
      </w:hyperlink>
      <w:hyperlink r:id="rId53" w:history="1">
        <w:r>
          <w:rPr>
            <w:rFonts w:ascii="arial" w:eastAsia="arial" w:hAnsi="arial" w:cs="arial"/>
            <w:b w:val="0"/>
            <w:i/>
            <w:strike w:val="0"/>
            <w:noProof w:val="0"/>
            <w:color w:val="0077CC"/>
            <w:position w:val="0"/>
            <w:sz w:val="20"/>
            <w:u w:val="single"/>
            <w:vertAlign w:val="baseline"/>
          </w:rPr>
          <w:t>, 676 F.3d 10, 15 (1st Cir. 2012)</w:t>
        </w:r>
      </w:hyperlink>
      <w:r>
        <w:rPr>
          <w:rFonts w:ascii="arial" w:eastAsia="arial" w:hAnsi="arial" w:cs="arial"/>
          <w:b w:val="0"/>
          <w:i w:val="0"/>
          <w:strike w:val="0"/>
          <w:noProof w:val="0"/>
          <w:color w:val="000000"/>
          <w:position w:val="0"/>
          <w:sz w:val="20"/>
          <w:u w:val="none"/>
          <w:vertAlign w:val="baseline"/>
        </w:rPr>
        <w:t xml:space="preserve"> (citing </w:t>
      </w:r>
      <w:bookmarkStart w:id="134" w:name="Bookmark_I67H31NC2D6P0G0030000400"/>
      <w:bookmarkEnd w:id="134"/>
      <w:hyperlink r:id="rId54" w:history="1">
        <w:r>
          <w:rPr>
            <w:rFonts w:ascii="arial" w:eastAsia="arial" w:hAnsi="arial" w:cs="arial"/>
            <w:b w:val="0"/>
            <w:i/>
            <w:strike w:val="0"/>
            <w:noProof w:val="0"/>
            <w:color w:val="0077CC"/>
            <w:position w:val="0"/>
            <w:sz w:val="20"/>
            <w:u w:val="single"/>
            <w:vertAlign w:val="baseline"/>
          </w:rPr>
          <w:t>Bernal-Vallejo v. I.N.S.</w:t>
        </w:r>
      </w:hyperlink>
      <w:hyperlink r:id="rId54" w:history="1">
        <w:r>
          <w:rPr>
            <w:rFonts w:ascii="arial" w:eastAsia="arial" w:hAnsi="arial" w:cs="arial"/>
            <w:b w:val="0"/>
            <w:i/>
            <w:strike w:val="0"/>
            <w:noProof w:val="0"/>
            <w:color w:val="0077CC"/>
            <w:position w:val="0"/>
            <w:sz w:val="20"/>
            <w:u w:val="single"/>
            <w:vertAlign w:val="baseline"/>
          </w:rPr>
          <w:t>, 195 F.3d 56, 62 (1st Cir. 1999)</w:t>
        </w:r>
      </w:hyperlink>
      <w:r>
        <w:rPr>
          <w:rFonts w:ascii="arial" w:eastAsia="arial" w:hAnsi="arial" w:cs="arial"/>
          <w:b w:val="0"/>
          <w:i w:val="0"/>
          <w:strike w:val="0"/>
          <w:noProof w:val="0"/>
          <w:color w:val="000000"/>
          <w:position w:val="0"/>
          <w:sz w:val="20"/>
          <w:u w:val="none"/>
          <w:vertAlign w:val="baseline"/>
        </w:rPr>
        <w:t xml:space="preserve">); </w:t>
      </w:r>
      <w:bookmarkStart w:id="135" w:name="Bookmark_I67H31NC2D6P0G0050000400"/>
      <w:bookmarkEnd w:id="135"/>
      <w:hyperlink r:id="rId55" w:history="1">
        <w:r>
          <w:rPr>
            <w:rFonts w:ascii="arial" w:eastAsia="arial" w:hAnsi="arial" w:cs="arial"/>
            <w:b w:val="0"/>
            <w:i/>
            <w:strike w:val="0"/>
            <w:noProof w:val="0"/>
            <w:color w:val="0077CC"/>
            <w:position w:val="0"/>
            <w:sz w:val="20"/>
            <w:u w:val="single"/>
            <w:vertAlign w:val="baseline"/>
          </w:rPr>
          <w:t>Moran v. Ashcroft</w:t>
        </w:r>
      </w:hyperlink>
      <w:hyperlink r:id="rId55" w:history="1">
        <w:r>
          <w:rPr>
            <w:rFonts w:ascii="arial" w:eastAsia="arial" w:hAnsi="arial" w:cs="arial"/>
            <w:b w:val="0"/>
            <w:i/>
            <w:strike w:val="0"/>
            <w:noProof w:val="0"/>
            <w:color w:val="0077CC"/>
            <w:position w:val="0"/>
            <w:sz w:val="20"/>
            <w:u w:val="single"/>
            <w:vertAlign w:val="baseline"/>
          </w:rPr>
          <w:t>, 395 F.3d 1089, 1091 (9th Cir. 2005)</w:t>
        </w:r>
      </w:hyperlink>
      <w:r>
        <w:rPr>
          <w:rFonts w:ascii="arial" w:eastAsia="arial" w:hAnsi="arial" w:cs="arial"/>
          <w:b w:val="0"/>
          <w:i w:val="0"/>
          <w:strike w:val="0"/>
          <w:noProof w:val="0"/>
          <w:color w:val="000000"/>
          <w:position w:val="0"/>
          <w:sz w:val="20"/>
          <w:u w:val="none"/>
          <w:vertAlign w:val="baseline"/>
        </w:rPr>
        <w:t xml:space="preserve">; </w:t>
      </w:r>
      <w:bookmarkStart w:id="136" w:name="Bookmark_I67H31NC2D6P0K0020000400"/>
      <w:bookmarkEnd w:id="136"/>
      <w:hyperlink r:id="rId56" w:history="1">
        <w:r>
          <w:rPr>
            <w:rFonts w:ascii="arial" w:eastAsia="arial" w:hAnsi="arial" w:cs="arial"/>
            <w:b w:val="0"/>
            <w:i/>
            <w:strike w:val="0"/>
            <w:noProof w:val="0"/>
            <w:color w:val="0077CC"/>
            <w:position w:val="0"/>
            <w:sz w:val="20"/>
            <w:u w:val="single"/>
            <w:vertAlign w:val="baseline"/>
          </w:rPr>
          <w:t>Omagah v. Ashcroft</w:t>
        </w:r>
      </w:hyperlink>
      <w:hyperlink r:id="rId56" w:history="1">
        <w:r>
          <w:rPr>
            <w:rFonts w:ascii="arial" w:eastAsia="arial" w:hAnsi="arial" w:cs="arial"/>
            <w:b w:val="0"/>
            <w:i/>
            <w:strike w:val="0"/>
            <w:noProof w:val="0"/>
            <w:color w:val="0077CC"/>
            <w:position w:val="0"/>
            <w:sz w:val="20"/>
            <w:u w:val="single"/>
            <w:vertAlign w:val="baseline"/>
          </w:rPr>
          <w:t>, 288 F.3d 254, 259 (5th Cir. 2002)</w:t>
        </w:r>
      </w:hyperlink>
      <w:r>
        <w:rPr>
          <w:rFonts w:ascii="arial" w:eastAsia="arial" w:hAnsi="arial" w:cs="arial"/>
          <w:b w:val="0"/>
          <w:i w:val="0"/>
          <w:strike w:val="0"/>
          <w:noProof w:val="0"/>
          <w:color w:val="000000"/>
          <w:position w:val="0"/>
          <w:sz w:val="20"/>
          <w:u w:val="none"/>
          <w:vertAlign w:val="baseline"/>
        </w:rPr>
        <w:t xml:space="preserve">; </w:t>
      </w:r>
      <w:bookmarkStart w:id="137" w:name="Bookmark_I67H31NC2D6P0K0040000400"/>
      <w:bookmarkEnd w:id="137"/>
      <w:hyperlink r:id="rId57" w:history="1">
        <w:r>
          <w:rPr>
            <w:rFonts w:ascii="arial" w:eastAsia="arial" w:hAnsi="arial" w:cs="arial"/>
            <w:b w:val="0"/>
            <w:i/>
            <w:strike w:val="0"/>
            <w:noProof w:val="0"/>
            <w:color w:val="0077CC"/>
            <w:position w:val="0"/>
            <w:sz w:val="20"/>
            <w:u w:val="single"/>
            <w:vertAlign w:val="baseline"/>
          </w:rPr>
          <w:t>Kalaw v. I.N.S.</w:t>
        </w:r>
      </w:hyperlink>
      <w:hyperlink r:id="rId57" w:history="1">
        <w:r>
          <w:rPr>
            <w:rFonts w:ascii="arial" w:eastAsia="arial" w:hAnsi="arial" w:cs="arial"/>
            <w:b w:val="0"/>
            <w:i/>
            <w:strike w:val="0"/>
            <w:noProof w:val="0"/>
            <w:color w:val="0077CC"/>
            <w:position w:val="0"/>
            <w:sz w:val="20"/>
            <w:u w:val="single"/>
            <w:vertAlign w:val="baseline"/>
          </w:rPr>
          <w:t>, 133 F.3d 1147, 1151 (9th Cir. 1997)</w:t>
        </w:r>
      </w:hyperlink>
      <w:r>
        <w:rPr>
          <w:rFonts w:ascii="arial" w:eastAsia="arial" w:hAnsi="arial" w:cs="arial"/>
          <w:b w:val="0"/>
          <w:i w:val="0"/>
          <w:strike w:val="0"/>
          <w:noProof w:val="0"/>
          <w:color w:val="000000"/>
          <w:position w:val="0"/>
          <w:sz w:val="20"/>
          <w:u w:val="none"/>
          <w:vertAlign w:val="baseline"/>
        </w:rPr>
        <w:t xml:space="preserve">. </w:t>
      </w:r>
      <w:bookmarkStart w:id="138" w:name="Bookmark_I67H31ND2HM5PX0020000400_2"/>
      <w:bookmarkEnd w:id="138"/>
      <w:r>
        <w:rPr>
          <w:rFonts w:ascii="arial" w:eastAsia="arial" w:hAnsi="arial" w:cs="arial"/>
          <w:b w:val="0"/>
          <w:i w:val="0"/>
          <w:strike w:val="0"/>
          <w:noProof w:val="0"/>
          <w:color w:val="000000"/>
          <w:position w:val="0"/>
          <w:sz w:val="20"/>
          <w:u w:val="none"/>
          <w:vertAlign w:val="baseline"/>
        </w:rPr>
        <w:t xml:space="preserve">Yet if, as here, the Board relied on </w:t>
      </w:r>
      <w:hyperlink r:id="rId18" w:history="1">
        <w:r>
          <w:rPr>
            <w:rFonts w:ascii="arial" w:eastAsia="arial" w:hAnsi="arial" w:cs="arial"/>
            <w:b w:val="0"/>
            <w:i/>
            <w:strike w:val="0"/>
            <w:noProof w:val="0"/>
            <w:color w:val="0077CC"/>
            <w:position w:val="0"/>
            <w:sz w:val="20"/>
            <w:u w:val="single"/>
            <w:vertAlign w:val="baseline"/>
          </w:rPr>
          <w:t>§ 1101(f)</w:t>
        </w:r>
      </w:hyperlink>
      <w:r>
        <w:rPr>
          <w:rFonts w:ascii="arial" w:eastAsia="arial" w:hAnsi="arial" w:cs="arial"/>
          <w:b w:val="0"/>
          <w:i w:val="0"/>
          <w:strike w:val="0"/>
          <w:noProof w:val="0"/>
          <w:color w:val="000000"/>
          <w:position w:val="0"/>
          <w:sz w:val="20"/>
          <w:u w:val="none"/>
          <w:vertAlign w:val="baseline"/>
        </w:rPr>
        <w:t xml:space="preserve">'s catch-all provision, some of these courts held that they lacked jurisdiction because the Board had made a "discretionary" decision about an immigrant's moral worth. </w:t>
      </w:r>
      <w:r>
        <w:rPr>
          <w:rFonts w:ascii="arial" w:eastAsia="arial" w:hAnsi="arial" w:cs="arial"/>
          <w:b w:val="0"/>
          <w:i/>
          <w:strike w:val="0"/>
          <w:noProof w:val="0"/>
          <w:color w:val="000000"/>
          <w:position w:val="0"/>
          <w:sz w:val="20"/>
          <w:u w:val="none"/>
          <w:vertAlign w:val="baseline"/>
        </w:rPr>
        <w:t xml:space="preserve">See </w:t>
      </w:r>
      <w:bookmarkStart w:id="139" w:name="Bookmark_I67H31ND2HM5PX0010000400"/>
      <w:bookmarkEnd w:id="139"/>
      <w:hyperlink r:id="rId53" w:history="1">
        <w:r>
          <w:rPr>
            <w:rFonts w:ascii="arial" w:eastAsia="arial" w:hAnsi="arial" w:cs="arial"/>
            <w:b w:val="0"/>
            <w:i/>
            <w:strike w:val="0"/>
            <w:noProof w:val="0"/>
            <w:color w:val="0077CC"/>
            <w:position w:val="0"/>
            <w:sz w:val="20"/>
            <w:u w:val="single"/>
            <w:vertAlign w:val="baseline"/>
          </w:rPr>
          <w:t>Restrepo</w:t>
        </w:r>
      </w:hyperlink>
      <w:hyperlink r:id="rId53" w:history="1">
        <w:r>
          <w:rPr>
            <w:rFonts w:ascii="arial" w:eastAsia="arial" w:hAnsi="arial" w:cs="arial"/>
            <w:b w:val="0"/>
            <w:i/>
            <w:strike w:val="0"/>
            <w:noProof w:val="0"/>
            <w:color w:val="0077CC"/>
            <w:position w:val="0"/>
            <w:sz w:val="20"/>
            <w:u w:val="single"/>
            <w:vertAlign w:val="baseline"/>
          </w:rPr>
          <w:t>, 676 F.3d at 15</w:t>
        </w:r>
      </w:hyperlink>
      <w:r>
        <w:rPr>
          <w:rFonts w:ascii="arial" w:eastAsia="arial" w:hAnsi="arial" w:cs="arial"/>
          <w:b w:val="0"/>
          <w:i w:val="0"/>
          <w:strike w:val="0"/>
          <w:noProof w:val="0"/>
          <w:color w:val="000000"/>
          <w:position w:val="0"/>
          <w:sz w:val="20"/>
          <w:u w:val="none"/>
          <w:vertAlign w:val="baseline"/>
        </w:rPr>
        <w:t xml:space="preserve">; </w:t>
      </w:r>
      <w:bookmarkStart w:id="140" w:name="Bookmark_I67H31ND2HM5PX0030000400"/>
      <w:bookmarkEnd w:id="140"/>
      <w:hyperlink r:id="rId55" w:history="1">
        <w:r>
          <w:rPr>
            <w:rFonts w:ascii="arial" w:eastAsia="arial" w:hAnsi="arial" w:cs="arial"/>
            <w:b w:val="0"/>
            <w:i/>
            <w:strike w:val="0"/>
            <w:noProof w:val="0"/>
            <w:color w:val="0077CC"/>
            <w:position w:val="0"/>
            <w:sz w:val="20"/>
            <w:u w:val="single"/>
            <w:vertAlign w:val="baseline"/>
          </w:rPr>
          <w:t>Moran</w:t>
        </w:r>
      </w:hyperlink>
      <w:hyperlink r:id="rId55" w:history="1">
        <w:r>
          <w:rPr>
            <w:rFonts w:ascii="arial" w:eastAsia="arial" w:hAnsi="arial" w:cs="arial"/>
            <w:b w:val="0"/>
            <w:i/>
            <w:strike w:val="0"/>
            <w:noProof w:val="0"/>
            <w:color w:val="0077CC"/>
            <w:position w:val="0"/>
            <w:sz w:val="20"/>
            <w:u w:val="single"/>
            <w:vertAlign w:val="baseline"/>
          </w:rPr>
          <w:t>, 395 F.3d at 1091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1" w:name="Bookmark_I67H31ND2HM5PX0050000400"/>
      <w:bookmarkEnd w:id="141"/>
      <w:hyperlink r:id="rId58" w:history="1">
        <w:r>
          <w:rPr>
            <w:rFonts w:ascii="arial" w:eastAsia="arial" w:hAnsi="arial" w:cs="arial"/>
            <w:b w:val="0"/>
            <w:i/>
            <w:strike w:val="0"/>
            <w:noProof w:val="0"/>
            <w:color w:val="0077CC"/>
            <w:position w:val="0"/>
            <w:sz w:val="20"/>
            <w:u w:val="single"/>
            <w:vertAlign w:val="baseline"/>
          </w:rPr>
          <w:t>Portillo-Rendon v. Holder</w:t>
        </w:r>
      </w:hyperlink>
      <w:hyperlink r:id="rId58" w:history="1">
        <w:r>
          <w:rPr>
            <w:rFonts w:ascii="arial" w:eastAsia="arial" w:hAnsi="arial" w:cs="arial"/>
            <w:b w:val="0"/>
            <w:i/>
            <w:strike w:val="0"/>
            <w:noProof w:val="0"/>
            <w:color w:val="0077CC"/>
            <w:position w:val="0"/>
            <w:sz w:val="20"/>
            <w:u w:val="single"/>
            <w:vertAlign w:val="baseline"/>
          </w:rPr>
          <w:t>, 662 F.3d 815, 817 (7th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2" w:name="Bookmark_para_31"/>
      <w:bookmarkEnd w:id="142"/>
      <w:bookmarkStart w:id="143" w:name="Bookmark_I1V3GN0DNJ6000076Y20001D"/>
      <w:bookmarkEnd w:id="143"/>
      <w:bookmarkStart w:id="144" w:name="Bookmark_I1V3GN0DT4N000076Y20001F"/>
      <w:bookmarkEnd w:id="144"/>
      <w:bookmarkStart w:id="145" w:name="Bookmark_I67H31ND2D6P0T0030000400"/>
      <w:bookmarkEnd w:id="145"/>
      <w:r>
        <w:rPr>
          <w:rFonts w:ascii="arial" w:eastAsia="arial" w:hAnsi="arial" w:cs="arial"/>
          <w:b w:val="0"/>
          <w:i w:val="0"/>
          <w:strike w:val="0"/>
          <w:noProof w:val="0"/>
          <w:color w:val="000000"/>
          <w:position w:val="0"/>
          <w:sz w:val="20"/>
          <w:u w:val="none"/>
          <w:vertAlign w:val="baseline"/>
        </w:rPr>
        <w:t xml:space="preserve">The government suggests that we have yet to enter this debate. (We found two unpublished decisions indicating that we lack jurisdiction over a good-moral-character determination, but their conclusory statements predate </w:t>
      </w:r>
      <w:r>
        <w:rPr>
          <w:rFonts w:ascii="arial" w:eastAsia="arial" w:hAnsi="arial" w:cs="arial"/>
          <w:b w:val="0"/>
          <w:i/>
          <w:strike w:val="0"/>
          <w:noProof w:val="0"/>
          <w:color w:val="000000"/>
          <w:position w:val="0"/>
          <w:sz w:val="20"/>
          <w:u w:val="none"/>
          <w:vertAlign w:val="baseline"/>
        </w:rPr>
        <w:t>Guerrero-Lasprilla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6" w:name="Bookmark_I67H31ND2D6P0T0020000400"/>
      <w:bookmarkEnd w:id="146"/>
      <w:hyperlink r:id="rId59" w:history="1">
        <w:r>
          <w:rPr>
            <w:rFonts w:ascii="arial" w:eastAsia="arial" w:hAnsi="arial" w:cs="arial"/>
            <w:b w:val="0"/>
            <w:i/>
            <w:strike w:val="0"/>
            <w:noProof w:val="0"/>
            <w:color w:val="0077CC"/>
            <w:position w:val="0"/>
            <w:sz w:val="20"/>
            <w:u w:val="single"/>
            <w:vertAlign w:val="baseline"/>
          </w:rPr>
          <w:t>Ramdane v. Mukasey</w:t>
        </w:r>
      </w:hyperlink>
      <w:hyperlink r:id="rId59" w:history="1">
        <w:r>
          <w:rPr>
            <w:rFonts w:ascii="arial" w:eastAsia="arial" w:hAnsi="arial" w:cs="arial"/>
            <w:b w:val="0"/>
            <w:i/>
            <w:strike w:val="0"/>
            <w:noProof w:val="0"/>
            <w:color w:val="0077CC"/>
            <w:position w:val="0"/>
            <w:sz w:val="20"/>
            <w:u w:val="single"/>
            <w:vertAlign w:val="baseline"/>
          </w:rPr>
          <w:t>, 296 F. App'x 440, 449 (6th Cir. 2008)</w:t>
        </w:r>
      </w:hyperlink>
      <w:r>
        <w:rPr>
          <w:rFonts w:ascii="arial" w:eastAsia="arial" w:hAnsi="arial" w:cs="arial"/>
          <w:b w:val="0"/>
          <w:i w:val="0"/>
          <w:strike w:val="0"/>
          <w:noProof w:val="0"/>
          <w:color w:val="000000"/>
          <w:position w:val="0"/>
          <w:sz w:val="20"/>
          <w:u w:val="none"/>
          <w:vertAlign w:val="baseline"/>
        </w:rPr>
        <w:t xml:space="preserve">; </w:t>
      </w:r>
      <w:bookmarkStart w:id="147" w:name="Bookmark_I67H31ND2D6P0T0040000400"/>
      <w:bookmarkEnd w:id="147"/>
      <w:hyperlink r:id="rId60" w:history="1">
        <w:r>
          <w:rPr>
            <w:rFonts w:ascii="arial" w:eastAsia="arial" w:hAnsi="arial" w:cs="arial"/>
            <w:b w:val="0"/>
            <w:i/>
            <w:strike w:val="0"/>
            <w:noProof w:val="0"/>
            <w:color w:val="0077CC"/>
            <w:position w:val="0"/>
            <w:sz w:val="20"/>
            <w:u w:val="single"/>
            <w:vertAlign w:val="baseline"/>
          </w:rPr>
          <w:t>Mateo v. Gonzales</w:t>
        </w:r>
      </w:hyperlink>
      <w:hyperlink r:id="rId60" w:history="1">
        <w:r>
          <w:rPr>
            <w:rFonts w:ascii="arial" w:eastAsia="arial" w:hAnsi="arial" w:cs="arial"/>
            <w:b w:val="0"/>
            <w:i/>
            <w:strike w:val="0"/>
            <w:noProof w:val="0"/>
            <w:color w:val="0077CC"/>
            <w:position w:val="0"/>
            <w:sz w:val="20"/>
            <w:u w:val="single"/>
            <w:vertAlign w:val="baseline"/>
          </w:rPr>
          <w:t>, 217 F. App'x 476, 481 (6th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now side with the Eighth Circuit. </w:t>
      </w:r>
      <w:bookmarkStart w:id="148" w:name="Bookmark_I67H31ND28T4VM0020000400"/>
      <w:bookmarkEnd w:id="148"/>
      <w:r>
        <w:rPr>
          <w:rFonts w:ascii="arial" w:eastAsia="arial" w:hAnsi="arial" w:cs="arial"/>
          <w:b w:val="0"/>
          <w:i w:val="0"/>
          <w:strike w:val="0"/>
          <w:noProof w:val="0"/>
          <w:color w:val="000000"/>
          <w:position w:val="0"/>
          <w:sz w:val="20"/>
          <w:u w:val="none"/>
          <w:vertAlign w:val="baseline"/>
        </w:rPr>
        <w:t xml:space="preserve">No matter the provision in </w:t>
      </w:r>
      <w:hyperlink r:id="rId18" w:history="1">
        <w:r>
          <w:rPr>
            <w:rFonts w:ascii="arial" w:eastAsia="arial" w:hAnsi="arial" w:cs="arial"/>
            <w:b w:val="0"/>
            <w:i/>
            <w:strike w:val="0"/>
            <w:noProof w:val="0"/>
            <w:color w:val="0077CC"/>
            <w:position w:val="0"/>
            <w:sz w:val="20"/>
            <w:u w:val="single"/>
            <w:vertAlign w:val="baseline"/>
          </w:rPr>
          <w:t>§ 1101(f)</w:t>
        </w:r>
      </w:hyperlink>
      <w:r>
        <w:rPr>
          <w:rFonts w:ascii="arial" w:eastAsia="arial" w:hAnsi="arial" w:cs="arial"/>
          <w:b w:val="0"/>
          <w:i w:val="0"/>
          <w:strike w:val="0"/>
          <w:noProof w:val="0"/>
          <w:color w:val="000000"/>
          <w:position w:val="0"/>
          <w:sz w:val="20"/>
          <w:u w:val="none"/>
          <w:vertAlign w:val="baseline"/>
        </w:rPr>
        <w:t xml:space="preserve"> on which the Board relies, its holding that an immigrant lacks "good moral character" resolves a mixed question. That type of conclusion applies a "legal standard" (good moral character) to the historical "facts" found by the immigration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judge. </w:t>
      </w:r>
      <w:bookmarkStart w:id="149" w:name="Bookmark_I67H31ND28T4VM0040000400"/>
      <w:bookmarkEnd w:id="149"/>
      <w:bookmarkStart w:id="150" w:name="Bookmark_I67H31ND28T4VM0010000400"/>
      <w:bookmarkEnd w:id="150"/>
      <w:hyperlink r:id="rId34" w:history="1">
        <w:r>
          <w:rPr>
            <w:rFonts w:ascii="arial" w:eastAsia="arial" w:hAnsi="arial" w:cs="arial"/>
            <w:b w:val="0"/>
            <w:i/>
            <w:strike w:val="0"/>
            <w:noProof w:val="0"/>
            <w:color w:val="0077CC"/>
            <w:position w:val="0"/>
            <w:sz w:val="20"/>
            <w:u w:val="single"/>
            <w:vertAlign w:val="baseline"/>
          </w:rPr>
          <w:t>Guerrero-Lasprilla</w:t>
        </w:r>
      </w:hyperlink>
      <w:hyperlink r:id="rId34" w:history="1">
        <w:r>
          <w:rPr>
            <w:rFonts w:ascii="arial" w:eastAsia="arial" w:hAnsi="arial" w:cs="arial"/>
            <w:b w:val="0"/>
            <w:i/>
            <w:strike w:val="0"/>
            <w:noProof w:val="0"/>
            <w:color w:val="0077CC"/>
            <w:position w:val="0"/>
            <w:sz w:val="20"/>
            <w:u w:val="single"/>
            <w:vertAlign w:val="baseline"/>
          </w:rPr>
          <w:t>, 140 S. Ct. at 1067</w:t>
        </w:r>
      </w:hyperlink>
      <w:r>
        <w:rPr>
          <w:rFonts w:ascii="arial" w:eastAsia="arial" w:hAnsi="arial" w:cs="arial"/>
          <w:b w:val="0"/>
          <w:i w:val="0"/>
          <w:strike w:val="0"/>
          <w:noProof w:val="0"/>
          <w:color w:val="000000"/>
          <w:position w:val="0"/>
          <w:sz w:val="20"/>
          <w:u w:val="none"/>
          <w:vertAlign w:val="baseline"/>
        </w:rPr>
        <w:t xml:space="preserve">. </w:t>
      </w:r>
      <w:bookmarkStart w:id="151" w:name="Bookmark_I67H31ND28T4VM0040000400_2"/>
      <w:bookmarkEnd w:id="151"/>
      <w:r>
        <w:rPr>
          <w:rFonts w:ascii="arial" w:eastAsia="arial" w:hAnsi="arial" w:cs="arial"/>
          <w:b w:val="0"/>
          <w:i w:val="0"/>
          <w:strike w:val="0"/>
          <w:noProof w:val="0"/>
          <w:color w:val="000000"/>
          <w:position w:val="0"/>
          <w:sz w:val="20"/>
          <w:u w:val="none"/>
          <w:vertAlign w:val="baseline"/>
        </w:rPr>
        <w:t xml:space="preserve">The conclusion does not make a "discretionary" determination. </w:t>
      </w:r>
      <w:bookmarkStart w:id="152" w:name="Bookmark_I67H31ND28T4VM0030000400"/>
      <w:bookmarkEnd w:id="152"/>
      <w:hyperlink r:id="rId52" w:history="1">
        <w:r>
          <w:rPr>
            <w:rFonts w:ascii="arial" w:eastAsia="arial" w:hAnsi="arial" w:cs="arial"/>
            <w:b w:val="0"/>
            <w:i/>
            <w:strike w:val="0"/>
            <w:noProof w:val="0"/>
            <w:color w:val="0077CC"/>
            <w:position w:val="0"/>
            <w:sz w:val="20"/>
            <w:u w:val="single"/>
            <w:vertAlign w:val="baseline"/>
          </w:rPr>
          <w:t>Patel</w:t>
        </w:r>
      </w:hyperlink>
      <w:hyperlink r:id="rId52" w:history="1">
        <w:r>
          <w:rPr>
            <w:rFonts w:ascii="arial" w:eastAsia="arial" w:hAnsi="arial" w:cs="arial"/>
            <w:b w:val="0"/>
            <w:i/>
            <w:strike w:val="0"/>
            <w:noProof w:val="0"/>
            <w:color w:val="0077CC"/>
            <w:position w:val="0"/>
            <w:sz w:val="20"/>
            <w:u w:val="single"/>
            <w:vertAlign w:val="baseline"/>
          </w:rPr>
          <w:t>, 971 F.3d at 1278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32"/>
      <w:bookmarkEnd w:id="153"/>
      <w:r>
        <w:rPr>
          <w:rFonts w:ascii="arial" w:eastAsia="arial" w:hAnsi="arial" w:cs="arial"/>
          <w:b/>
          <w:i w:val="0"/>
          <w:strike w:val="0"/>
          <w:noProof w:val="0"/>
          <w:color w:val="000000"/>
          <w:position w:val="0"/>
          <w:sz w:val="20"/>
          <w:u w:val="none"/>
          <w:vertAlign w:val="baseline"/>
        </w:rPr>
        <w:t> [*769] </w:t>
      </w:r>
      <w:r>
        <w:rPr>
          <w:rFonts w:ascii="arial" w:eastAsia="arial" w:hAnsi="arial" w:cs="arial"/>
          <w:b w:val="0"/>
          <w:i w:val="0"/>
          <w:strike w:val="0"/>
          <w:noProof w:val="0"/>
          <w:color w:val="000000"/>
          <w:position w:val="0"/>
          <w:sz w:val="20"/>
          <w:u w:val="none"/>
          <w:vertAlign w:val="baseline"/>
        </w:rPr>
        <w:t xml:space="preserve"> </w:t>
      </w:r>
      <w:bookmarkStart w:id="154" w:name="Bookmark_I1V3GN0DJ3J000076Y20001C"/>
      <w:bookmarkEnd w:id="154"/>
      <w:bookmarkStart w:id="155" w:name="Bookmark_I67H31ND2SF7XH0010000400"/>
      <w:bookmarkEnd w:id="155"/>
      <w:bookmarkStart w:id="156" w:name="Bookmark_I67H31ND2SF7XH0030000400"/>
      <w:bookmarkEnd w:id="156"/>
      <w:r>
        <w:rPr>
          <w:rFonts w:ascii="arial" w:eastAsia="arial" w:hAnsi="arial" w:cs="arial"/>
          <w:b w:val="0"/>
          <w:i w:val="0"/>
          <w:strike w:val="0"/>
          <w:noProof w:val="0"/>
          <w:color w:val="000000"/>
          <w:position w:val="0"/>
          <w:sz w:val="20"/>
          <w:u w:val="none"/>
          <w:vertAlign w:val="baseline"/>
        </w:rPr>
        <w:t xml:space="preserve">We reach this result largely for the reasons that we explained in </w:t>
      </w:r>
      <w:bookmarkStart w:id="157" w:name="Bookmark_I67H31ND28T4VM0050000400"/>
      <w:bookmarkEnd w:id="157"/>
      <w:hyperlink r:id="rId36" w:history="1">
        <w:r>
          <w:rPr>
            <w:rFonts w:ascii="arial" w:eastAsia="arial" w:hAnsi="arial" w:cs="arial"/>
            <w:b w:val="0"/>
            <w:i/>
            <w:strike w:val="0"/>
            <w:noProof w:val="0"/>
            <w:color w:val="0077CC"/>
            <w:position w:val="0"/>
            <w:sz w:val="20"/>
            <w:u w:val="single"/>
            <w:vertAlign w:val="baseline"/>
          </w:rPr>
          <w:t>Singh</w:t>
        </w:r>
      </w:hyperlink>
      <w:hyperlink r:id="rId36" w:history="1">
        <w:r>
          <w:rPr>
            <w:rFonts w:ascii="arial" w:eastAsia="arial" w:hAnsi="arial" w:cs="arial"/>
            <w:b w:val="0"/>
            <w:i/>
            <w:strike w:val="0"/>
            <w:noProof w:val="0"/>
            <w:color w:val="0077CC"/>
            <w:position w:val="0"/>
            <w:sz w:val="20"/>
            <w:u w:val="single"/>
            <w:vertAlign w:val="baseline"/>
          </w:rPr>
          <w:t>. 984 F.3d at 1150-54</w:t>
        </w:r>
      </w:hyperlink>
      <w:r>
        <w:rPr>
          <w:rFonts w:ascii="arial" w:eastAsia="arial" w:hAnsi="arial" w:cs="arial"/>
          <w:b w:val="0"/>
          <w:i w:val="0"/>
          <w:strike w:val="0"/>
          <w:noProof w:val="0"/>
          <w:color w:val="000000"/>
          <w:position w:val="0"/>
          <w:sz w:val="20"/>
          <w:u w:val="none"/>
          <w:vertAlign w:val="baseline"/>
        </w:rPr>
        <w:t xml:space="preserve">. As always, start with the text. Congress typically delegates discretion to an agency by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using permissive language indicating that it "may" take a certain action or that it has "discretion" to make a certain decision. </w:t>
      </w:r>
      <w:bookmarkStart w:id="158" w:name="Bookmark_I67H31ND2SF7XH0020000400"/>
      <w:bookmarkEnd w:id="158"/>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1151</w:t>
        </w:r>
      </w:hyperlink>
      <w:r>
        <w:rPr>
          <w:rFonts w:ascii="arial" w:eastAsia="arial" w:hAnsi="arial" w:cs="arial"/>
          <w:b w:val="0"/>
          <w:i w:val="0"/>
          <w:strike w:val="0"/>
          <w:noProof w:val="0"/>
          <w:color w:val="000000"/>
          <w:position w:val="0"/>
          <w:sz w:val="20"/>
          <w:u w:val="none"/>
          <w:vertAlign w:val="baseline"/>
        </w:rPr>
        <w:t xml:space="preserve">. </w:t>
      </w:r>
      <w:bookmarkStart w:id="159" w:name="Bookmark_I67H31ND2SF7XH0050000400"/>
      <w:bookmarkEnd w:id="159"/>
      <w:r>
        <w:rPr>
          <w:rFonts w:ascii="arial" w:eastAsia="arial" w:hAnsi="arial" w:cs="arial"/>
          <w:b w:val="0"/>
          <w:i w:val="0"/>
          <w:strike w:val="0"/>
          <w:noProof w:val="0"/>
          <w:color w:val="000000"/>
          <w:position w:val="0"/>
          <w:sz w:val="20"/>
          <w:u w:val="none"/>
          <w:vertAlign w:val="baseline"/>
        </w:rPr>
        <w:t xml:space="preserve">The cancellation-of-removal section uses this discretion-empowering language when describing the Attorney General's </w:t>
      </w:r>
      <w:r>
        <w:rPr>
          <w:rFonts w:ascii="arial" w:eastAsia="arial" w:hAnsi="arial" w:cs="arial"/>
          <w:b w:val="0"/>
          <w:i/>
          <w:strike w:val="0"/>
          <w:noProof w:val="0"/>
          <w:color w:val="000000"/>
          <w:position w:val="0"/>
          <w:sz w:val="20"/>
          <w:u w:val="none"/>
          <w:vertAlign w:val="baseline"/>
        </w:rPr>
        <w:t>ultimate</w:t>
      </w:r>
      <w:r>
        <w:rPr>
          <w:rFonts w:ascii="arial" w:eastAsia="arial" w:hAnsi="arial" w:cs="arial"/>
          <w:b w:val="0"/>
          <w:i w:val="0"/>
          <w:strike w:val="0"/>
          <w:noProof w:val="0"/>
          <w:color w:val="000000"/>
          <w:position w:val="0"/>
          <w:sz w:val="20"/>
          <w:u w:val="none"/>
          <w:vertAlign w:val="baseline"/>
        </w:rPr>
        <w:t xml:space="preserve"> authority to deny cancellation of removal to otherwise eligible immigrants. </w:t>
      </w:r>
      <w:hyperlink r:id="rId13" w:history="1">
        <w:r>
          <w:rPr>
            <w:rFonts w:ascii="arial" w:eastAsia="arial" w:hAnsi="arial" w:cs="arial"/>
            <w:b w:val="0"/>
            <w:i/>
            <w:strike w:val="0"/>
            <w:noProof w:val="0"/>
            <w:color w:val="0077CC"/>
            <w:position w:val="0"/>
            <w:sz w:val="20"/>
            <w:u w:val="single"/>
            <w:vertAlign w:val="baseline"/>
          </w:rPr>
          <w:t>8 U.S.C. § 1229b(b)(1)</w:t>
        </w:r>
      </w:hyperlink>
      <w:r>
        <w:rPr>
          <w:rFonts w:ascii="arial" w:eastAsia="arial" w:hAnsi="arial" w:cs="arial"/>
          <w:b w:val="0"/>
          <w:i w:val="0"/>
          <w:strike w:val="0"/>
          <w:noProof w:val="0"/>
          <w:color w:val="000000"/>
          <w:position w:val="0"/>
          <w:sz w:val="20"/>
          <w:u w:val="none"/>
          <w:vertAlign w:val="baseline"/>
        </w:rPr>
        <w:t xml:space="preserve">. So we lack jurisdiction over that final choice. </w:t>
      </w:r>
      <w:bookmarkStart w:id="160" w:name="Bookmark_I67H31ND28T4VP0020000400"/>
      <w:bookmarkEnd w:id="160"/>
      <w:r>
        <w:rPr>
          <w:rFonts w:ascii="arial" w:eastAsia="arial" w:hAnsi="arial" w:cs="arial"/>
          <w:b w:val="0"/>
          <w:i/>
          <w:strike w:val="0"/>
          <w:noProof w:val="0"/>
          <w:color w:val="000000"/>
          <w:position w:val="0"/>
          <w:sz w:val="20"/>
          <w:u w:val="none"/>
          <w:vertAlign w:val="baseline"/>
        </w:rPr>
        <w:t xml:space="preserve">See </w:t>
      </w:r>
      <w:bookmarkStart w:id="161" w:name="Bookmark_I67H31ND2SF7XH0040000400"/>
      <w:bookmarkEnd w:id="161"/>
      <w:hyperlink r:id="rId61" w:history="1">
        <w:r>
          <w:rPr>
            <w:rFonts w:ascii="arial" w:eastAsia="arial" w:hAnsi="arial" w:cs="arial"/>
            <w:b w:val="0"/>
            <w:i/>
            <w:strike w:val="0"/>
            <w:noProof w:val="0"/>
            <w:color w:val="0077CC"/>
            <w:position w:val="0"/>
            <w:sz w:val="20"/>
            <w:u w:val="single"/>
            <w:vertAlign w:val="baseline"/>
          </w:rPr>
          <w:t>Bernardino Murillo v. Barr</w:t>
        </w:r>
      </w:hyperlink>
      <w:hyperlink r:id="rId61" w:history="1">
        <w:r>
          <w:rPr>
            <w:rFonts w:ascii="arial" w:eastAsia="arial" w:hAnsi="arial" w:cs="arial"/>
            <w:b w:val="0"/>
            <w:i/>
            <w:strike w:val="0"/>
            <w:noProof w:val="0"/>
            <w:color w:val="0077CC"/>
            <w:position w:val="0"/>
            <w:sz w:val="20"/>
            <w:u w:val="single"/>
            <w:vertAlign w:val="baseline"/>
          </w:rPr>
          <w:t>, 795 F. App'x 437, 441 (6th Cir. 2019)</w:t>
        </w:r>
      </w:hyperlink>
      <w:r>
        <w:rPr>
          <w:rFonts w:ascii="arial" w:eastAsia="arial" w:hAnsi="arial" w:cs="arial"/>
          <w:b w:val="0"/>
          <w:i w:val="0"/>
          <w:strike w:val="0"/>
          <w:noProof w:val="0"/>
          <w:color w:val="000000"/>
          <w:position w:val="0"/>
          <w:sz w:val="20"/>
          <w:u w:val="none"/>
          <w:vertAlign w:val="baseline"/>
        </w:rPr>
        <w:t xml:space="preserve">. </w:t>
      </w:r>
      <w:bookmarkStart w:id="162" w:name="Bookmark_I67H31ND28T4VP0020000400_2"/>
      <w:bookmarkEnd w:id="162"/>
      <w:r>
        <w:rPr>
          <w:rFonts w:ascii="arial" w:eastAsia="arial" w:hAnsi="arial" w:cs="arial"/>
          <w:b w:val="0"/>
          <w:i w:val="0"/>
          <w:strike w:val="0"/>
          <w:noProof w:val="0"/>
          <w:color w:val="000000"/>
          <w:position w:val="0"/>
          <w:sz w:val="20"/>
          <w:u w:val="none"/>
          <w:vertAlign w:val="baseline"/>
        </w:rPr>
        <w:t xml:space="preserve">Critically, however, this discretionary text is nowhere to be found in the section's four eligibility requirements. </w:t>
      </w:r>
      <w:bookmarkStart w:id="163" w:name="Bookmark_I67H31ND28T4VP0040000400"/>
      <w:bookmarkEnd w:id="163"/>
      <w:bookmarkStart w:id="164" w:name="Bookmark_I67H31ND28T4VP0010000400"/>
      <w:bookmarkEnd w:id="164"/>
      <w:hyperlink r:id="rId36" w:history="1">
        <w:r>
          <w:rPr>
            <w:rFonts w:ascii="arial" w:eastAsia="arial" w:hAnsi="arial" w:cs="arial"/>
            <w:b w:val="0"/>
            <w:i/>
            <w:strike w:val="0"/>
            <w:noProof w:val="0"/>
            <w:color w:val="0077CC"/>
            <w:position w:val="0"/>
            <w:sz w:val="20"/>
            <w:u w:val="single"/>
            <w:vertAlign w:val="baseline"/>
          </w:rPr>
          <w:t>Singh</w:t>
        </w:r>
      </w:hyperlink>
      <w:hyperlink r:id="rId36" w:history="1">
        <w:r>
          <w:rPr>
            <w:rFonts w:ascii="arial" w:eastAsia="arial" w:hAnsi="arial" w:cs="arial"/>
            <w:b w:val="0"/>
            <w:i/>
            <w:strike w:val="0"/>
            <w:noProof w:val="0"/>
            <w:color w:val="0077CC"/>
            <w:position w:val="0"/>
            <w:sz w:val="20"/>
            <w:u w:val="single"/>
            <w:vertAlign w:val="baseline"/>
          </w:rPr>
          <w:t>, 984 F.3d at 1151</w:t>
        </w:r>
      </w:hyperlink>
      <w:r>
        <w:rPr>
          <w:rFonts w:ascii="arial" w:eastAsia="arial" w:hAnsi="arial" w:cs="arial"/>
          <w:b w:val="0"/>
          <w:i w:val="0"/>
          <w:strike w:val="0"/>
          <w:noProof w:val="0"/>
          <w:color w:val="000000"/>
          <w:position w:val="0"/>
          <w:sz w:val="20"/>
          <w:u w:val="none"/>
          <w:vertAlign w:val="baseline"/>
        </w:rPr>
        <w:t xml:space="preserve">. </w:t>
      </w:r>
      <w:bookmarkStart w:id="165" w:name="Bookmark_I67H31ND28T4VP0040000400_2"/>
      <w:bookmarkEnd w:id="165"/>
      <w:bookmarkStart w:id="166" w:name="Bookmark_LNHNREFclscc9"/>
      <w:bookmarkEnd w:id="166"/>
      <w:hyperlink r:id="rId6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1"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Nothing in the text gives the Attorney General discretion to decide whether an immigrant has good moral character—just as nothing in the text gives the Attorney General discretion to decide whether an immigrant has remained in this country for ten years or has been convicted of a disqualifying felony. </w:t>
      </w:r>
      <w:bookmarkStart w:id="167" w:name="Bookmark_I67H31ND28T4VP0030000400"/>
      <w:bookmarkEnd w:id="167"/>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1151-52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8" w:name="Bookmark_para_33"/>
      <w:bookmarkEnd w:id="168"/>
      <w:r>
        <w:rPr>
          <w:rFonts w:ascii="arial" w:eastAsia="arial" w:hAnsi="arial" w:cs="arial"/>
          <w:b w:val="0"/>
          <w:i w:val="0"/>
          <w:strike w:val="0"/>
          <w:noProof w:val="0"/>
          <w:color w:val="000000"/>
          <w:position w:val="0"/>
          <w:sz w:val="20"/>
          <w:u w:val="none"/>
          <w:vertAlign w:val="baseline"/>
        </w:rPr>
        <w:t xml:space="preserve">The statutory scheme as a whole supports this view. Many other sections of the immigration laws use the phrase "good moral character." </w:t>
      </w:r>
      <w:r>
        <w:rPr>
          <w:rFonts w:ascii="arial" w:eastAsia="arial" w:hAnsi="arial" w:cs="arial"/>
          <w:b w:val="0"/>
          <w:i/>
          <w:strike w:val="0"/>
          <w:noProof w:val="0"/>
          <w:color w:val="000000"/>
          <w:position w:val="0"/>
          <w:sz w:val="20"/>
          <w:u w:val="none"/>
          <w:vertAlign w:val="baseline"/>
        </w:rPr>
        <w:t xml:space="preserve">See </w:t>
      </w:r>
      <w:hyperlink r:id="rId63" w:history="1">
        <w:r>
          <w:rPr>
            <w:rFonts w:ascii="arial" w:eastAsia="arial" w:hAnsi="arial" w:cs="arial"/>
            <w:b w:val="0"/>
            <w:i/>
            <w:strike w:val="0"/>
            <w:noProof w:val="0"/>
            <w:color w:val="0077CC"/>
            <w:position w:val="0"/>
            <w:sz w:val="20"/>
            <w:u w:val="single"/>
            <w:vertAlign w:val="baseline"/>
          </w:rPr>
          <w:t>Matter of Castillo-Perez</w:t>
        </w:r>
      </w:hyperlink>
      <w:hyperlink r:id="rId63" w:history="1">
        <w:r>
          <w:rPr>
            <w:rFonts w:ascii="arial" w:eastAsia="arial" w:hAnsi="arial" w:cs="arial"/>
            <w:b w:val="0"/>
            <w:i/>
            <w:strike w:val="0"/>
            <w:noProof w:val="0"/>
            <w:color w:val="0077CC"/>
            <w:position w:val="0"/>
            <w:sz w:val="20"/>
            <w:u w:val="single"/>
            <w:vertAlign w:val="baseline"/>
          </w:rPr>
          <w:t>, 27 I. &amp; N. Dec. 664, 666 (A.G.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8 U.S.C. § 1229c(b)(1)(B)</w:t>
        </w:r>
      </w:hyperlink>
      <w:r>
        <w:rPr>
          <w:rFonts w:ascii="arial" w:eastAsia="arial" w:hAnsi="arial" w:cs="arial"/>
          <w:b w:val="0"/>
          <w:i w:val="0"/>
          <w:strike w:val="0"/>
          <w:noProof w:val="0"/>
          <w:color w:val="000000"/>
          <w:position w:val="0"/>
          <w:sz w:val="20"/>
          <w:u w:val="none"/>
          <w:vertAlign w:val="baseline"/>
        </w:rPr>
        <w:t xml:space="preserve">. </w:t>
      </w:r>
      <w:bookmarkStart w:id="169" w:name="Bookmark_I67H31ND2SF7XK0010000400"/>
      <w:bookmarkEnd w:id="169"/>
      <w:r>
        <w:rPr>
          <w:rFonts w:ascii="arial" w:eastAsia="arial" w:hAnsi="arial" w:cs="arial"/>
          <w:b w:val="0"/>
          <w:i w:val="0"/>
          <w:strike w:val="0"/>
          <w:noProof w:val="0"/>
          <w:color w:val="000000"/>
          <w:position w:val="0"/>
          <w:sz w:val="20"/>
          <w:u w:val="none"/>
          <w:vertAlign w:val="baseline"/>
        </w:rPr>
        <w:t>Most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notably, an immigrant who seeks to become a citizen must have been "a person of good moral character" for the requisite time. </w:t>
      </w:r>
      <w:hyperlink r:id="rId64" w:history="1">
        <w:r>
          <w:rPr>
            <w:rFonts w:ascii="arial" w:eastAsia="arial" w:hAnsi="arial" w:cs="arial"/>
            <w:b w:val="0"/>
            <w:i/>
            <w:strike w:val="0"/>
            <w:noProof w:val="0"/>
            <w:color w:val="0077CC"/>
            <w:position w:val="0"/>
            <w:sz w:val="20"/>
            <w:u w:val="single"/>
            <w:vertAlign w:val="baseline"/>
          </w:rPr>
          <w:t>8 U.S.C. § 1427(a)(3)</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8 C.F.R. § 316.10</w:t>
        </w:r>
      </w:hyperlink>
      <w:r>
        <w:rPr>
          <w:rFonts w:ascii="arial" w:eastAsia="arial" w:hAnsi="arial" w:cs="arial"/>
          <w:b w:val="0"/>
          <w:i w:val="0"/>
          <w:strike w:val="0"/>
          <w:noProof w:val="0"/>
          <w:color w:val="000000"/>
          <w:position w:val="0"/>
          <w:sz w:val="20"/>
          <w:u w:val="none"/>
          <w:vertAlign w:val="baseline"/>
        </w:rPr>
        <w:t xml:space="preserve">. </w:t>
      </w:r>
      <w:bookmarkStart w:id="170" w:name="Bookmark_I67H31ND2SF7XK0050000400"/>
      <w:bookmarkEnd w:id="170"/>
      <w:r>
        <w:rPr>
          <w:rFonts w:ascii="arial" w:eastAsia="arial" w:hAnsi="arial" w:cs="arial"/>
          <w:b w:val="0"/>
          <w:i w:val="0"/>
          <w:strike w:val="0"/>
          <w:noProof w:val="0"/>
          <w:color w:val="000000"/>
          <w:position w:val="0"/>
          <w:sz w:val="20"/>
          <w:u w:val="none"/>
          <w:vertAlign w:val="baseline"/>
        </w:rPr>
        <w:t xml:space="preserve">This citizenship requirement dates back to the earliest immigration laws.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Naturalization Act of 1795, ch. 20, 1 Stat. 414, 414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Naturalization Act of 1790, ch. 3, 1 Stat. 103, 103</w:t>
        </w:r>
      </w:hyperlink>
      <w:r>
        <w:rPr>
          <w:rFonts w:ascii="arial" w:eastAsia="arial" w:hAnsi="arial" w:cs="arial"/>
          <w:b w:val="0"/>
          <w:i w:val="0"/>
          <w:strike w:val="0"/>
          <w:noProof w:val="0"/>
          <w:color w:val="000000"/>
          <w:position w:val="0"/>
          <w:sz w:val="20"/>
          <w:u w:val="none"/>
          <w:vertAlign w:val="baseline"/>
        </w:rPr>
        <w:t xml:space="preserve">. Yet, as far as we can tell, most cases predating </w:t>
      </w:r>
      <w:hyperlink r:id="rId30" w:history="1">
        <w:r>
          <w:rPr>
            <w:rFonts w:ascii="arial" w:eastAsia="arial" w:hAnsi="arial" w:cs="arial"/>
            <w:b w:val="0"/>
            <w:i/>
            <w:strike w:val="0"/>
            <w:noProof w:val="0"/>
            <w:color w:val="0077CC"/>
            <w:position w:val="0"/>
            <w:sz w:val="20"/>
            <w:u w:val="single"/>
            <w:vertAlign w:val="baseline"/>
          </w:rPr>
          <w:t>subparagraph (B)</w:t>
        </w:r>
      </w:hyperlink>
      <w:r>
        <w:rPr>
          <w:rFonts w:ascii="arial" w:eastAsia="arial" w:hAnsi="arial" w:cs="arial"/>
          <w:b w:val="0"/>
          <w:i w:val="0"/>
          <w:strike w:val="0"/>
          <w:noProof w:val="0"/>
          <w:color w:val="000000"/>
          <w:position w:val="0"/>
          <w:sz w:val="20"/>
          <w:u w:val="none"/>
          <w:vertAlign w:val="baseline"/>
        </w:rPr>
        <w:t xml:space="preserve">'s jurisdictional limit did not treat this determination as "discretionary." </w:t>
      </w:r>
      <w:r>
        <w:rPr>
          <w:rFonts w:ascii="arial" w:eastAsia="arial" w:hAnsi="arial" w:cs="arial"/>
          <w:b w:val="0"/>
          <w:i/>
          <w:strike w:val="0"/>
          <w:noProof w:val="0"/>
          <w:color w:val="000000"/>
          <w:position w:val="0"/>
          <w:sz w:val="20"/>
          <w:u w:val="none"/>
          <w:vertAlign w:val="baseline"/>
        </w:rPr>
        <w:t xml:space="preserve">See </w:t>
      </w:r>
      <w:bookmarkStart w:id="171" w:name="Bookmark_I67H31ND28T4VP0050000400"/>
      <w:bookmarkEnd w:id="171"/>
      <w:hyperlink r:id="rId49" w:history="1">
        <w:r>
          <w:rPr>
            <w:rFonts w:ascii="arial" w:eastAsia="arial" w:hAnsi="arial" w:cs="arial"/>
            <w:b w:val="0"/>
            <w:i/>
            <w:strike w:val="0"/>
            <w:noProof w:val="0"/>
            <w:color w:val="0077CC"/>
            <w:position w:val="0"/>
            <w:sz w:val="20"/>
            <w:u w:val="single"/>
            <w:vertAlign w:val="baseline"/>
          </w:rPr>
          <w:t>Ikenokwalu-White</w:t>
        </w:r>
      </w:hyperlink>
      <w:hyperlink r:id="rId49" w:history="1">
        <w:r>
          <w:rPr>
            <w:rFonts w:ascii="arial" w:eastAsia="arial" w:hAnsi="arial" w:cs="arial"/>
            <w:b w:val="0"/>
            <w:i/>
            <w:strike w:val="0"/>
            <w:noProof w:val="0"/>
            <w:color w:val="0077CC"/>
            <w:position w:val="0"/>
            <w:sz w:val="20"/>
            <w:u w:val="single"/>
            <w:vertAlign w:val="baseline"/>
          </w:rPr>
          <w:t>, 316 F.3d at 803 &amp; n.8</w:t>
        </w:r>
      </w:hyperlink>
      <w:r>
        <w:rPr>
          <w:rFonts w:ascii="arial" w:eastAsia="arial" w:hAnsi="arial" w:cs="arial"/>
          <w:b w:val="0"/>
          <w:i w:val="0"/>
          <w:strike w:val="0"/>
          <w:noProof w:val="0"/>
          <w:color w:val="000000"/>
          <w:position w:val="0"/>
          <w:sz w:val="20"/>
          <w:u w:val="none"/>
          <w:vertAlign w:val="baseline"/>
        </w:rPr>
        <w:t xml:space="preserve"> (citing cases); </w:t>
      </w:r>
      <w:r>
        <w:rPr>
          <w:rFonts w:ascii="arial" w:eastAsia="arial" w:hAnsi="arial" w:cs="arial"/>
          <w:b w:val="0"/>
          <w:i/>
          <w:strike w:val="0"/>
          <w:noProof w:val="0"/>
          <w:color w:val="000000"/>
          <w:position w:val="0"/>
          <w:sz w:val="20"/>
          <w:u w:val="none"/>
          <w:vertAlign w:val="baseline"/>
        </w:rPr>
        <w:t xml:space="preserve">cf. </w:t>
      </w:r>
      <w:bookmarkStart w:id="172" w:name="Bookmark_I67H31ND2SF7XK0020000400"/>
      <w:bookmarkEnd w:id="172"/>
      <w:hyperlink r:id="rId66" w:history="1">
        <w:r>
          <w:rPr>
            <w:rFonts w:ascii="arial" w:eastAsia="arial" w:hAnsi="arial" w:cs="arial"/>
            <w:b w:val="0"/>
            <w:i/>
            <w:strike w:val="0"/>
            <w:noProof w:val="0"/>
            <w:color w:val="0077CC"/>
            <w:position w:val="0"/>
            <w:sz w:val="20"/>
            <w:u w:val="single"/>
            <w:vertAlign w:val="baseline"/>
          </w:rPr>
          <w:t>Johnson v. United States</w:t>
        </w:r>
      </w:hyperlink>
      <w:hyperlink r:id="rId66" w:history="1">
        <w:r>
          <w:rPr>
            <w:rFonts w:ascii="arial" w:eastAsia="arial" w:hAnsi="arial" w:cs="arial"/>
            <w:b w:val="0"/>
            <w:i/>
            <w:strike w:val="0"/>
            <w:noProof w:val="0"/>
            <w:color w:val="0077CC"/>
            <w:position w:val="0"/>
            <w:sz w:val="20"/>
            <w:u w:val="single"/>
            <w:vertAlign w:val="baseline"/>
          </w:rPr>
          <w:t>, 186 F.2d 588, 589-90 (2d Cir. 1951)</w:t>
        </w:r>
      </w:hyperlink>
      <w:r>
        <w:rPr>
          <w:rFonts w:ascii="arial" w:eastAsia="arial" w:hAnsi="arial" w:cs="arial"/>
          <w:b w:val="0"/>
          <w:i w:val="0"/>
          <w:strike w:val="0"/>
          <w:noProof w:val="0"/>
          <w:color w:val="000000"/>
          <w:position w:val="0"/>
          <w:sz w:val="20"/>
          <w:u w:val="none"/>
          <w:vertAlign w:val="baseline"/>
        </w:rPr>
        <w:t xml:space="preserve"> (L. Hand, J.) </w:t>
      </w:r>
      <w:bookmarkStart w:id="173" w:name="Bookmark_I67H31ND2SF7XK0050000400_2"/>
      <w:bookmarkEnd w:id="173"/>
      <w:r>
        <w:rPr>
          <w:rFonts w:ascii="arial" w:eastAsia="arial" w:hAnsi="arial" w:cs="arial"/>
          <w:b w:val="0"/>
          <w:i w:val="0"/>
          <w:strike w:val="0"/>
          <w:noProof w:val="0"/>
          <w:color w:val="000000"/>
          <w:position w:val="0"/>
          <w:sz w:val="20"/>
          <w:u w:val="none"/>
          <w:vertAlign w:val="baseline"/>
        </w:rPr>
        <w:t xml:space="preserve">(reversing good-moral-character finding); </w:t>
      </w:r>
      <w:bookmarkStart w:id="174" w:name="Bookmark_I67H31ND2SF7XK0040000400"/>
      <w:bookmarkEnd w:id="174"/>
      <w:hyperlink r:id="rId67" w:history="1">
        <w:r>
          <w:rPr>
            <w:rFonts w:ascii="arial" w:eastAsia="arial" w:hAnsi="arial" w:cs="arial"/>
            <w:b w:val="0"/>
            <w:i/>
            <w:strike w:val="0"/>
            <w:noProof w:val="0"/>
            <w:color w:val="0077CC"/>
            <w:position w:val="0"/>
            <w:sz w:val="20"/>
            <w:u w:val="single"/>
            <w:vertAlign w:val="baseline"/>
          </w:rPr>
          <w:t>Repouille v. United States</w:t>
        </w:r>
      </w:hyperlink>
      <w:hyperlink r:id="rId67" w:history="1">
        <w:r>
          <w:rPr>
            <w:rFonts w:ascii="arial" w:eastAsia="arial" w:hAnsi="arial" w:cs="arial"/>
            <w:b w:val="0"/>
            <w:i/>
            <w:strike w:val="0"/>
            <w:noProof w:val="0"/>
            <w:color w:val="0077CC"/>
            <w:position w:val="0"/>
            <w:sz w:val="20"/>
            <w:u w:val="single"/>
            <w:vertAlign w:val="baseline"/>
          </w:rPr>
          <w:t>, 165 F.2d 152, 153 (2d Cir. 1947)</w:t>
        </w:r>
      </w:hyperlink>
      <w:r>
        <w:rPr>
          <w:rFonts w:ascii="arial" w:eastAsia="arial" w:hAnsi="arial" w:cs="arial"/>
          <w:b w:val="0"/>
          <w:i w:val="0"/>
          <w:strike w:val="0"/>
          <w:noProof w:val="0"/>
          <w:color w:val="000000"/>
          <w:position w:val="0"/>
          <w:sz w:val="20"/>
          <w:u w:val="none"/>
          <w:vertAlign w:val="baseline"/>
        </w:rPr>
        <w:t xml:space="preserve"> (L. Hand, J.) </w:t>
      </w:r>
      <w:bookmarkStart w:id="175" w:name="Bookmark_I67H31ND2N1R6G0020000400"/>
      <w:bookmarkEnd w:id="175"/>
      <w:r>
        <w:rPr>
          <w:rFonts w:ascii="arial" w:eastAsia="arial" w:hAnsi="arial" w:cs="arial"/>
          <w:b w:val="0"/>
          <w:i w:val="0"/>
          <w:strike w:val="0"/>
          <w:noProof w:val="0"/>
          <w:color w:val="000000"/>
          <w:position w:val="0"/>
          <w:sz w:val="20"/>
          <w:u w:val="none"/>
          <w:vertAlign w:val="baseline"/>
        </w:rPr>
        <w:t xml:space="preserve">(same). In addition, applicants for citizenship who lie to immigration officials can find themselves in criminal proceedings if the lie was material to a decision to grant citizenship. </w:t>
      </w:r>
      <w:r>
        <w:rPr>
          <w:rFonts w:ascii="arial" w:eastAsia="arial" w:hAnsi="arial" w:cs="arial"/>
          <w:b w:val="0"/>
          <w:i/>
          <w:strike w:val="0"/>
          <w:noProof w:val="0"/>
          <w:color w:val="000000"/>
          <w:position w:val="0"/>
          <w:sz w:val="20"/>
          <w:u w:val="none"/>
          <w:vertAlign w:val="baseline"/>
        </w:rPr>
        <w:t xml:space="preserve">See </w:t>
      </w:r>
      <w:bookmarkStart w:id="176" w:name="Bookmark_I67H31ND2N1R6G0010000400"/>
      <w:bookmarkEnd w:id="176"/>
      <w:hyperlink r:id="rId68" w:history="1">
        <w:r>
          <w:rPr>
            <w:rFonts w:ascii="arial" w:eastAsia="arial" w:hAnsi="arial" w:cs="arial"/>
            <w:b w:val="0"/>
            <w:i/>
            <w:strike w:val="0"/>
            <w:noProof w:val="0"/>
            <w:color w:val="0077CC"/>
            <w:position w:val="0"/>
            <w:sz w:val="20"/>
            <w:u w:val="single"/>
            <w:vertAlign w:val="baseline"/>
          </w:rPr>
          <w:t>Maslenjak v. United States</w:t>
        </w:r>
      </w:hyperlink>
      <w:hyperlink r:id="rId68" w:history="1">
        <w:r>
          <w:rPr>
            <w:rFonts w:ascii="arial" w:eastAsia="arial" w:hAnsi="arial" w:cs="arial"/>
            <w:b w:val="0"/>
            <w:i/>
            <w:strike w:val="0"/>
            <w:noProof w:val="0"/>
            <w:color w:val="0077CC"/>
            <w:position w:val="0"/>
            <w:sz w:val="20"/>
            <w:u w:val="single"/>
            <w:vertAlign w:val="baseline"/>
          </w:rPr>
          <w:t>, 582 U.S. 335, 137 S. Ct. 1918, 1923, 198 L. Ed. 2d 460 (2017)</w:t>
        </w:r>
      </w:hyperlink>
      <w:r>
        <w:rPr>
          <w:rFonts w:ascii="arial" w:eastAsia="arial" w:hAnsi="arial" w:cs="arial"/>
          <w:b w:val="0"/>
          <w:i w:val="0"/>
          <w:strike w:val="0"/>
          <w:noProof w:val="0"/>
          <w:color w:val="000000"/>
          <w:position w:val="0"/>
          <w:sz w:val="20"/>
          <w:u w:val="none"/>
          <w:vertAlign w:val="baseline"/>
        </w:rPr>
        <w:t xml:space="preserve">. </w:t>
      </w:r>
      <w:bookmarkStart w:id="177" w:name="Bookmark_I67H31ND2N1R6G0040000400"/>
      <w:bookmarkEnd w:id="177"/>
      <w:r>
        <w:rPr>
          <w:rFonts w:ascii="arial" w:eastAsia="arial" w:hAnsi="arial" w:cs="arial"/>
          <w:b w:val="0"/>
          <w:i w:val="0"/>
          <w:strike w:val="0"/>
          <w:noProof w:val="0"/>
          <w:color w:val="000000"/>
          <w:position w:val="0"/>
          <w:sz w:val="20"/>
          <w:u w:val="none"/>
          <w:vertAlign w:val="baseline"/>
        </w:rPr>
        <w:t xml:space="preserve">Should a jury's decision whether to send an immigrant to prison rest on an immigration official's subjective judgment about the lie's effect on the applicant's moral character (and therefore, the applicant's citizenship)? The Supreme Court did not think so. It recognized that all citizenship requirements (including the good-moral-character requirement) establish "objective legal criteria" and "provide little or no room for subjective preferences or personal whims"—that is, for discretionary decisionmaking. </w:t>
      </w:r>
      <w:bookmarkStart w:id="178" w:name="Bookmark_I67H31ND2N1R6G0030000400"/>
      <w:bookmarkEnd w:id="178"/>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1928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9" w:name="Bookmark_para_34"/>
      <w:bookmarkEnd w:id="179"/>
      <w:bookmarkStart w:id="180" w:name="Bookmark_I67H31NF2SF7XT0010000400"/>
      <w:bookmarkEnd w:id="180"/>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181" w:name="Bookmark_I67H31NF2SF7XT0030000400"/>
      <w:bookmarkEnd w:id="181"/>
      <w:r>
        <w:rPr>
          <w:rFonts w:ascii="arial" w:eastAsia="arial" w:hAnsi="arial" w:cs="arial"/>
          <w:b w:val="0"/>
          <w:i w:val="0"/>
          <w:strike w:val="0"/>
          <w:noProof w:val="0"/>
          <w:color w:val="000000"/>
          <w:position w:val="0"/>
          <w:sz w:val="20"/>
          <w:u w:val="none"/>
          <w:vertAlign w:val="baseline"/>
        </w:rPr>
        <w:t xml:space="preserve">The statutory framework in </w:t>
      </w:r>
      <w:hyperlink r:id="rId18" w:history="1">
        <w:r>
          <w:rPr>
            <w:rFonts w:ascii="arial" w:eastAsia="arial" w:hAnsi="arial" w:cs="arial"/>
            <w:b w:val="0"/>
            <w:i/>
            <w:strike w:val="0"/>
            <w:noProof w:val="0"/>
            <w:color w:val="0077CC"/>
            <w:position w:val="0"/>
            <w:sz w:val="20"/>
            <w:u w:val="single"/>
            <w:vertAlign w:val="baseline"/>
          </w:rPr>
          <w:t>§ 1101(f)</w:t>
        </w:r>
      </w:hyperlink>
      <w:r>
        <w:rPr>
          <w:rFonts w:ascii="arial" w:eastAsia="arial" w:hAnsi="arial" w:cs="arial"/>
          <w:b w:val="0"/>
          <w:i w:val="0"/>
          <w:strike w:val="0"/>
          <w:noProof w:val="0"/>
          <w:color w:val="000000"/>
          <w:position w:val="0"/>
          <w:sz w:val="20"/>
          <w:u w:val="none"/>
          <w:vertAlign w:val="baseline"/>
        </w:rPr>
        <w:t xml:space="preserve"> governing this "good moral character"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requirement points the same way. </w:t>
      </w:r>
      <w:bookmarkStart w:id="182" w:name="Bookmark_LNHNREFclscc10"/>
      <w:bookmarkEnd w:id="182"/>
      <w:hyperlink r:id="rId6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2"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All courts agree that the Attorney General does not have discretion to decide whether an immigrant falls into one of the eight specific categories of immigrants who automatically lack good moral character. </w:t>
      </w:r>
      <w:hyperlink r:id="rId18" w:history="1">
        <w:r>
          <w:rPr>
            <w:rFonts w:ascii="arial" w:eastAsia="arial" w:hAnsi="arial" w:cs="arial"/>
            <w:b w:val="0"/>
            <w:i/>
            <w:strike w:val="0"/>
            <w:noProof w:val="0"/>
            <w:color w:val="0077CC"/>
            <w:position w:val="0"/>
            <w:sz w:val="20"/>
            <w:u w:val="single"/>
            <w:vertAlign w:val="baseline"/>
          </w:rPr>
          <w:t>8 U.S.C. § 1101(f)(1)-(9)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83" w:name="Bookmark_I67H31ND2N1R6G0050000400"/>
      <w:bookmarkEnd w:id="183"/>
      <w:hyperlink r:id="rId53" w:history="1">
        <w:r>
          <w:rPr>
            <w:rFonts w:ascii="arial" w:eastAsia="arial" w:hAnsi="arial" w:cs="arial"/>
            <w:b w:val="0"/>
            <w:i/>
            <w:strike w:val="0"/>
            <w:noProof w:val="0"/>
            <w:color w:val="0077CC"/>
            <w:position w:val="0"/>
            <w:sz w:val="20"/>
            <w:u w:val="single"/>
            <w:vertAlign w:val="baseline"/>
          </w:rPr>
          <w:t>Restrepo</w:t>
        </w:r>
      </w:hyperlink>
      <w:hyperlink r:id="rId53" w:history="1">
        <w:r>
          <w:rPr>
            <w:rFonts w:ascii="arial" w:eastAsia="arial" w:hAnsi="arial" w:cs="arial"/>
            <w:b w:val="0"/>
            <w:i/>
            <w:strike w:val="0"/>
            <w:noProof w:val="0"/>
            <w:color w:val="0077CC"/>
            <w:position w:val="0"/>
            <w:sz w:val="20"/>
            <w:u w:val="single"/>
            <w:vertAlign w:val="baseline"/>
          </w:rPr>
          <w:t>, 676 F.3d at 15</w:t>
        </w:r>
      </w:hyperlink>
      <w:r>
        <w:rPr>
          <w:rFonts w:ascii="arial" w:eastAsia="arial" w:hAnsi="arial" w:cs="arial"/>
          <w:b w:val="0"/>
          <w:i w:val="0"/>
          <w:strike w:val="0"/>
          <w:noProof w:val="0"/>
          <w:color w:val="000000"/>
          <w:position w:val="0"/>
          <w:sz w:val="20"/>
          <w:u w:val="none"/>
          <w:vertAlign w:val="baseline"/>
        </w:rPr>
        <w:t xml:space="preserve">. For example, the Attorney General lacks discretion to decide whether an immigrant qualifies as a "habitual drunkard," </w:t>
      </w:r>
      <w:hyperlink r:id="rId18" w:history="1">
        <w:r>
          <w:rPr>
            <w:rFonts w:ascii="arial" w:eastAsia="arial" w:hAnsi="arial" w:cs="arial"/>
            <w:b w:val="0"/>
            <w:i/>
            <w:strike w:val="0"/>
            <w:noProof w:val="0"/>
            <w:color w:val="0077CC"/>
            <w:position w:val="0"/>
            <w:sz w:val="20"/>
            <w:u w:val="single"/>
            <w:vertAlign w:val="baseline"/>
          </w:rPr>
          <w:t>8 U.S.C. § 1101(f)(1)</w:t>
        </w:r>
      </w:hyperlink>
      <w:r>
        <w:rPr>
          <w:rFonts w:ascii="arial" w:eastAsia="arial" w:hAnsi="arial" w:cs="arial"/>
          <w:b w:val="0"/>
          <w:i w:val="0"/>
          <w:strike w:val="0"/>
          <w:noProof w:val="0"/>
          <w:color w:val="000000"/>
          <w:position w:val="0"/>
          <w:sz w:val="20"/>
          <w:u w:val="none"/>
          <w:vertAlign w:val="baseline"/>
        </w:rPr>
        <w:t xml:space="preserve">, has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other immigrants into the country,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1101(f)(3)</w:t>
        </w:r>
      </w:hyperlink>
      <w:r>
        <w:rPr>
          <w:rFonts w:ascii="arial" w:eastAsia="arial" w:hAnsi="arial" w:cs="arial"/>
          <w:b w:val="0"/>
          <w:i w:val="0"/>
          <w:strike w:val="0"/>
          <w:noProof w:val="0"/>
          <w:color w:val="000000"/>
          <w:position w:val="0"/>
          <w:sz w:val="20"/>
          <w:u w:val="none"/>
          <w:vertAlign w:val="baseline"/>
        </w:rPr>
        <w:t xml:space="preserve">, or has participated in "genocide,"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1101(f)(9)</w:t>
        </w:r>
      </w:hyperlink>
      <w:r>
        <w:rPr>
          <w:rFonts w:ascii="arial" w:eastAsia="arial" w:hAnsi="arial" w:cs="arial"/>
          <w:b w:val="0"/>
          <w:i w:val="0"/>
          <w:strike w:val="0"/>
          <w:noProof w:val="0"/>
          <w:color w:val="000000"/>
          <w:position w:val="0"/>
          <w:sz w:val="20"/>
          <w:u w:val="none"/>
          <w:vertAlign w:val="baseline"/>
        </w:rPr>
        <w:t xml:space="preserve">. </w:t>
      </w:r>
      <w:bookmarkStart w:id="184" w:name="Bookmark_I67H31NF2SF7XT0030000400_2"/>
      <w:bookmarkEnd w:id="184"/>
      <w:r>
        <w:rPr>
          <w:rFonts w:ascii="arial" w:eastAsia="arial" w:hAnsi="arial" w:cs="arial"/>
          <w:b w:val="0"/>
          <w:i w:val="0"/>
          <w:strike w:val="0"/>
          <w:noProof w:val="0"/>
          <w:color w:val="000000"/>
          <w:position w:val="0"/>
          <w:sz w:val="20"/>
          <w:u w:val="none"/>
          <w:vertAlign w:val="baseline"/>
        </w:rPr>
        <w:t xml:space="preserve">Courts have instead used "mixed question" nomenclature when describing whether an immigrant falls into one of these categories, noting that the question raises "a legal determination involving the </w:t>
      </w:r>
      <w:r>
        <w:rPr>
          <w:rFonts w:ascii="arial" w:eastAsia="arial" w:hAnsi="arial" w:cs="arial"/>
          <w:b w:val="0"/>
          <w:i/>
          <w:strike w:val="0"/>
          <w:noProof w:val="0"/>
          <w:color w:val="000000"/>
          <w:position w:val="0"/>
          <w:sz w:val="20"/>
          <w:u w:val="none"/>
          <w:vertAlign w:val="baseline"/>
        </w:rPr>
        <w:t xml:space="preserve">application of law to factual </w:t>
      </w:r>
      <w:r>
        <w:rPr>
          <w:rFonts w:ascii="arial" w:eastAsia="arial" w:hAnsi="arial" w:cs="arial"/>
          <w:b/>
          <w:i/>
          <w:strike w:val="0"/>
          <w:noProof w:val="0"/>
          <w:color w:val="000000"/>
          <w:position w:val="0"/>
          <w:sz w:val="20"/>
          <w:u w:val="none"/>
          <w:vertAlign w:val="baseline"/>
        </w:rPr>
        <w:t> [*770] </w:t>
      </w:r>
      <w:r>
        <w:rPr>
          <w:rFonts w:ascii="arial" w:eastAsia="arial" w:hAnsi="arial" w:cs="arial"/>
          <w:b w:val="0"/>
          <w:i/>
          <w:strike w:val="0"/>
          <w:noProof w:val="0"/>
          <w:color w:val="000000"/>
          <w:position w:val="0"/>
          <w:sz w:val="20"/>
          <w:u w:val="none"/>
          <w:vertAlign w:val="baseline"/>
        </w:rPr>
        <w:t xml:space="preserve"> findings</w:t>
      </w:r>
      <w:r>
        <w:rPr>
          <w:rFonts w:ascii="arial" w:eastAsia="arial" w:hAnsi="arial" w:cs="arial"/>
          <w:b w:val="0"/>
          <w:i w:val="0"/>
          <w:strike w:val="0"/>
          <w:noProof w:val="0"/>
          <w:color w:val="000000"/>
          <w:position w:val="0"/>
          <w:sz w:val="20"/>
          <w:u w:val="none"/>
          <w:vertAlign w:val="baseline"/>
        </w:rPr>
        <w:t xml:space="preserve">." </w:t>
      </w:r>
      <w:bookmarkStart w:id="185" w:name="Bookmark_I67H31NF2SF7XT0020000400"/>
      <w:bookmarkEnd w:id="185"/>
      <w:hyperlink r:id="rId70" w:history="1">
        <w:r>
          <w:rPr>
            <w:rFonts w:ascii="arial" w:eastAsia="arial" w:hAnsi="arial" w:cs="arial"/>
            <w:b w:val="0"/>
            <w:i/>
            <w:strike w:val="0"/>
            <w:noProof w:val="0"/>
            <w:color w:val="0077CC"/>
            <w:position w:val="0"/>
            <w:sz w:val="20"/>
            <w:u w:val="single"/>
            <w:vertAlign w:val="baseline"/>
          </w:rPr>
          <w:t>Ramos v. Holder</w:t>
        </w:r>
      </w:hyperlink>
      <w:hyperlink r:id="rId70" w:history="1">
        <w:r>
          <w:rPr>
            <w:rFonts w:ascii="arial" w:eastAsia="arial" w:hAnsi="arial" w:cs="arial"/>
            <w:b w:val="0"/>
            <w:i/>
            <w:strike w:val="0"/>
            <w:noProof w:val="0"/>
            <w:color w:val="0077CC"/>
            <w:position w:val="0"/>
            <w:sz w:val="20"/>
            <w:u w:val="single"/>
            <w:vertAlign w:val="baseline"/>
          </w:rPr>
          <w:t>, 660 F.3d 200, 203 (4th Cir. 2011)</w:t>
        </w:r>
      </w:hyperlink>
      <w:r>
        <w:rPr>
          <w:rFonts w:ascii="arial" w:eastAsia="arial" w:hAnsi="arial" w:cs="arial"/>
          <w:b w:val="0"/>
          <w:i w:val="0"/>
          <w:strike w:val="0"/>
          <w:noProof w:val="0"/>
          <w:color w:val="000000"/>
          <w:position w:val="0"/>
          <w:sz w:val="20"/>
          <w:u w:val="none"/>
          <w:vertAlign w:val="baseline"/>
        </w:rPr>
        <w:t xml:space="preserve"> (quoting </w:t>
      </w:r>
      <w:bookmarkStart w:id="186" w:name="Bookmark_I67H31NF2SF7XT0040000400"/>
      <w:bookmarkEnd w:id="186"/>
      <w:hyperlink r:id="rId71" w:history="1">
        <w:r>
          <w:rPr>
            <w:rFonts w:ascii="arial" w:eastAsia="arial" w:hAnsi="arial" w:cs="arial"/>
            <w:b w:val="0"/>
            <w:i/>
            <w:strike w:val="0"/>
            <w:noProof w:val="0"/>
            <w:color w:val="0077CC"/>
            <w:position w:val="0"/>
            <w:sz w:val="20"/>
            <w:u w:val="single"/>
            <w:vertAlign w:val="baseline"/>
          </w:rPr>
          <w:t>Jean v. Gonzales</w:t>
        </w:r>
      </w:hyperlink>
      <w:hyperlink r:id="rId71" w:history="1">
        <w:r>
          <w:rPr>
            <w:rFonts w:ascii="arial" w:eastAsia="arial" w:hAnsi="arial" w:cs="arial"/>
            <w:b w:val="0"/>
            <w:i/>
            <w:strike w:val="0"/>
            <w:noProof w:val="0"/>
            <w:color w:val="0077CC"/>
            <w:position w:val="0"/>
            <w:sz w:val="20"/>
            <w:u w:val="single"/>
            <w:vertAlign w:val="baseline"/>
          </w:rPr>
          <w:t>, 435 F.3d 475, 482 (4th Cir. 2006)</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w:t>
      </w:r>
      <w:bookmarkStart w:id="187" w:name="Bookmark_I67H31NF2SF7XX0010000400"/>
      <w:bookmarkEnd w:id="187"/>
      <w:hyperlink r:id="rId57" w:history="1">
        <w:r>
          <w:rPr>
            <w:rFonts w:ascii="arial" w:eastAsia="arial" w:hAnsi="arial" w:cs="arial"/>
            <w:b w:val="0"/>
            <w:i/>
            <w:strike w:val="0"/>
            <w:noProof w:val="0"/>
            <w:color w:val="0077CC"/>
            <w:position w:val="0"/>
            <w:sz w:val="20"/>
            <w:u w:val="single"/>
            <w:vertAlign w:val="baseline"/>
          </w:rPr>
          <w:t>Kalaw</w:t>
        </w:r>
      </w:hyperlink>
      <w:hyperlink r:id="rId57" w:history="1">
        <w:r>
          <w:rPr>
            <w:rFonts w:ascii="arial" w:eastAsia="arial" w:hAnsi="arial" w:cs="arial"/>
            <w:b w:val="0"/>
            <w:i/>
            <w:strike w:val="0"/>
            <w:noProof w:val="0"/>
            <w:color w:val="0077CC"/>
            <w:position w:val="0"/>
            <w:sz w:val="20"/>
            <w:u w:val="single"/>
            <w:vertAlign w:val="baseline"/>
          </w:rPr>
          <w:t>, 133 F.3d at 1150-51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8" w:name="Bookmark_para_35"/>
      <w:bookmarkEnd w:id="188"/>
      <w:r>
        <w:rPr>
          <w:rFonts w:ascii="arial" w:eastAsia="arial" w:hAnsi="arial" w:cs="arial"/>
          <w:b w:val="0"/>
          <w:i w:val="0"/>
          <w:strike w:val="0"/>
          <w:noProof w:val="0"/>
          <w:color w:val="000000"/>
          <w:position w:val="0"/>
          <w:sz w:val="20"/>
          <w:u w:val="none"/>
          <w:vertAlign w:val="baseline"/>
        </w:rPr>
        <w:t xml:space="preserve">It makes no textual or logical sense to treat </w:t>
      </w:r>
      <w:hyperlink r:id="rId18" w:history="1">
        <w:r>
          <w:rPr>
            <w:rFonts w:ascii="arial" w:eastAsia="arial" w:hAnsi="arial" w:cs="arial"/>
            <w:b w:val="0"/>
            <w:i/>
            <w:strike w:val="0"/>
            <w:noProof w:val="0"/>
            <w:color w:val="0077CC"/>
            <w:position w:val="0"/>
            <w:sz w:val="20"/>
            <w:u w:val="single"/>
            <w:vertAlign w:val="baseline"/>
          </w:rPr>
          <w:t>§ 1101(f)</w:t>
        </w:r>
      </w:hyperlink>
      <w:r>
        <w:rPr>
          <w:rFonts w:ascii="arial" w:eastAsia="arial" w:hAnsi="arial" w:cs="arial"/>
          <w:b w:val="0"/>
          <w:i w:val="0"/>
          <w:strike w:val="0"/>
          <w:noProof w:val="0"/>
          <w:color w:val="000000"/>
          <w:position w:val="0"/>
          <w:sz w:val="20"/>
          <w:u w:val="none"/>
          <w:vertAlign w:val="baseline"/>
        </w:rPr>
        <w:t xml:space="preserve">'s catch-all clause differently. Textually, the clause provides: "The fact that any person is not within any of the foregoing classes shall not preclude a finding that for other reasons such person is or was not of good moral character." </w:t>
      </w:r>
      <w:hyperlink r:id="rId18" w:history="1">
        <w:r>
          <w:rPr>
            <w:rFonts w:ascii="arial" w:eastAsia="arial" w:hAnsi="arial" w:cs="arial"/>
            <w:b w:val="0"/>
            <w:i/>
            <w:strike w:val="0"/>
            <w:noProof w:val="0"/>
            <w:color w:val="0077CC"/>
            <w:position w:val="0"/>
            <w:sz w:val="20"/>
            <w:u w:val="single"/>
            <w:vertAlign w:val="baseline"/>
          </w:rPr>
          <w:t>8 U.S.C. § 1101(f)</w:t>
        </w:r>
      </w:hyperlink>
      <w:r>
        <w:rPr>
          <w:rFonts w:ascii="arial" w:eastAsia="arial" w:hAnsi="arial" w:cs="arial"/>
          <w:b w:val="0"/>
          <w:i w:val="0"/>
          <w:strike w:val="0"/>
          <w:noProof w:val="0"/>
          <w:color w:val="000000"/>
          <w:position w:val="0"/>
          <w:sz w:val="20"/>
          <w:u w:val="none"/>
          <w:vertAlign w:val="baseline"/>
        </w:rPr>
        <w:t xml:space="preserve">. </w:t>
      </w:r>
      <w:bookmarkStart w:id="189" w:name="Bookmark_I67H31NF2SF7XX0040000400"/>
      <w:bookmarkEnd w:id="189"/>
      <w:r>
        <w:rPr>
          <w:rFonts w:ascii="arial" w:eastAsia="arial" w:hAnsi="arial" w:cs="arial"/>
          <w:b w:val="0"/>
          <w:i w:val="0"/>
          <w:strike w:val="0"/>
          <w:noProof w:val="0"/>
          <w:color w:val="000000"/>
          <w:position w:val="0"/>
          <w:sz w:val="20"/>
          <w:u w:val="none"/>
          <w:vertAlign w:val="baseline"/>
        </w:rPr>
        <w:t xml:space="preserve">This language merely clarifies that the eight specified classes are not exhaustive and that other misbehavior can disqualify an immigrant. </w:t>
      </w:r>
      <w:bookmarkStart w:id="190" w:name="Bookmark_I67H31NF2N1R6N0010000400"/>
      <w:bookmarkEnd w:id="19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says nothing about leaving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this more general moral-character inquiry to "</w:t>
      </w:r>
      <w:r>
        <w:rPr>
          <w:rFonts w:ascii="arial" w:eastAsia="arial" w:hAnsi="arial" w:cs="arial"/>
          <w:b w:val="0"/>
          <w:i/>
          <w:strike w:val="0"/>
          <w:noProof w:val="0"/>
          <w:color w:val="000000"/>
          <w:position w:val="0"/>
          <w:sz w:val="20"/>
          <w:u w:val="none"/>
          <w:vertAlign w:val="baseline"/>
        </w:rPr>
        <w:t>the opinion of the Attorney General</w:t>
      </w:r>
      <w:r>
        <w:rPr>
          <w:rFonts w:ascii="arial" w:eastAsia="arial" w:hAnsi="arial" w:cs="arial"/>
          <w:b w:val="0"/>
          <w:i w:val="0"/>
          <w:strike w:val="0"/>
          <w:noProof w:val="0"/>
          <w:color w:val="000000"/>
          <w:position w:val="0"/>
          <w:sz w:val="20"/>
          <w:u w:val="none"/>
          <w:vertAlign w:val="baseline"/>
        </w:rPr>
        <w:t xml:space="preserve">"—as Congress has sometimes done in other contexts. </w:t>
      </w:r>
      <w:bookmarkStart w:id="191" w:name="Bookmark_I67H31NF2SF7XX0030000400"/>
      <w:bookmarkEnd w:id="191"/>
      <w:hyperlink r:id="rId36" w:history="1">
        <w:r>
          <w:rPr>
            <w:rFonts w:ascii="arial" w:eastAsia="arial" w:hAnsi="arial" w:cs="arial"/>
            <w:b w:val="0"/>
            <w:i/>
            <w:strike w:val="0"/>
            <w:noProof w:val="0"/>
            <w:color w:val="0077CC"/>
            <w:position w:val="0"/>
            <w:sz w:val="20"/>
            <w:u w:val="single"/>
            <w:vertAlign w:val="baseline"/>
          </w:rPr>
          <w:t>Singh</w:t>
        </w:r>
      </w:hyperlink>
      <w:hyperlink r:id="rId36" w:history="1">
        <w:r>
          <w:rPr>
            <w:rFonts w:ascii="arial" w:eastAsia="arial" w:hAnsi="arial" w:cs="arial"/>
            <w:b w:val="0"/>
            <w:i/>
            <w:strike w:val="0"/>
            <w:noProof w:val="0"/>
            <w:color w:val="0077CC"/>
            <w:position w:val="0"/>
            <w:sz w:val="20"/>
            <w:u w:val="single"/>
            <w:vertAlign w:val="baseline"/>
          </w:rPr>
          <w:t>, 984 F.3d at 1152</w:t>
        </w:r>
      </w:hyperlink>
      <w:r>
        <w:rPr>
          <w:rFonts w:ascii="arial" w:eastAsia="arial" w:hAnsi="arial" w:cs="arial"/>
          <w:b w:val="0"/>
          <w:i w:val="0"/>
          <w:strike w:val="0"/>
          <w:noProof w:val="0"/>
          <w:color w:val="000000"/>
          <w:position w:val="0"/>
          <w:sz w:val="20"/>
          <w:u w:val="none"/>
          <w:vertAlign w:val="baseline"/>
        </w:rPr>
        <w:t xml:space="preserve">. </w:t>
      </w:r>
      <w:bookmarkStart w:id="192" w:name="Bookmark_I67H31NF2N1R6N0010000400_2"/>
      <w:bookmarkEnd w:id="192"/>
      <w:r>
        <w:rPr>
          <w:rFonts w:ascii="arial" w:eastAsia="arial" w:hAnsi="arial" w:cs="arial"/>
          <w:b w:val="0"/>
          <w:i w:val="0"/>
          <w:strike w:val="0"/>
          <w:noProof w:val="0"/>
          <w:color w:val="000000"/>
          <w:position w:val="0"/>
          <w:sz w:val="20"/>
          <w:u w:val="none"/>
          <w:vertAlign w:val="baseline"/>
        </w:rPr>
        <w:t xml:space="preserve">Like the more specific provisions, then, the catch-all provision also raises a "question of applying the law to the facts[.]" </w:t>
      </w:r>
      <w:bookmarkStart w:id="193" w:name="Bookmark_I67H31NF2SF7XX0050000400"/>
      <w:bookmarkEnd w:id="193"/>
      <w:hyperlink r:id="rId49" w:history="1">
        <w:r>
          <w:rPr>
            <w:rFonts w:ascii="arial" w:eastAsia="arial" w:hAnsi="arial" w:cs="arial"/>
            <w:b w:val="0"/>
            <w:i/>
            <w:strike w:val="0"/>
            <w:noProof w:val="0"/>
            <w:color w:val="0077CC"/>
            <w:position w:val="0"/>
            <w:sz w:val="20"/>
            <w:u w:val="single"/>
            <w:vertAlign w:val="baseline"/>
          </w:rPr>
          <w:t>Ikenokwalu-White</w:t>
        </w:r>
      </w:hyperlink>
      <w:hyperlink r:id="rId49" w:history="1">
        <w:r>
          <w:rPr>
            <w:rFonts w:ascii="arial" w:eastAsia="arial" w:hAnsi="arial" w:cs="arial"/>
            <w:b w:val="0"/>
            <w:i/>
            <w:strike w:val="0"/>
            <w:noProof w:val="0"/>
            <w:color w:val="0077CC"/>
            <w:position w:val="0"/>
            <w:sz w:val="20"/>
            <w:u w:val="single"/>
            <w:vertAlign w:val="baseline"/>
          </w:rPr>
          <w:t>, 316 F.3d at 803</w:t>
        </w:r>
      </w:hyperlink>
      <w:r>
        <w:rPr>
          <w:rFonts w:ascii="arial" w:eastAsia="arial" w:hAnsi="arial" w:cs="arial"/>
          <w:b w:val="0"/>
          <w:i w:val="0"/>
          <w:strike w:val="0"/>
          <w:noProof w:val="0"/>
          <w:color w:val="000000"/>
          <w:position w:val="0"/>
          <w:sz w:val="20"/>
          <w:u w:val="none"/>
          <w:vertAlign w:val="baseline"/>
        </w:rPr>
        <w:t xml:space="preserve">. Logically, a contrary reading would create an odd dichotomy. </w:t>
      </w:r>
      <w:bookmarkStart w:id="194" w:name="Bookmark_I67H31NF2N1R6N0030000400"/>
      <w:bookmarkEnd w:id="194"/>
      <w:r>
        <w:rPr>
          <w:rFonts w:ascii="arial" w:eastAsia="arial" w:hAnsi="arial" w:cs="arial"/>
          <w:b w:val="0"/>
          <w:i w:val="0"/>
          <w:strike w:val="0"/>
          <w:noProof w:val="0"/>
          <w:color w:val="000000"/>
          <w:position w:val="0"/>
          <w:sz w:val="20"/>
          <w:u w:val="none"/>
          <w:vertAlign w:val="baseline"/>
        </w:rPr>
        <w:t xml:space="preserve">Here, for example, that reading would have permitted our review if the Board had held that Hernandez's drinking-and-driving history made him a "habitual drunkard[.]" </w:t>
      </w:r>
      <w:hyperlink r:id="rId18" w:history="1">
        <w:r>
          <w:rPr>
            <w:rFonts w:ascii="arial" w:eastAsia="arial" w:hAnsi="arial" w:cs="arial"/>
            <w:b w:val="0"/>
            <w:i/>
            <w:strike w:val="0"/>
            <w:noProof w:val="0"/>
            <w:color w:val="0077CC"/>
            <w:position w:val="0"/>
            <w:sz w:val="20"/>
            <w:u w:val="single"/>
            <w:vertAlign w:val="baseline"/>
          </w:rPr>
          <w:t>8 U.S.C. § 1101(f)(1)</w:t>
        </w:r>
      </w:hyperlink>
      <w:r>
        <w:rPr>
          <w:rFonts w:ascii="arial" w:eastAsia="arial" w:hAnsi="arial" w:cs="arial"/>
          <w:b w:val="0"/>
          <w:i w:val="0"/>
          <w:strike w:val="0"/>
          <w:noProof w:val="0"/>
          <w:color w:val="000000"/>
          <w:position w:val="0"/>
          <w:sz w:val="20"/>
          <w:u w:val="none"/>
          <w:vertAlign w:val="baseline"/>
        </w:rPr>
        <w:t xml:space="preserve">. Why foreclose review simply because the Board held that Hernandez's drinking-and-driving history disqualified him more generally? </w:t>
      </w:r>
      <w:bookmarkStart w:id="195" w:name="Bookmark_I67H31NF2N1R6N0020000400"/>
      <w:bookmarkEnd w:id="195"/>
      <w:hyperlink r:id="rId49" w:history="1">
        <w:r>
          <w:rPr>
            <w:rFonts w:ascii="arial" w:eastAsia="arial" w:hAnsi="arial" w:cs="arial"/>
            <w:b w:val="0"/>
            <w:i/>
            <w:strike w:val="0"/>
            <w:noProof w:val="0"/>
            <w:color w:val="0077CC"/>
            <w:position w:val="0"/>
            <w:sz w:val="20"/>
            <w:u w:val="single"/>
            <w:vertAlign w:val="baseline"/>
          </w:rPr>
          <w:t>Ikenokwalu-White</w:t>
        </w:r>
      </w:hyperlink>
      <w:hyperlink r:id="rId49" w:history="1">
        <w:r>
          <w:rPr>
            <w:rFonts w:ascii="arial" w:eastAsia="arial" w:hAnsi="arial" w:cs="arial"/>
            <w:b w:val="0"/>
            <w:i/>
            <w:strike w:val="0"/>
            <w:noProof w:val="0"/>
            <w:color w:val="0077CC"/>
            <w:position w:val="0"/>
            <w:sz w:val="20"/>
            <w:u w:val="single"/>
            <w:vertAlign w:val="baseline"/>
          </w:rPr>
          <w:t>, 316 F.3d at 803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6" w:name="Bookmark_para_36"/>
      <w:bookmarkEnd w:id="196"/>
      <w:bookmarkStart w:id="197" w:name="Bookmark_I67H31NF2N1R6N0050000400"/>
      <w:bookmarkEnd w:id="197"/>
      <w:bookmarkStart w:id="198" w:name="Bookmark_I67H31NF28T4W20020000400"/>
      <w:bookmarkEnd w:id="198"/>
      <w:r>
        <w:rPr>
          <w:rFonts w:ascii="arial" w:eastAsia="arial" w:hAnsi="arial" w:cs="arial"/>
          <w:b w:val="0"/>
          <w:i w:val="0"/>
          <w:strike w:val="0"/>
          <w:noProof w:val="0"/>
          <w:color w:val="000000"/>
          <w:position w:val="0"/>
          <w:sz w:val="20"/>
          <w:u w:val="none"/>
          <w:vertAlign w:val="baseline"/>
        </w:rPr>
        <w:t xml:space="preserve">The government responds with one potential answer: Because the catch-all provision invokes the totality of an immigrant's circumstances, it is too fact-intensive for us to treat it as anything other than a discretionary exercise. True, as Judge Learned Hand once noted, "people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differ as much about moral conduct as they do about beauty." </w:t>
      </w:r>
      <w:bookmarkStart w:id="199" w:name="Bookmark_I67H31NF2N1R6N0040000400"/>
      <w:bookmarkEnd w:id="199"/>
      <w:hyperlink r:id="rId66" w:history="1">
        <w:r>
          <w:rPr>
            <w:rFonts w:ascii="arial" w:eastAsia="arial" w:hAnsi="arial" w:cs="arial"/>
            <w:b w:val="0"/>
            <w:i/>
            <w:strike w:val="0"/>
            <w:noProof w:val="0"/>
            <w:color w:val="0077CC"/>
            <w:position w:val="0"/>
            <w:sz w:val="20"/>
            <w:u w:val="single"/>
            <w:vertAlign w:val="baseline"/>
          </w:rPr>
          <w:t>Johnson</w:t>
        </w:r>
      </w:hyperlink>
      <w:hyperlink r:id="rId66" w:history="1">
        <w:r>
          <w:rPr>
            <w:rFonts w:ascii="arial" w:eastAsia="arial" w:hAnsi="arial" w:cs="arial"/>
            <w:b w:val="0"/>
            <w:i/>
            <w:strike w:val="0"/>
            <w:noProof w:val="0"/>
            <w:color w:val="0077CC"/>
            <w:position w:val="0"/>
            <w:sz w:val="20"/>
            <w:u w:val="single"/>
            <w:vertAlign w:val="baseline"/>
          </w:rPr>
          <w:t>, 186 F.2d at 589</w:t>
        </w:r>
      </w:hyperlink>
      <w:r>
        <w:rPr>
          <w:rFonts w:ascii="arial" w:eastAsia="arial" w:hAnsi="arial" w:cs="arial"/>
          <w:b w:val="0"/>
          <w:i w:val="0"/>
          <w:strike w:val="0"/>
          <w:noProof w:val="0"/>
          <w:color w:val="000000"/>
          <w:position w:val="0"/>
          <w:sz w:val="20"/>
          <w:u w:val="none"/>
          <w:vertAlign w:val="baseline"/>
        </w:rPr>
        <w:t xml:space="preserve">. </w:t>
      </w:r>
      <w:bookmarkStart w:id="200" w:name="Bookmark_I67H31NF28T4W20040000400"/>
      <w:bookmarkEnd w:id="200"/>
      <w:r>
        <w:rPr>
          <w:rFonts w:ascii="arial" w:eastAsia="arial" w:hAnsi="arial" w:cs="arial"/>
          <w:b w:val="0"/>
          <w:i w:val="0"/>
          <w:strike w:val="0"/>
          <w:noProof w:val="0"/>
          <w:color w:val="000000"/>
          <w:position w:val="0"/>
          <w:sz w:val="20"/>
          <w:u w:val="none"/>
          <w:vertAlign w:val="baseline"/>
        </w:rPr>
        <w:t xml:space="preserve">But, as </w:t>
      </w:r>
      <w:r>
        <w:rPr>
          <w:rFonts w:ascii="arial" w:eastAsia="arial" w:hAnsi="arial" w:cs="arial"/>
          <w:b w:val="0"/>
          <w:i/>
          <w:strike w:val="0"/>
          <w:noProof w:val="0"/>
          <w:color w:val="000000"/>
          <w:position w:val="0"/>
          <w:sz w:val="20"/>
          <w:u w:val="none"/>
          <w:vertAlign w:val="baseline"/>
        </w:rPr>
        <w:t>Singh</w:t>
      </w:r>
      <w:r>
        <w:rPr>
          <w:rFonts w:ascii="arial" w:eastAsia="arial" w:hAnsi="arial" w:cs="arial"/>
          <w:b w:val="0"/>
          <w:i w:val="0"/>
          <w:strike w:val="0"/>
          <w:noProof w:val="0"/>
          <w:color w:val="000000"/>
          <w:position w:val="0"/>
          <w:sz w:val="20"/>
          <w:u w:val="none"/>
          <w:vertAlign w:val="baseline"/>
        </w:rPr>
        <w:t xml:space="preserve"> recognized when rejecting the same complaint about the "hardship" requirement, Congress's choice to set a seemingly malleable standard does not give us the right to throw up our hands. </w:t>
      </w:r>
      <w:bookmarkStart w:id="201" w:name="Bookmark_I67H31NF28T4W20010000400"/>
      <w:bookmarkEnd w:id="201"/>
      <w:hyperlink r:id="rId36" w:history="1">
        <w:r>
          <w:rPr>
            <w:rFonts w:ascii="arial" w:eastAsia="arial" w:hAnsi="arial" w:cs="arial"/>
            <w:b w:val="0"/>
            <w:i/>
            <w:strike w:val="0"/>
            <w:noProof w:val="0"/>
            <w:color w:val="0077CC"/>
            <w:position w:val="0"/>
            <w:sz w:val="20"/>
            <w:u w:val="single"/>
            <w:vertAlign w:val="baseline"/>
          </w:rPr>
          <w:t>984 F.3d at 1152</w:t>
        </w:r>
      </w:hyperlink>
      <w:r>
        <w:rPr>
          <w:rFonts w:ascii="arial" w:eastAsia="arial" w:hAnsi="arial" w:cs="arial"/>
          <w:b w:val="0"/>
          <w:i w:val="0"/>
          <w:strike w:val="0"/>
          <w:noProof w:val="0"/>
          <w:color w:val="000000"/>
          <w:position w:val="0"/>
          <w:sz w:val="20"/>
          <w:u w:val="none"/>
          <w:vertAlign w:val="baseline"/>
        </w:rPr>
        <w:t xml:space="preserve">. </w:t>
      </w:r>
      <w:bookmarkStart w:id="202" w:name="Bookmark_I67H31NF28T4W20040000400_2"/>
      <w:bookmarkEnd w:id="202"/>
      <w:r>
        <w:rPr>
          <w:rFonts w:ascii="arial" w:eastAsia="arial" w:hAnsi="arial" w:cs="arial"/>
          <w:b w:val="0"/>
          <w:i w:val="0"/>
          <w:strike w:val="0"/>
          <w:noProof w:val="0"/>
          <w:color w:val="000000"/>
          <w:position w:val="0"/>
          <w:sz w:val="20"/>
          <w:u w:val="none"/>
          <w:vertAlign w:val="baseline"/>
        </w:rPr>
        <w:t>Courts, for example, have long found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it impossible to define with precision phrases like "reasonable suspicion" or "probable cause" and have instead said that these phrases trigger the totality of the circumstances. </w:t>
      </w:r>
      <w:r>
        <w:rPr>
          <w:rFonts w:ascii="arial" w:eastAsia="arial" w:hAnsi="arial" w:cs="arial"/>
          <w:b w:val="0"/>
          <w:i/>
          <w:strike w:val="0"/>
          <w:noProof w:val="0"/>
          <w:color w:val="000000"/>
          <w:position w:val="0"/>
          <w:sz w:val="20"/>
          <w:u w:val="none"/>
          <w:vertAlign w:val="baseline"/>
        </w:rPr>
        <w:t xml:space="preserve">See </w:t>
      </w:r>
      <w:bookmarkStart w:id="203" w:name="Bookmark_I67H31NF28T4W20030000400"/>
      <w:bookmarkEnd w:id="203"/>
      <w:hyperlink r:id="rId72" w:history="1">
        <w:r>
          <w:rPr>
            <w:rFonts w:ascii="arial" w:eastAsia="arial" w:hAnsi="arial" w:cs="arial"/>
            <w:b w:val="0"/>
            <w:i/>
            <w:strike w:val="0"/>
            <w:noProof w:val="0"/>
            <w:color w:val="0077CC"/>
            <w:position w:val="0"/>
            <w:sz w:val="20"/>
            <w:u w:val="single"/>
            <w:vertAlign w:val="baseline"/>
          </w:rPr>
          <w:t>Ornelas v. United States</w:t>
        </w:r>
      </w:hyperlink>
      <w:hyperlink r:id="rId72" w:history="1">
        <w:r>
          <w:rPr>
            <w:rFonts w:ascii="arial" w:eastAsia="arial" w:hAnsi="arial" w:cs="arial"/>
            <w:b w:val="0"/>
            <w:i/>
            <w:strike w:val="0"/>
            <w:noProof w:val="0"/>
            <w:color w:val="0077CC"/>
            <w:position w:val="0"/>
            <w:sz w:val="20"/>
            <w:u w:val="single"/>
            <w:vertAlign w:val="baseline"/>
          </w:rPr>
          <w:t>, 517 U.S. 690, 695-96, 116 S. Ct. 1657, 134 L. Ed. 2d 911 (1996)</w:t>
        </w:r>
      </w:hyperlink>
      <w:r>
        <w:rPr>
          <w:rFonts w:ascii="arial" w:eastAsia="arial" w:hAnsi="arial" w:cs="arial"/>
          <w:b w:val="0"/>
          <w:i w:val="0"/>
          <w:strike w:val="0"/>
          <w:noProof w:val="0"/>
          <w:color w:val="000000"/>
          <w:position w:val="0"/>
          <w:sz w:val="20"/>
          <w:u w:val="none"/>
          <w:vertAlign w:val="baseline"/>
        </w:rPr>
        <w:t xml:space="preserve">. </w:t>
      </w:r>
      <w:bookmarkStart w:id="204" w:name="Bookmark_I67H31NF28T4W30010000400"/>
      <w:bookmarkEnd w:id="204"/>
      <w:r>
        <w:rPr>
          <w:rFonts w:ascii="arial" w:eastAsia="arial" w:hAnsi="arial" w:cs="arial"/>
          <w:b w:val="0"/>
          <w:i w:val="0"/>
          <w:strike w:val="0"/>
          <w:noProof w:val="0"/>
          <w:color w:val="000000"/>
          <w:position w:val="0"/>
          <w:sz w:val="20"/>
          <w:u w:val="none"/>
          <w:vertAlign w:val="baseline"/>
        </w:rPr>
        <w:t xml:space="preserve">But that fact has not led them to give police officers or magistrates discretion to decide whether probable cause exists to search a home or reasonable suspicion to frisk a suspect. Rather, these inquiries raise mixed (not discretionary) questions subject to de novo review on appeal. </w:t>
      </w:r>
      <w:bookmarkStart w:id="205" w:name="Bookmark_I67H31NF28T4W20050000400"/>
      <w:bookmarkEnd w:id="205"/>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696-97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06" w:name="Bookmark_I67H31NF28T4W30020000400"/>
      <w:bookmarkEnd w:id="206"/>
      <w:hyperlink r:id="rId44" w:history="1">
        <w:r>
          <w:rPr>
            <w:rFonts w:ascii="arial" w:eastAsia="arial" w:hAnsi="arial" w:cs="arial"/>
            <w:b w:val="0"/>
            <w:i/>
            <w:strike w:val="0"/>
            <w:noProof w:val="0"/>
            <w:color w:val="0077CC"/>
            <w:position w:val="0"/>
            <w:sz w:val="20"/>
            <w:u w:val="single"/>
            <w:vertAlign w:val="baseline"/>
          </w:rPr>
          <w:t>U.S. Bank</w:t>
        </w:r>
      </w:hyperlink>
      <w:hyperlink r:id="rId44" w:history="1">
        <w:r>
          <w:rPr>
            <w:rFonts w:ascii="arial" w:eastAsia="arial" w:hAnsi="arial" w:cs="arial"/>
            <w:b w:val="0"/>
            <w:i/>
            <w:strike w:val="0"/>
            <w:noProof w:val="0"/>
            <w:color w:val="0077CC"/>
            <w:position w:val="0"/>
            <w:sz w:val="20"/>
            <w:u w:val="single"/>
            <w:vertAlign w:val="baseline"/>
          </w:rPr>
          <w:t>, 138 S. Ct. at 967 n.4</w:t>
        </w:r>
      </w:hyperlink>
      <w:r>
        <w:rPr>
          <w:rFonts w:ascii="arial" w:eastAsia="arial" w:hAnsi="arial" w:cs="arial"/>
          <w:b w:val="0"/>
          <w:i w:val="0"/>
          <w:strike w:val="0"/>
          <w:noProof w:val="0"/>
          <w:color w:val="000000"/>
          <w:position w:val="0"/>
          <w:sz w:val="20"/>
          <w:u w:val="none"/>
          <w:vertAlign w:val="baseline"/>
        </w:rPr>
        <w:t xml:space="preserve">. Both "[l]ong-standing judicial precedent" and agency regulations have given the phrase "good moral character" as much "discernible content" as probable cause. </w:t>
      </w:r>
      <w:hyperlink r:id="rId63" w:history="1">
        <w:r>
          <w:rPr>
            <w:rFonts w:ascii="arial" w:eastAsia="arial" w:hAnsi="arial" w:cs="arial"/>
            <w:b w:val="0"/>
            <w:i/>
            <w:strike w:val="0"/>
            <w:noProof w:val="0"/>
            <w:color w:val="0077CC"/>
            <w:position w:val="0"/>
            <w:sz w:val="20"/>
            <w:u w:val="single"/>
            <w:vertAlign w:val="baseline"/>
          </w:rPr>
          <w:t>Castillo-Perez</w:t>
        </w:r>
      </w:hyperlink>
      <w:hyperlink r:id="rId63" w:history="1">
        <w:r>
          <w:rPr>
            <w:rFonts w:ascii="arial" w:eastAsia="arial" w:hAnsi="arial" w:cs="arial"/>
            <w:b w:val="0"/>
            <w:i/>
            <w:strike w:val="0"/>
            <w:noProof w:val="0"/>
            <w:color w:val="0077CC"/>
            <w:position w:val="0"/>
            <w:sz w:val="20"/>
            <w:u w:val="single"/>
            <w:vertAlign w:val="baseline"/>
          </w:rPr>
          <w:t>, 27 I. &amp; N. Dec. at 667</w:t>
        </w:r>
      </w:hyperlink>
      <w:r>
        <w:rPr>
          <w:rFonts w:ascii="arial" w:eastAsia="arial" w:hAnsi="arial" w:cs="arial"/>
          <w:b w:val="0"/>
          <w:i w:val="0"/>
          <w:strike w:val="0"/>
          <w:noProof w:val="0"/>
          <w:color w:val="000000"/>
          <w:position w:val="0"/>
          <w:sz w:val="20"/>
          <w:u w:val="none"/>
          <w:vertAlign w:val="baseline"/>
        </w:rPr>
        <w:t xml:space="preserve">. The test requires the decisionmaker to grade an immigrant's behavior against "the standards of the average citizen in the community of residence." </w:t>
      </w:r>
      <w:hyperlink r:id="rId26" w:history="1">
        <w:r>
          <w:rPr>
            <w:rFonts w:ascii="arial" w:eastAsia="arial" w:hAnsi="arial" w:cs="arial"/>
            <w:b w:val="0"/>
            <w:i/>
            <w:strike w:val="0"/>
            <w:noProof w:val="0"/>
            <w:color w:val="0077CC"/>
            <w:position w:val="0"/>
            <w:sz w:val="20"/>
            <w:u w:val="single"/>
            <w:vertAlign w:val="baseline"/>
          </w:rPr>
          <w:t>8 C.F.R. § 316.10(a)(2)</w:t>
        </w:r>
      </w:hyperlink>
      <w:r>
        <w:rPr>
          <w:rFonts w:ascii="arial" w:eastAsia="arial" w:hAnsi="arial" w:cs="arial"/>
          <w:b w:val="0"/>
          <w:i w:val="0"/>
          <w:strike w:val="0"/>
          <w:noProof w:val="0"/>
          <w:color w:val="000000"/>
          <w:position w:val="0"/>
          <w:sz w:val="20"/>
          <w:u w:val="none"/>
          <w:vertAlign w:val="baseline"/>
        </w:rPr>
        <w:t>. Because the test does not raise a discretionary question, we have jurisdiction to review 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Merits</w:t>
      </w:r>
    </w:p>
    <w:p>
      <w:pPr>
        <w:keepNext w:val="0"/>
        <w:spacing w:before="200" w:after="0" w:line="260" w:lineRule="atLeast"/>
        <w:ind w:left="0" w:right="0" w:firstLine="0"/>
        <w:jc w:val="both"/>
      </w:pPr>
      <w:bookmarkStart w:id="207" w:name="Bookmark_para_37"/>
      <w:bookmarkEnd w:id="207"/>
      <w:bookmarkStart w:id="208" w:name="Bookmark_I67H31NF28T4W30050000400"/>
      <w:bookmarkEnd w:id="208"/>
      <w:r>
        <w:rPr>
          <w:rFonts w:ascii="arial" w:eastAsia="arial" w:hAnsi="arial" w:cs="arial"/>
          <w:b w:val="0"/>
          <w:i w:val="0"/>
          <w:strike w:val="0"/>
          <w:noProof w:val="0"/>
          <w:color w:val="000000"/>
          <w:position w:val="0"/>
          <w:sz w:val="20"/>
          <w:u w:val="none"/>
          <w:vertAlign w:val="baseline"/>
        </w:rPr>
        <w:t xml:space="preserve">As we also said in </w:t>
      </w:r>
      <w:r>
        <w:rPr>
          <w:rFonts w:ascii="arial" w:eastAsia="arial" w:hAnsi="arial" w:cs="arial"/>
          <w:b w:val="0"/>
          <w:i/>
          <w:strike w:val="0"/>
          <w:noProof w:val="0"/>
          <w:color w:val="000000"/>
          <w:position w:val="0"/>
          <w:sz w:val="20"/>
          <w:u w:val="none"/>
          <w:vertAlign w:val="baseline"/>
        </w:rPr>
        <w:t>Singh</w:t>
      </w:r>
      <w:r>
        <w:rPr>
          <w:rFonts w:ascii="arial" w:eastAsia="arial" w:hAnsi="arial" w:cs="arial"/>
          <w:b w:val="0"/>
          <w:i w:val="0"/>
          <w:strike w:val="0"/>
          <w:noProof w:val="0"/>
          <w:color w:val="000000"/>
          <w:position w:val="0"/>
          <w:sz w:val="20"/>
          <w:u w:val="none"/>
          <w:vertAlign w:val="baseline"/>
        </w:rPr>
        <w:t xml:space="preserve">, just because we possess jurisdiction to review this mixed question does not mean that we must closely scrutinize the Board's answer. </w:t>
      </w:r>
      <w:bookmarkStart w:id="209" w:name="Bookmark_I67H31NF28T4W30040000400"/>
      <w:bookmarkEnd w:id="209"/>
      <w:hyperlink r:id="rId36" w:history="1">
        <w:r>
          <w:rPr>
            <w:rFonts w:ascii="arial" w:eastAsia="arial" w:hAnsi="arial" w:cs="arial"/>
            <w:b w:val="0"/>
            <w:i/>
            <w:strike w:val="0"/>
            <w:noProof w:val="0"/>
            <w:color w:val="0077CC"/>
            <w:position w:val="0"/>
            <w:sz w:val="20"/>
            <w:u w:val="single"/>
            <w:vertAlign w:val="baseline"/>
          </w:rPr>
          <w:t>984 F.3d at 1154</w:t>
        </w:r>
      </w:hyperlink>
      <w:r>
        <w:rPr>
          <w:rFonts w:ascii="arial" w:eastAsia="arial" w:hAnsi="arial" w:cs="arial"/>
          <w:b w:val="0"/>
          <w:i w:val="0"/>
          <w:strike w:val="0"/>
          <w:noProof w:val="0"/>
          <w:color w:val="000000"/>
          <w:position w:val="0"/>
          <w:sz w:val="20"/>
          <w:u w:val="none"/>
          <w:vertAlign w:val="baseline"/>
        </w:rPr>
        <w:t xml:space="preserve">. </w:t>
      </w:r>
      <w:bookmarkStart w:id="210" w:name="Bookmark_I67H31NF2D6P1F0020000400"/>
      <w:bookmarkEnd w:id="210"/>
      <w:r>
        <w:rPr>
          <w:rFonts w:ascii="arial" w:eastAsia="arial" w:hAnsi="arial" w:cs="arial"/>
          <w:b w:val="0"/>
          <w:i w:val="0"/>
          <w:strike w:val="0"/>
          <w:noProof w:val="0"/>
          <w:color w:val="000000"/>
          <w:position w:val="0"/>
          <w:sz w:val="20"/>
          <w:u w:val="none"/>
          <w:vertAlign w:val="baseline"/>
        </w:rPr>
        <w:t>When choosing a standard of review, the Supreme Court has told us to ask both historical and practical questions. As for the historical: Do appellate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courts have a long practice of applying a particular standard to a particular question? </w:t>
      </w:r>
      <w:bookmarkStart w:id="211" w:name="Bookmark_I67H31NF2D6P1F0020000400_2"/>
      <w:bookmarkEnd w:id="211"/>
      <w:bookmarkStart w:id="212" w:name="Bookmark_I67H31NF2SF7Y20010000400"/>
      <w:bookmarkEnd w:id="212"/>
      <w:bookmarkStart w:id="213" w:name="Bookmark_I67H31NF2D6P1F0010000400"/>
      <w:bookmarkEnd w:id="213"/>
      <w:hyperlink r:id="rId44" w:history="1">
        <w:r>
          <w:rPr>
            <w:rFonts w:ascii="arial" w:eastAsia="arial" w:hAnsi="arial" w:cs="arial"/>
            <w:b w:val="0"/>
            <w:i/>
            <w:strike w:val="0"/>
            <w:noProof w:val="0"/>
            <w:color w:val="0077CC"/>
            <w:position w:val="0"/>
            <w:sz w:val="20"/>
            <w:u w:val="single"/>
            <w:vertAlign w:val="baseline"/>
          </w:rPr>
          <w:t>U.S. Bank</w:t>
        </w:r>
      </w:hyperlink>
      <w:hyperlink r:id="rId44" w:history="1">
        <w:r>
          <w:rPr>
            <w:rFonts w:ascii="arial" w:eastAsia="arial" w:hAnsi="arial" w:cs="arial"/>
            <w:b w:val="0"/>
            <w:i/>
            <w:strike w:val="0"/>
            <w:noProof w:val="0"/>
            <w:color w:val="0077CC"/>
            <w:position w:val="0"/>
            <w:sz w:val="20"/>
            <w:u w:val="single"/>
            <w:vertAlign w:val="baseline"/>
          </w:rPr>
          <w:t>, 138 S. Ct. at 967 n.3</w:t>
        </w:r>
      </w:hyperlink>
      <w:r>
        <w:rPr>
          <w:rFonts w:ascii="arial" w:eastAsia="arial" w:hAnsi="arial" w:cs="arial"/>
          <w:b w:val="0"/>
          <w:i w:val="0"/>
          <w:strike w:val="0"/>
          <w:noProof w:val="0"/>
          <w:color w:val="000000"/>
          <w:position w:val="0"/>
          <w:sz w:val="20"/>
          <w:u w:val="none"/>
          <w:vertAlign w:val="baseline"/>
        </w:rPr>
        <w:t xml:space="preserve"> (citing </w:t>
      </w:r>
      <w:bookmarkStart w:id="214" w:name="Bookmark_I67H31NF2D6P1F0030000400"/>
      <w:bookmarkEnd w:id="214"/>
      <w:hyperlink r:id="rId73" w:history="1">
        <w:r>
          <w:rPr>
            <w:rFonts w:ascii="arial" w:eastAsia="arial" w:hAnsi="arial" w:cs="arial"/>
            <w:b w:val="0"/>
            <w:i/>
            <w:strike w:val="0"/>
            <w:noProof w:val="0"/>
            <w:color w:val="0077CC"/>
            <w:position w:val="0"/>
            <w:sz w:val="20"/>
            <w:u w:val="single"/>
            <w:vertAlign w:val="baseline"/>
          </w:rPr>
          <w:t>Pierce v. Underwood</w:t>
        </w:r>
      </w:hyperlink>
      <w:hyperlink r:id="rId73" w:history="1">
        <w:r>
          <w:rPr>
            <w:rFonts w:ascii="arial" w:eastAsia="arial" w:hAnsi="arial" w:cs="arial"/>
            <w:b w:val="0"/>
            <w:i/>
            <w:strike w:val="0"/>
            <w:noProof w:val="0"/>
            <w:color w:val="0077CC"/>
            <w:position w:val="0"/>
            <w:sz w:val="20"/>
            <w:u w:val="single"/>
            <w:vertAlign w:val="baseline"/>
          </w:rPr>
          <w:t>, 487 U.S. 552, 558, 108 S. Ct. 2541, 101 L. Ed. 2d 490 (1988)</w:t>
        </w:r>
      </w:hyperlink>
      <w:r>
        <w:rPr>
          <w:rFonts w:ascii="arial" w:eastAsia="arial" w:hAnsi="arial" w:cs="arial"/>
          <w:b w:val="0"/>
          <w:i w:val="0"/>
          <w:strike w:val="0"/>
          <w:noProof w:val="0"/>
          <w:color w:val="000000"/>
          <w:position w:val="0"/>
          <w:sz w:val="20"/>
          <w:u w:val="none"/>
          <w:vertAlign w:val="baseline"/>
        </w:rPr>
        <w:t xml:space="preserve">). </w:t>
      </w:r>
      <w:bookmarkStart w:id="215" w:name="Bookmark_I67H31NF2SF7Y20010000400_2"/>
      <w:bookmarkEnd w:id="215"/>
      <w:r>
        <w:rPr>
          <w:rFonts w:ascii="arial" w:eastAsia="arial" w:hAnsi="arial" w:cs="arial"/>
          <w:b w:val="0"/>
          <w:i w:val="0"/>
          <w:strike w:val="0"/>
          <w:noProof w:val="0"/>
          <w:color w:val="000000"/>
          <w:position w:val="0"/>
          <w:sz w:val="20"/>
          <w:u w:val="none"/>
          <w:vertAlign w:val="baseline"/>
        </w:rPr>
        <w:t xml:space="preserve">As for the practical: Which entity </w:t>
      </w:r>
      <w:r>
        <w:rPr>
          <w:rFonts w:ascii="arial" w:eastAsia="arial" w:hAnsi="arial" w:cs="arial"/>
          <w:b/>
          <w:i w:val="0"/>
          <w:strike w:val="0"/>
          <w:noProof w:val="0"/>
          <w:color w:val="000000"/>
          <w:position w:val="0"/>
          <w:sz w:val="20"/>
          <w:u w:val="none"/>
          <w:vertAlign w:val="baseline"/>
        </w:rPr>
        <w:t> [*771] </w:t>
      </w:r>
      <w:r>
        <w:rPr>
          <w:rFonts w:ascii="arial" w:eastAsia="arial" w:hAnsi="arial" w:cs="arial"/>
          <w:b w:val="0"/>
          <w:i w:val="0"/>
          <w:strike w:val="0"/>
          <w:noProof w:val="0"/>
          <w:color w:val="000000"/>
          <w:position w:val="0"/>
          <w:sz w:val="20"/>
          <w:u w:val="none"/>
          <w:vertAlign w:val="baseline"/>
        </w:rPr>
        <w:t xml:space="preserve"> is best situated to possess primary decisionmaking authority? </w:t>
      </w:r>
      <w:bookmarkStart w:id="216" w:name="Bookmark_I67H31NF2SF7Y20030000400"/>
      <w:bookmarkEnd w:id="216"/>
      <w:r>
        <w:rPr>
          <w:rFonts w:ascii="arial" w:eastAsia="arial" w:hAnsi="arial" w:cs="arial"/>
          <w:b w:val="0"/>
          <w:i/>
          <w:strike w:val="0"/>
          <w:noProof w:val="0"/>
          <w:color w:val="000000"/>
          <w:position w:val="0"/>
          <w:sz w:val="20"/>
          <w:u w:val="none"/>
          <w:vertAlign w:val="baseline"/>
        </w:rPr>
        <w:t xml:space="preserve">See </w:t>
      </w:r>
      <w:bookmarkStart w:id="217" w:name="Bookmark_I67H31NF2D6P1F0050000400"/>
      <w:bookmarkEnd w:id="217"/>
      <w:hyperlink r:id="rId34" w:history="1">
        <w:r>
          <w:rPr>
            <w:rFonts w:ascii="arial" w:eastAsia="arial" w:hAnsi="arial" w:cs="arial"/>
            <w:b w:val="0"/>
            <w:i/>
            <w:strike w:val="0"/>
            <w:noProof w:val="0"/>
            <w:color w:val="0077CC"/>
            <w:position w:val="0"/>
            <w:sz w:val="20"/>
            <w:u w:val="single"/>
            <w:vertAlign w:val="baseline"/>
          </w:rPr>
          <w:t>Guerrero-Lasprilla</w:t>
        </w:r>
      </w:hyperlink>
      <w:hyperlink r:id="rId34" w:history="1">
        <w:r>
          <w:rPr>
            <w:rFonts w:ascii="arial" w:eastAsia="arial" w:hAnsi="arial" w:cs="arial"/>
            <w:b w:val="0"/>
            <w:i/>
            <w:strike w:val="0"/>
            <w:noProof w:val="0"/>
            <w:color w:val="0077CC"/>
            <w:position w:val="0"/>
            <w:sz w:val="20"/>
            <w:u w:val="single"/>
            <w:vertAlign w:val="baseline"/>
          </w:rPr>
          <w:t>, 140 S. Ct. at 1069</w:t>
        </w:r>
      </w:hyperlink>
      <w:r>
        <w:rPr>
          <w:rFonts w:ascii="arial" w:eastAsia="arial" w:hAnsi="arial" w:cs="arial"/>
          <w:b w:val="0"/>
          <w:i w:val="0"/>
          <w:strike w:val="0"/>
          <w:noProof w:val="0"/>
          <w:color w:val="000000"/>
          <w:position w:val="0"/>
          <w:sz w:val="20"/>
          <w:u w:val="none"/>
          <w:vertAlign w:val="baseline"/>
        </w:rPr>
        <w:t xml:space="preserve">. </w:t>
      </w:r>
      <w:bookmarkStart w:id="218" w:name="Bookmark_I67H31NF2SF7Y20030000400_2"/>
      <w:bookmarkEnd w:id="218"/>
      <w:r>
        <w:rPr>
          <w:rFonts w:ascii="arial" w:eastAsia="arial" w:hAnsi="arial" w:cs="arial"/>
          <w:b w:val="0"/>
          <w:i w:val="0"/>
          <w:strike w:val="0"/>
          <w:noProof w:val="0"/>
          <w:color w:val="000000"/>
          <w:position w:val="0"/>
          <w:sz w:val="20"/>
          <w:u w:val="none"/>
          <w:vertAlign w:val="baseline"/>
        </w:rPr>
        <w:t xml:space="preserve">If a mixed question requires a court to "expound on the law" by fleshing out "a broad legal standard," appellate courts should take on primary decisionmaking authority by applying de novo review. </w:t>
      </w:r>
      <w:bookmarkStart w:id="219" w:name="Bookmark_I67H31NF2SF7Y20020000400"/>
      <w:bookmarkEnd w:id="219"/>
      <w:hyperlink r:id="rId44" w:history="1">
        <w:r>
          <w:rPr>
            <w:rFonts w:ascii="arial" w:eastAsia="arial" w:hAnsi="arial" w:cs="arial"/>
            <w:b w:val="0"/>
            <w:i/>
            <w:strike w:val="0"/>
            <w:noProof w:val="0"/>
            <w:color w:val="0077CC"/>
            <w:position w:val="0"/>
            <w:sz w:val="20"/>
            <w:u w:val="single"/>
            <w:vertAlign w:val="baseline"/>
          </w:rPr>
          <w:t>U.S. Bank</w:t>
        </w:r>
      </w:hyperlink>
      <w:hyperlink r:id="rId44" w:history="1">
        <w:r>
          <w:rPr>
            <w:rFonts w:ascii="arial" w:eastAsia="arial" w:hAnsi="arial" w:cs="arial"/>
            <w:b w:val="0"/>
            <w:i/>
            <w:strike w:val="0"/>
            <w:noProof w:val="0"/>
            <w:color w:val="0077CC"/>
            <w:position w:val="0"/>
            <w:sz w:val="20"/>
            <w:u w:val="single"/>
            <w:vertAlign w:val="baseline"/>
          </w:rPr>
          <w:t>, 138 S. Ct. at 967</w:t>
        </w:r>
      </w:hyperlink>
      <w:r>
        <w:rPr>
          <w:rFonts w:ascii="arial" w:eastAsia="arial" w:hAnsi="arial" w:cs="arial"/>
          <w:b w:val="0"/>
          <w:i w:val="0"/>
          <w:strike w:val="0"/>
          <w:noProof w:val="0"/>
          <w:color w:val="000000"/>
          <w:position w:val="0"/>
          <w:sz w:val="20"/>
          <w:u w:val="none"/>
          <w:vertAlign w:val="baseline"/>
        </w:rPr>
        <w:t xml:space="preserve">. If, however, a mixed question requires a court to "immerse" itself in a case's unique facts by "weigh[ing]" all evidence for and against an answer, appellate courts should give trial courts primary decisionmaking authority by applying deferential review.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20" w:name="Bookmark_para_38"/>
      <w:bookmarkEnd w:id="220"/>
      <w:bookmarkStart w:id="221" w:name="Bookmark_I67H31NF2SF7Y20050000400"/>
      <w:bookmarkEnd w:id="221"/>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These considerations might point to a deferential standard here. As a matter of history, the Eighth Circuit suggested that circuit courts have long evaluated the initial decisionmaker's answer to this question (which again dates to the founding) under a deferential "substantial evidence standard" of review. </w:t>
      </w:r>
      <w:bookmarkStart w:id="222" w:name="Bookmark_I67H31NF2SF7Y20040000400"/>
      <w:bookmarkEnd w:id="222"/>
      <w:hyperlink r:id="rId49" w:history="1">
        <w:r>
          <w:rPr>
            <w:rFonts w:ascii="arial" w:eastAsia="arial" w:hAnsi="arial" w:cs="arial"/>
            <w:b w:val="0"/>
            <w:i/>
            <w:strike w:val="0"/>
            <w:noProof w:val="0"/>
            <w:color w:val="0077CC"/>
            <w:position w:val="0"/>
            <w:sz w:val="20"/>
            <w:u w:val="single"/>
            <w:vertAlign w:val="baseline"/>
          </w:rPr>
          <w:t>Ikenokwalu-White</w:t>
        </w:r>
      </w:hyperlink>
      <w:hyperlink r:id="rId49" w:history="1">
        <w:r>
          <w:rPr>
            <w:rFonts w:ascii="arial" w:eastAsia="arial" w:hAnsi="arial" w:cs="arial"/>
            <w:b w:val="0"/>
            <w:i/>
            <w:strike w:val="0"/>
            <w:noProof w:val="0"/>
            <w:color w:val="0077CC"/>
            <w:position w:val="0"/>
            <w:sz w:val="20"/>
            <w:u w:val="single"/>
            <w:vertAlign w:val="baseline"/>
          </w:rPr>
          <w:t>, 316 F.3d at 803 &amp; n.8</w:t>
        </w:r>
      </w:hyperlink>
      <w:r>
        <w:rPr>
          <w:rFonts w:ascii="arial" w:eastAsia="arial" w:hAnsi="arial" w:cs="arial"/>
          <w:b w:val="0"/>
          <w:i w:val="0"/>
          <w:strike w:val="0"/>
          <w:noProof w:val="0"/>
          <w:color w:val="000000"/>
          <w:position w:val="0"/>
          <w:sz w:val="20"/>
          <w:u w:val="none"/>
          <w:vertAlign w:val="baseline"/>
        </w:rPr>
        <w:t xml:space="preserve"> (citing cases). </w:t>
      </w:r>
      <w:bookmarkStart w:id="223" w:name="Bookmark_LNHNREFclscc11"/>
      <w:bookmarkEnd w:id="223"/>
      <w:hyperlink r:id="rId7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3"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As a matter of practicalities, the Board has long applied a fact-specific test to decide whether an immigrant has good moral character. </w:t>
      </w:r>
      <w:bookmarkStart w:id="224" w:name="Bookmark_I67H31NF2D6P1H0020000400"/>
      <w:bookmarkEnd w:id="224"/>
      <w:r>
        <w:rPr>
          <w:rFonts w:ascii="arial" w:eastAsia="arial" w:hAnsi="arial" w:cs="arial"/>
          <w:b w:val="0"/>
          <w:i w:val="0"/>
          <w:strike w:val="0"/>
          <w:noProof w:val="0"/>
          <w:color w:val="000000"/>
          <w:position w:val="0"/>
          <w:sz w:val="20"/>
          <w:u w:val="none"/>
          <w:vertAlign w:val="baseline"/>
        </w:rPr>
        <w:t>As noted, this test asks whether an immigrant has lived up to "the standards of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average citizen in the community" based on all of the immigrant's characteristics. </w:t>
      </w:r>
      <w:hyperlink r:id="rId26" w:history="1">
        <w:r>
          <w:rPr>
            <w:rFonts w:ascii="arial" w:eastAsia="arial" w:hAnsi="arial" w:cs="arial"/>
            <w:b w:val="0"/>
            <w:i/>
            <w:strike w:val="0"/>
            <w:noProof w:val="0"/>
            <w:color w:val="0077CC"/>
            <w:position w:val="0"/>
            <w:sz w:val="20"/>
            <w:u w:val="single"/>
            <w:vertAlign w:val="baseline"/>
          </w:rPr>
          <w:t>8 C.F.R. § 316.10(a)(2)</w:t>
        </w:r>
      </w:hyperlink>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Matter of U-</w:t>
        </w:r>
      </w:hyperlink>
      <w:hyperlink r:id="rId75" w:history="1">
        <w:r>
          <w:rPr>
            <w:rFonts w:ascii="arial" w:eastAsia="arial" w:hAnsi="arial" w:cs="arial"/>
            <w:b w:val="0"/>
            <w:i/>
            <w:strike w:val="0"/>
            <w:noProof w:val="0"/>
            <w:color w:val="0077CC"/>
            <w:position w:val="0"/>
            <w:sz w:val="20"/>
            <w:u w:val="single"/>
            <w:vertAlign w:val="baseline"/>
          </w:rPr>
          <w:t>, 2 I. &amp; N. Dec. 830, 831-32 (B.I.A. 1947)</w:t>
        </w:r>
      </w:hyperlink>
      <w:r>
        <w:rPr>
          <w:rFonts w:ascii="arial" w:eastAsia="arial" w:hAnsi="arial" w:cs="arial"/>
          <w:b w:val="0"/>
          <w:i w:val="0"/>
          <w:strike w:val="0"/>
          <w:noProof w:val="0"/>
          <w:color w:val="000000"/>
          <w:position w:val="0"/>
          <w:sz w:val="20"/>
          <w:u w:val="none"/>
          <w:vertAlign w:val="baseline"/>
        </w:rPr>
        <w:t xml:space="preserve">. The initial decisionmaker (not an appellate court) is typically better suited to answer a mixed question like this one that turns on the totality of the circumstances. </w:t>
      </w:r>
      <w:r>
        <w:rPr>
          <w:rFonts w:ascii="arial" w:eastAsia="arial" w:hAnsi="arial" w:cs="arial"/>
          <w:b w:val="0"/>
          <w:i/>
          <w:strike w:val="0"/>
          <w:noProof w:val="0"/>
          <w:color w:val="000000"/>
          <w:position w:val="0"/>
          <w:sz w:val="20"/>
          <w:u w:val="none"/>
          <w:vertAlign w:val="baseline"/>
        </w:rPr>
        <w:t xml:space="preserve">See </w:t>
      </w:r>
      <w:bookmarkStart w:id="225" w:name="Bookmark_I67H31NF2D6P1H0010000400"/>
      <w:bookmarkEnd w:id="225"/>
      <w:hyperlink r:id="rId36" w:history="1">
        <w:r>
          <w:rPr>
            <w:rFonts w:ascii="arial" w:eastAsia="arial" w:hAnsi="arial" w:cs="arial"/>
            <w:b w:val="0"/>
            <w:i/>
            <w:strike w:val="0"/>
            <w:noProof w:val="0"/>
            <w:color w:val="0077CC"/>
            <w:position w:val="0"/>
            <w:sz w:val="20"/>
            <w:u w:val="single"/>
            <w:vertAlign w:val="baseline"/>
          </w:rPr>
          <w:t>Singh</w:t>
        </w:r>
      </w:hyperlink>
      <w:hyperlink r:id="rId36" w:history="1">
        <w:r>
          <w:rPr>
            <w:rFonts w:ascii="arial" w:eastAsia="arial" w:hAnsi="arial" w:cs="arial"/>
            <w:b w:val="0"/>
            <w:i/>
            <w:strike w:val="0"/>
            <w:noProof w:val="0"/>
            <w:color w:val="0077CC"/>
            <w:position w:val="0"/>
            <w:sz w:val="20"/>
            <w:u w:val="single"/>
            <w:vertAlign w:val="baseline"/>
          </w:rPr>
          <w:t>, 984 F.3d at 1154</w:t>
        </w:r>
      </w:hyperlink>
      <w:r>
        <w:rPr>
          <w:rFonts w:ascii="arial" w:eastAsia="arial" w:hAnsi="arial" w:cs="arial"/>
          <w:b w:val="0"/>
          <w:i w:val="0"/>
          <w:strike w:val="0"/>
          <w:noProof w:val="0"/>
          <w:color w:val="000000"/>
          <w:position w:val="0"/>
          <w:sz w:val="20"/>
          <w:u w:val="none"/>
          <w:vertAlign w:val="baseline"/>
        </w:rPr>
        <w:t xml:space="preserve"> (discussing </w:t>
      </w:r>
      <w:bookmarkStart w:id="226" w:name="Bookmark_I67H31NF2D6P1H0030000400"/>
      <w:bookmarkEnd w:id="226"/>
      <w:hyperlink r:id="rId76" w:history="1">
        <w:r>
          <w:rPr>
            <w:rFonts w:ascii="arial" w:eastAsia="arial" w:hAnsi="arial" w:cs="arial"/>
            <w:b w:val="0"/>
            <w:i/>
            <w:strike w:val="0"/>
            <w:noProof w:val="0"/>
            <w:color w:val="0077CC"/>
            <w:position w:val="0"/>
            <w:sz w:val="20"/>
            <w:u w:val="single"/>
            <w:vertAlign w:val="baseline"/>
          </w:rPr>
          <w:t>Monasky v. Taglieri</w:t>
        </w:r>
      </w:hyperlink>
      <w:hyperlink r:id="rId76" w:history="1">
        <w:r>
          <w:rPr>
            <w:rFonts w:ascii="arial" w:eastAsia="arial" w:hAnsi="arial" w:cs="arial"/>
            <w:b w:val="0"/>
            <w:i/>
            <w:strike w:val="0"/>
            <w:noProof w:val="0"/>
            <w:color w:val="0077CC"/>
            <w:position w:val="0"/>
            <w:sz w:val="20"/>
            <w:u w:val="single"/>
            <w:vertAlign w:val="baseline"/>
          </w:rPr>
          <w:t>, 140 S. Ct. 719, 730, 206 L. Ed. 2d 9 (2020)</w:t>
        </w:r>
      </w:hyperlink>
      <w:r>
        <w:rPr>
          <w:rFonts w:ascii="arial" w:eastAsia="arial" w:hAnsi="arial" w:cs="arial"/>
          <w:b w:val="0"/>
          <w:i w:val="0"/>
          <w:strike w:val="0"/>
          <w:noProof w:val="0"/>
          <w:color w:val="000000"/>
          <w:position w:val="0"/>
          <w:sz w:val="20"/>
          <w:u w:val="none"/>
          <w:vertAlign w:val="baseline"/>
        </w:rPr>
        <w:t xml:space="preserve">; </w:t>
      </w:r>
      <w:bookmarkStart w:id="227" w:name="Bookmark_I67H31NF2D6P1H0050000400"/>
      <w:bookmarkEnd w:id="227"/>
      <w:hyperlink r:id="rId44" w:history="1">
        <w:r>
          <w:rPr>
            <w:rFonts w:ascii="arial" w:eastAsia="arial" w:hAnsi="arial" w:cs="arial"/>
            <w:b w:val="0"/>
            <w:i/>
            <w:strike w:val="0"/>
            <w:noProof w:val="0"/>
            <w:color w:val="0077CC"/>
            <w:position w:val="0"/>
            <w:sz w:val="20"/>
            <w:u w:val="single"/>
            <w:vertAlign w:val="baseline"/>
          </w:rPr>
          <w:t>U.S. Bank</w:t>
        </w:r>
      </w:hyperlink>
      <w:hyperlink r:id="rId44" w:history="1">
        <w:r>
          <w:rPr>
            <w:rFonts w:ascii="arial" w:eastAsia="arial" w:hAnsi="arial" w:cs="arial"/>
            <w:b w:val="0"/>
            <w:i/>
            <w:strike w:val="0"/>
            <w:noProof w:val="0"/>
            <w:color w:val="0077CC"/>
            <w:position w:val="0"/>
            <w:sz w:val="20"/>
            <w:u w:val="single"/>
            <w:vertAlign w:val="baseline"/>
          </w:rPr>
          <w:t>, 138 S. Ct. at 967-69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8" w:name="Bookmark_para_39"/>
      <w:bookmarkEnd w:id="228"/>
      <w:bookmarkStart w:id="229" w:name="Bookmark_I67H31NG28T4W70030000400"/>
      <w:bookmarkEnd w:id="229"/>
      <w:r>
        <w:rPr>
          <w:rFonts w:ascii="arial" w:eastAsia="arial" w:hAnsi="arial" w:cs="arial"/>
          <w:b w:val="0"/>
          <w:i w:val="0"/>
          <w:strike w:val="0"/>
          <w:noProof w:val="0"/>
          <w:color w:val="000000"/>
          <w:position w:val="0"/>
          <w:sz w:val="20"/>
          <w:u w:val="none"/>
          <w:vertAlign w:val="baseline"/>
        </w:rPr>
        <w:t xml:space="preserve">Ultimately, though, the parties' inadequate briefing on this topic leads us to reserve the proper standard of review for another case. </w:t>
      </w:r>
      <w:r>
        <w:rPr>
          <w:rFonts w:ascii="arial" w:eastAsia="arial" w:hAnsi="arial" w:cs="arial"/>
          <w:b w:val="0"/>
          <w:i/>
          <w:strike w:val="0"/>
          <w:noProof w:val="0"/>
          <w:color w:val="000000"/>
          <w:position w:val="0"/>
          <w:sz w:val="20"/>
          <w:u w:val="none"/>
          <w:vertAlign w:val="baseline"/>
        </w:rPr>
        <w:t>Cf. id.</w:t>
      </w:r>
      <w:r>
        <w:rPr>
          <w:rFonts w:ascii="arial" w:eastAsia="arial" w:hAnsi="arial" w:cs="arial"/>
          <w:b w:val="0"/>
          <w:i w:val="0"/>
          <w:strike w:val="0"/>
          <w:noProof w:val="0"/>
          <w:color w:val="000000"/>
          <w:position w:val="0"/>
          <w:sz w:val="20"/>
          <w:u w:val="none"/>
          <w:vertAlign w:val="baseline"/>
        </w:rPr>
        <w:t xml:space="preserve"> We would uphold the Board's conclusion that Hernandez failed to prove his good moral character under any standard of review. Notwithstanding his support of his wife, Hernandez's criminal history shows his lack of good moral character under our community's "generally accepted moral conventions[.]" </w:t>
      </w:r>
      <w:hyperlink r:id="rId63" w:history="1">
        <w:r>
          <w:rPr>
            <w:rFonts w:ascii="arial" w:eastAsia="arial" w:hAnsi="arial" w:cs="arial"/>
            <w:b w:val="0"/>
            <w:i/>
            <w:strike w:val="0"/>
            <w:noProof w:val="0"/>
            <w:color w:val="0077CC"/>
            <w:position w:val="0"/>
            <w:sz w:val="20"/>
            <w:u w:val="single"/>
            <w:vertAlign w:val="baseline"/>
          </w:rPr>
          <w:t>Castillo-Perez</w:t>
        </w:r>
      </w:hyperlink>
      <w:hyperlink r:id="rId63" w:history="1">
        <w:r>
          <w:rPr>
            <w:rFonts w:ascii="arial" w:eastAsia="arial" w:hAnsi="arial" w:cs="arial"/>
            <w:b w:val="0"/>
            <w:i/>
            <w:strike w:val="0"/>
            <w:noProof w:val="0"/>
            <w:color w:val="0077CC"/>
            <w:position w:val="0"/>
            <w:sz w:val="20"/>
            <w:u w:val="single"/>
            <w:vertAlign w:val="baseline"/>
          </w:rPr>
          <w:t>, 27 I. &amp; N. Dec. at 667</w:t>
        </w:r>
      </w:hyperlink>
      <w:r>
        <w:rPr>
          <w:rFonts w:ascii="arial" w:eastAsia="arial" w:hAnsi="arial" w:cs="arial"/>
          <w:b w:val="0"/>
          <w:i w:val="0"/>
          <w:strike w:val="0"/>
          <w:noProof w:val="0"/>
          <w:color w:val="000000"/>
          <w:position w:val="0"/>
          <w:sz w:val="20"/>
          <w:u w:val="none"/>
          <w:vertAlign w:val="baseline"/>
        </w:rPr>
        <w:t xml:space="preserve"> (quoting </w:t>
      </w:r>
      <w:bookmarkStart w:id="230" w:name="Bookmark_I67H31NG28T4W70020000400"/>
      <w:bookmarkEnd w:id="230"/>
      <w:hyperlink r:id="rId77" w:history="1">
        <w:r>
          <w:rPr>
            <w:rFonts w:ascii="arial" w:eastAsia="arial" w:hAnsi="arial" w:cs="arial"/>
            <w:b w:val="0"/>
            <w:i/>
            <w:strike w:val="0"/>
            <w:noProof w:val="0"/>
            <w:color w:val="0077CC"/>
            <w:position w:val="0"/>
            <w:sz w:val="20"/>
            <w:u w:val="single"/>
            <w:vertAlign w:val="baseline"/>
          </w:rPr>
          <w:t>United States v. Francioso</w:t>
        </w:r>
      </w:hyperlink>
      <w:hyperlink r:id="rId77" w:history="1">
        <w:r>
          <w:rPr>
            <w:rFonts w:ascii="arial" w:eastAsia="arial" w:hAnsi="arial" w:cs="arial"/>
            <w:b w:val="0"/>
            <w:i/>
            <w:strike w:val="0"/>
            <w:noProof w:val="0"/>
            <w:color w:val="0077CC"/>
            <w:position w:val="0"/>
            <w:sz w:val="20"/>
            <w:u w:val="single"/>
            <w:vertAlign w:val="baseline"/>
          </w:rPr>
          <w:t>, 164 F.2d 163, 163 (2d Cir. 1947)</w:t>
        </w:r>
      </w:hyperlink>
      <w:r>
        <w:rPr>
          <w:rFonts w:ascii="arial" w:eastAsia="arial" w:hAnsi="arial" w:cs="arial"/>
          <w:b w:val="0"/>
          <w:i w:val="0"/>
          <w:strike w:val="0"/>
          <w:noProof w:val="0"/>
          <w:color w:val="000000"/>
          <w:position w:val="0"/>
          <w:sz w:val="20"/>
          <w:u w:val="none"/>
          <w:vertAlign w:val="baseline"/>
        </w:rPr>
        <w:t xml:space="preserve"> (L. Hand, J.)). As the criminal laws in all 50 states show, our country has formed "a national consensus" against drunk driving—an illegal practice that causes tragedies every day of the year. </w:t>
      </w:r>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669-70</w:t>
        </w:r>
      </w:hyperlink>
      <w:r>
        <w:rPr>
          <w:rFonts w:ascii="arial" w:eastAsia="arial" w:hAnsi="arial" w:cs="arial"/>
          <w:b w:val="0"/>
          <w:i w:val="0"/>
          <w:strike w:val="0"/>
          <w:noProof w:val="0"/>
          <w:color w:val="000000"/>
          <w:position w:val="0"/>
          <w:sz w:val="20"/>
          <w:u w:val="none"/>
          <w:vertAlign w:val="baseline"/>
        </w:rPr>
        <w:t xml:space="preserve">. Yet Hernandez had two drinking-and-driving convictions within the relevant ten-year period. A.R. 61. He also had a third such conviction outside that period and a fourth arrest for it within the period.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Most of these incidents, moreover, occurred while he was litigating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his removal proceedings and thus well knew his obligations to follow the law.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1" w:name="Bookmark_para_40"/>
      <w:bookmarkEnd w:id="231"/>
      <w:r>
        <w:rPr>
          <w:rFonts w:ascii="arial" w:eastAsia="arial" w:hAnsi="arial" w:cs="arial"/>
          <w:b w:val="0"/>
          <w:i w:val="0"/>
          <w:strike w:val="0"/>
          <w:noProof w:val="0"/>
          <w:color w:val="000000"/>
          <w:position w:val="0"/>
          <w:sz w:val="20"/>
          <w:u w:val="none"/>
          <w:vertAlign w:val="baseline"/>
        </w:rPr>
        <w:t xml:space="preserve">Significant judicial and administrative precedent supports this conclusion that Hernandez's drinking-related criminal history shows his lack of "good moral character." </w:t>
      </w:r>
      <w:bookmarkStart w:id="232" w:name="Bookmark_LNHNREFclscc12"/>
      <w:bookmarkEnd w:id="232"/>
      <w:hyperlink r:id="rId78"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4"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Attorney General has instructed the Board to adhere to a legal presumption that an immigrant lacks good moral character if the immigrant has two or more drinking-and-driving convictions in the relevant time period. </w:t>
      </w:r>
      <w:bookmarkStart w:id="233" w:name="Bookmark_I67H31NG28T4W70050000400"/>
      <w:bookmarkEnd w:id="233"/>
      <w:r>
        <w:rPr>
          <w:rFonts w:ascii="arial" w:eastAsia="arial" w:hAnsi="arial" w:cs="arial"/>
          <w:b w:val="0"/>
          <w:i/>
          <w:strike w:val="0"/>
          <w:noProof w:val="0"/>
          <w:color w:val="000000"/>
          <w:position w:val="0"/>
          <w:sz w:val="20"/>
          <w:u w:val="none"/>
          <w:vertAlign w:val="baseline"/>
        </w:rPr>
        <w:t xml:space="preserve">See </w:t>
      </w:r>
      <w:hyperlink r:id="rId63" w:history="1">
        <w:r>
          <w:rPr>
            <w:rFonts w:ascii="arial" w:eastAsia="arial" w:hAnsi="arial" w:cs="arial"/>
            <w:b w:val="0"/>
            <w:i/>
            <w:strike w:val="0"/>
            <w:noProof w:val="0"/>
            <w:color w:val="0077CC"/>
            <w:position w:val="0"/>
            <w:sz w:val="20"/>
            <w:u w:val="single"/>
            <w:vertAlign w:val="baseline"/>
          </w:rPr>
          <w:t>Castillo-Perez</w:t>
        </w:r>
      </w:hyperlink>
      <w:hyperlink r:id="rId63" w:history="1">
        <w:r>
          <w:rPr>
            <w:rFonts w:ascii="arial" w:eastAsia="arial" w:hAnsi="arial" w:cs="arial"/>
            <w:b w:val="0"/>
            <w:i/>
            <w:strike w:val="0"/>
            <w:noProof w:val="0"/>
            <w:color w:val="0077CC"/>
            <w:position w:val="0"/>
            <w:sz w:val="20"/>
            <w:u w:val="single"/>
            <w:vertAlign w:val="baseline"/>
          </w:rPr>
          <w:t>, 27 I. &amp; N. Dec. at 664, 669, 673</w:t>
        </w:r>
      </w:hyperlink>
      <w:r>
        <w:rPr>
          <w:rFonts w:ascii="arial" w:eastAsia="arial" w:hAnsi="arial" w:cs="arial"/>
          <w:b w:val="0"/>
          <w:i w:val="0"/>
          <w:strike w:val="0"/>
          <w:noProof w:val="0"/>
          <w:color w:val="000000"/>
          <w:position w:val="0"/>
          <w:sz w:val="20"/>
          <w:u w:val="none"/>
          <w:vertAlign w:val="baseline"/>
        </w:rPr>
        <w:t xml:space="preserve">. Many cases have also relied on similar criminal histories to uphold a finding that an immigrant lacked good moral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character. </w:t>
      </w:r>
      <w:r>
        <w:rPr>
          <w:rFonts w:ascii="arial" w:eastAsia="arial" w:hAnsi="arial" w:cs="arial"/>
          <w:b w:val="0"/>
          <w:i/>
          <w:strike w:val="0"/>
          <w:noProof w:val="0"/>
          <w:color w:val="000000"/>
          <w:position w:val="0"/>
          <w:sz w:val="20"/>
          <w:u w:val="none"/>
          <w:vertAlign w:val="baseline"/>
        </w:rPr>
        <w:t xml:space="preserve">See, e.g., </w:t>
      </w:r>
      <w:bookmarkStart w:id="234" w:name="Bookmark_I67H31NG28T4W70040000400"/>
      <w:bookmarkEnd w:id="234"/>
      <w:hyperlink r:id="rId79" w:history="1">
        <w:r>
          <w:rPr>
            <w:rFonts w:ascii="arial" w:eastAsia="arial" w:hAnsi="arial" w:cs="arial"/>
            <w:b w:val="0"/>
            <w:i/>
            <w:strike w:val="0"/>
            <w:noProof w:val="0"/>
            <w:color w:val="0077CC"/>
            <w:position w:val="0"/>
            <w:sz w:val="20"/>
            <w:u w:val="single"/>
            <w:vertAlign w:val="baseline"/>
          </w:rPr>
          <w:t>Llanas-Trejo v. Garland</w:t>
        </w:r>
      </w:hyperlink>
      <w:hyperlink r:id="rId79" w:history="1">
        <w:r>
          <w:rPr>
            <w:rFonts w:ascii="arial" w:eastAsia="arial" w:hAnsi="arial" w:cs="arial"/>
            <w:b w:val="0"/>
            <w:i/>
            <w:strike w:val="0"/>
            <w:noProof w:val="0"/>
            <w:color w:val="0077CC"/>
            <w:position w:val="0"/>
            <w:sz w:val="20"/>
            <w:u w:val="single"/>
            <w:vertAlign w:val="baseline"/>
          </w:rPr>
          <w:t>, 53 F.4th 458, 463 (8th Cir. 2022)</w:t>
        </w:r>
      </w:hyperlink>
      <w:r>
        <w:rPr>
          <w:rFonts w:ascii="arial" w:eastAsia="arial" w:hAnsi="arial" w:cs="arial"/>
          <w:b w:val="0"/>
          <w:i w:val="0"/>
          <w:strike w:val="0"/>
          <w:noProof w:val="0"/>
          <w:color w:val="000000"/>
          <w:position w:val="0"/>
          <w:sz w:val="20"/>
          <w:u w:val="none"/>
          <w:vertAlign w:val="baseline"/>
        </w:rPr>
        <w:t xml:space="preserve">; </w:t>
      </w:r>
      <w:bookmarkStart w:id="235" w:name="Bookmark_I67H31NG28T4W90010000400"/>
      <w:bookmarkEnd w:id="235"/>
      <w:hyperlink r:id="rId80" w:history="1">
        <w:r>
          <w:rPr>
            <w:rFonts w:ascii="arial" w:eastAsia="arial" w:hAnsi="arial" w:cs="arial"/>
            <w:b w:val="0"/>
            <w:i/>
            <w:strike w:val="0"/>
            <w:noProof w:val="0"/>
            <w:color w:val="0077CC"/>
            <w:position w:val="0"/>
            <w:sz w:val="20"/>
            <w:u w:val="single"/>
            <w:vertAlign w:val="baseline"/>
          </w:rPr>
          <w:t>Meza v. Garland</w:t>
        </w:r>
      </w:hyperlink>
      <w:hyperlink r:id="rId80" w:history="1">
        <w:r>
          <w:rPr>
            <w:rFonts w:ascii="arial" w:eastAsia="arial" w:hAnsi="arial" w:cs="arial"/>
            <w:b w:val="0"/>
            <w:i/>
            <w:strike w:val="0"/>
            <w:noProof w:val="0"/>
            <w:color w:val="0077CC"/>
            <w:position w:val="0"/>
            <w:sz w:val="20"/>
            <w:u w:val="single"/>
            <w:vertAlign w:val="baseline"/>
          </w:rPr>
          <w:t>, 5 F.4th 732, 736-37 (7th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Beth Holliday, Annotation, </w:t>
      </w:r>
      <w:bookmarkStart w:id="236" w:name="Bookmark_I67H31NG28T4W70050000400_2"/>
      <w:bookmarkEnd w:id="236"/>
      <w:r>
        <w:rPr>
          <w:rFonts w:ascii="arial" w:eastAsia="arial" w:hAnsi="arial" w:cs="arial"/>
          <w:b w:val="0"/>
          <w:i/>
          <w:strike w:val="0"/>
          <w:noProof w:val="0"/>
          <w:color w:val="000000"/>
          <w:position w:val="0"/>
          <w:sz w:val="20"/>
          <w:u w:val="none"/>
          <w:vertAlign w:val="baseline"/>
        </w:rPr>
        <w:t xml:space="preserve">Construction and Application of "Good Moral Character" Requirement for Cancellation of Removal of Alien Under </w:t>
      </w:r>
      <w:hyperlink r:id="rId13" w:history="1">
        <w:r>
          <w:rPr>
            <w:rFonts w:ascii="arial" w:eastAsia="arial" w:hAnsi="arial" w:cs="arial"/>
            <w:b w:val="0"/>
            <w:i/>
            <w:strike w:val="0"/>
            <w:noProof w:val="0"/>
            <w:color w:val="0077CC"/>
            <w:position w:val="0"/>
            <w:sz w:val="20"/>
            <w:u w:val="single"/>
            <w:vertAlign w:val="baseline"/>
          </w:rPr>
          <w:t>8 U.S.C.A. § 1229b(b)(1)(B)</w:t>
        </w:r>
      </w:hyperlink>
      <w:r>
        <w:rPr>
          <w:rFonts w:ascii="arial" w:eastAsia="arial" w:hAnsi="arial" w:cs="arial"/>
          <w:b w:val="0"/>
          <w:i w:val="0"/>
          <w:strike w:val="0"/>
          <w:noProof w:val="0"/>
          <w:color w:val="000000"/>
          <w:position w:val="0"/>
          <w:sz w:val="20"/>
          <w:u w:val="none"/>
          <w:vertAlign w:val="baseline"/>
        </w:rPr>
        <w:t xml:space="preserve">, </w:t>
      </w:r>
      <w:bookmarkStart w:id="237" w:name="Bookmark_I67H31NG28T4W90030000400"/>
      <w:bookmarkEnd w:id="237"/>
      <w:r>
        <w:rPr>
          <w:rFonts w:ascii="arial" w:eastAsia="arial" w:hAnsi="arial" w:cs="arial"/>
          <w:b w:val="0"/>
          <w:i w:val="0"/>
          <w:strike w:val="0"/>
          <w:noProof w:val="0"/>
          <w:color w:val="000000"/>
          <w:position w:val="0"/>
          <w:sz w:val="20"/>
          <w:u w:val="none"/>
          <w:vertAlign w:val="baseline"/>
        </w:rPr>
        <w:t xml:space="preserve">87 A.L.R. Fed. 2d 231, § 24 (2014 &amp; Supp. 2022) (collecting cases). </w:t>
      </w:r>
      <w:r>
        <w:rPr>
          <w:rFonts w:ascii="arial" w:eastAsia="arial" w:hAnsi="arial" w:cs="arial"/>
          <w:b/>
          <w:i w:val="0"/>
          <w:strike w:val="0"/>
          <w:noProof w:val="0"/>
          <w:color w:val="000000"/>
          <w:position w:val="0"/>
          <w:sz w:val="20"/>
          <w:u w:val="none"/>
          <w:vertAlign w:val="baseline"/>
        </w:rPr>
        <w:t> [*772] </w:t>
      </w:r>
      <w:r>
        <w:rPr>
          <w:rFonts w:ascii="arial" w:eastAsia="arial" w:hAnsi="arial" w:cs="arial"/>
          <w:b w:val="0"/>
          <w:i w:val="0"/>
          <w:strike w:val="0"/>
          <w:noProof w:val="0"/>
          <w:color w:val="000000"/>
          <w:position w:val="0"/>
          <w:sz w:val="20"/>
          <w:u w:val="none"/>
          <w:vertAlign w:val="baseline"/>
        </w:rPr>
        <w:t xml:space="preserve"> For his part, Hernandez identifies not a single contrary precedent.</w:t>
      </w:r>
    </w:p>
    <w:p>
      <w:pPr>
        <w:keepNext w:val="0"/>
        <w:spacing w:before="240" w:after="0" w:line="260" w:lineRule="atLeast"/>
        <w:ind w:left="0" w:right="0" w:firstLine="0"/>
        <w:jc w:val="both"/>
      </w:pPr>
      <w:bookmarkStart w:id="238" w:name="Bookmark_para_41"/>
      <w:bookmarkEnd w:id="238"/>
      <w:r>
        <w:rPr>
          <w:rFonts w:ascii="arial" w:eastAsia="arial" w:hAnsi="arial" w:cs="arial"/>
          <w:b w:val="0"/>
          <w:i w:val="0"/>
          <w:strike w:val="0"/>
          <w:noProof w:val="0"/>
          <w:color w:val="000000"/>
          <w:position w:val="0"/>
          <w:sz w:val="20"/>
          <w:u w:val="none"/>
          <w:vertAlign w:val="baseline"/>
        </w:rPr>
        <w:t xml:space="preserve">One final point: Hernandez conclusorily asserts that the Board wrongly considered his domestic-assault and drinking-and-driving arrests because those arrests did not lead to convictions. </w:t>
      </w:r>
      <w:bookmarkStart w:id="239" w:name="Bookmark_LNHNREFclscc13"/>
      <w:bookmarkEnd w:id="239"/>
      <w:hyperlink r:id="rId81"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5"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But </w:t>
      </w:r>
      <w:hyperlink r:id="rId18" w:history="1">
        <w:r>
          <w:rPr>
            <w:rFonts w:ascii="arial" w:eastAsia="arial" w:hAnsi="arial" w:cs="arial"/>
            <w:b w:val="0"/>
            <w:i/>
            <w:strike w:val="0"/>
            <w:noProof w:val="0"/>
            <w:color w:val="0077CC"/>
            <w:position w:val="0"/>
            <w:sz w:val="20"/>
            <w:u w:val="single"/>
            <w:vertAlign w:val="baseline"/>
          </w:rPr>
          <w:t>§ 1101(f)</w:t>
        </w:r>
      </w:hyperlink>
      <w:r>
        <w:rPr>
          <w:rFonts w:ascii="arial" w:eastAsia="arial" w:hAnsi="arial" w:cs="arial"/>
          <w:b w:val="0"/>
          <w:i w:val="0"/>
          <w:strike w:val="0"/>
          <w:noProof w:val="0"/>
          <w:color w:val="000000"/>
          <w:position w:val="0"/>
          <w:sz w:val="20"/>
          <w:u w:val="none"/>
          <w:vertAlign w:val="baseline"/>
        </w:rPr>
        <w:t xml:space="preserve"> allows the Board to consider "other reasons" why an immigrant lacks good moral character without limit—so its text places no restriction on the Board's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consideration of arrests. </w:t>
      </w:r>
      <w:hyperlink r:id="rId18" w:history="1">
        <w:r>
          <w:rPr>
            <w:rFonts w:ascii="arial" w:eastAsia="arial" w:hAnsi="arial" w:cs="arial"/>
            <w:b w:val="0"/>
            <w:i/>
            <w:strike w:val="0"/>
            <w:noProof w:val="0"/>
            <w:color w:val="0077CC"/>
            <w:position w:val="0"/>
            <w:sz w:val="20"/>
            <w:u w:val="single"/>
            <w:vertAlign w:val="baseline"/>
          </w:rPr>
          <w:t>8 U.S.C. § 1101(f)</w:t>
        </w:r>
      </w:hyperlink>
      <w:r>
        <w:rPr>
          <w:rFonts w:ascii="arial" w:eastAsia="arial" w:hAnsi="arial" w:cs="arial"/>
          <w:b w:val="0"/>
          <w:i w:val="0"/>
          <w:strike w:val="0"/>
          <w:noProof w:val="0"/>
          <w:color w:val="000000"/>
          <w:position w:val="0"/>
          <w:sz w:val="20"/>
          <w:u w:val="none"/>
          <w:vertAlign w:val="baseline"/>
        </w:rPr>
        <w:t xml:space="preserve">. The Board's precedent also permits it to consider the "unfavorable conduct" underlying an arrest—as long as it accounts for all of the circumstances, including an immigrant's assertions of innocence. </w:t>
      </w:r>
      <w:r>
        <w:rPr>
          <w:rFonts w:ascii="arial" w:eastAsia="arial" w:hAnsi="arial" w:cs="arial"/>
          <w:b w:val="0"/>
          <w:i/>
          <w:strike w:val="0"/>
          <w:noProof w:val="0"/>
          <w:color w:val="000000"/>
          <w:position w:val="0"/>
          <w:sz w:val="20"/>
          <w:u w:val="none"/>
          <w:vertAlign w:val="baseline"/>
        </w:rPr>
        <w:t xml:space="preserve">See </w:t>
      </w:r>
      <w:hyperlink r:id="rId82" w:history="1">
        <w:r>
          <w:rPr>
            <w:rFonts w:ascii="arial" w:eastAsia="arial" w:hAnsi="arial" w:cs="arial"/>
            <w:b w:val="0"/>
            <w:i/>
            <w:strike w:val="0"/>
            <w:noProof w:val="0"/>
            <w:color w:val="0077CC"/>
            <w:position w:val="0"/>
            <w:sz w:val="20"/>
            <w:u w:val="single"/>
            <w:vertAlign w:val="baseline"/>
          </w:rPr>
          <w:t>Matter of Thomas</w:t>
        </w:r>
      </w:hyperlink>
      <w:hyperlink r:id="rId82" w:history="1">
        <w:r>
          <w:rPr>
            <w:rFonts w:ascii="arial" w:eastAsia="arial" w:hAnsi="arial" w:cs="arial"/>
            <w:b w:val="0"/>
            <w:i/>
            <w:strike w:val="0"/>
            <w:noProof w:val="0"/>
            <w:color w:val="0077CC"/>
            <w:position w:val="0"/>
            <w:sz w:val="20"/>
            <w:u w:val="single"/>
            <w:vertAlign w:val="baseline"/>
          </w:rPr>
          <w:t>, 21 I. &amp; N. Dec. 20, 23-24 (B.I.A. 1995)</w:t>
        </w:r>
      </w:hyperlink>
      <w:r>
        <w:rPr>
          <w:rFonts w:ascii="arial" w:eastAsia="arial" w:hAnsi="arial" w:cs="arial"/>
          <w:b w:val="0"/>
          <w:i w:val="0"/>
          <w:strike w:val="0"/>
          <w:noProof w:val="0"/>
          <w:color w:val="000000"/>
          <w:position w:val="0"/>
          <w:sz w:val="20"/>
          <w:u w:val="none"/>
          <w:vertAlign w:val="baseline"/>
        </w:rPr>
        <w:t xml:space="preserve">. Yet we need not decide how arrests can factor into this analysis. </w:t>
      </w:r>
      <w:bookmarkStart w:id="240" w:name="Bookmark_I67H31NG2N1R710010000400"/>
      <w:bookmarkEnd w:id="240"/>
      <w:r>
        <w:rPr>
          <w:rFonts w:ascii="arial" w:eastAsia="arial" w:hAnsi="arial" w:cs="arial"/>
          <w:b w:val="0"/>
          <w:i w:val="0"/>
          <w:strike w:val="0"/>
          <w:noProof w:val="0"/>
          <w:color w:val="000000"/>
          <w:position w:val="0"/>
          <w:sz w:val="20"/>
          <w:u w:val="none"/>
          <w:vertAlign w:val="baseline"/>
        </w:rPr>
        <w:t xml:space="preserve">The immigration judge's opinion (which the Board adopted) relied mainly on Hernandez's convictions. And Hernandez's single sentence on this topic did not make a sufficiently "coherent argument" to preserve it for our review. </w:t>
      </w:r>
      <w:bookmarkStart w:id="241" w:name="Bookmark_I67H31NG28T4W90050000400"/>
      <w:bookmarkEnd w:id="241"/>
      <w:hyperlink r:id="rId83" w:history="1">
        <w:r>
          <w:rPr>
            <w:rFonts w:ascii="arial" w:eastAsia="arial" w:hAnsi="arial" w:cs="arial"/>
            <w:b w:val="0"/>
            <w:i/>
            <w:strike w:val="0"/>
            <w:noProof w:val="0"/>
            <w:color w:val="0077CC"/>
            <w:position w:val="0"/>
            <w:sz w:val="20"/>
            <w:u w:val="single"/>
            <w:vertAlign w:val="baseline"/>
          </w:rPr>
          <w:t>Mbonga v. Garland</w:t>
        </w:r>
      </w:hyperlink>
      <w:hyperlink r:id="rId83" w:history="1">
        <w:r>
          <w:rPr>
            <w:rFonts w:ascii="arial" w:eastAsia="arial" w:hAnsi="arial" w:cs="arial"/>
            <w:b w:val="0"/>
            <w:i/>
            <w:strike w:val="0"/>
            <w:noProof w:val="0"/>
            <w:color w:val="0077CC"/>
            <w:position w:val="0"/>
            <w:sz w:val="20"/>
            <w:u w:val="single"/>
            <w:vertAlign w:val="baseline"/>
          </w:rPr>
          <w:t>, 18 F.4th 889, 898 (6th Cir.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2" w:name="Bookmark_para_42"/>
      <w:bookmarkEnd w:id="242"/>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243" w:name="Bookmark_para_43"/>
      <w:bookmarkEnd w:id="243"/>
      <w:r>
        <w:rPr>
          <w:rFonts w:ascii="arial" w:eastAsia="arial" w:hAnsi="arial" w:cs="arial"/>
          <w:b w:val="0"/>
          <w:i w:val="0"/>
          <w:strike w:val="0"/>
          <w:noProof w:val="0"/>
          <w:color w:val="000000"/>
          <w:position w:val="0"/>
          <w:sz w:val="20"/>
          <w:u w:val="none"/>
          <w:vertAlign w:val="baseline"/>
        </w:rPr>
        <w:t xml:space="preserve">In his statement of issues and at the end of his brief, Hernandez alternatively asserts that the Board at least should have allowed him to depart the United States voluntarily. </w:t>
      </w:r>
      <w:bookmarkStart w:id="244" w:name="Bookmark_LNHNREFclscc14"/>
      <w:bookmarkEnd w:id="244"/>
      <w:hyperlink r:id="rId84"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6"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immigration laws permit immigrants to seek voluntary departure in lieu of removal at the conclusion of their removal proceedings. </w:t>
      </w:r>
      <w:bookmarkStart w:id="245" w:name="Bookmark_I67H31NG2N1R710030000400"/>
      <w:bookmarkEnd w:id="24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8 U.S.C. § 1229c(b)(1)</w:t>
        </w:r>
      </w:hyperlink>
      <w:r>
        <w:rPr>
          <w:rFonts w:ascii="arial" w:eastAsia="arial" w:hAnsi="arial" w:cs="arial"/>
          <w:b w:val="0"/>
          <w:i w:val="0"/>
          <w:strike w:val="0"/>
          <w:noProof w:val="0"/>
          <w:color w:val="000000"/>
          <w:position w:val="0"/>
          <w:sz w:val="20"/>
          <w:u w:val="none"/>
          <w:vertAlign w:val="baseline"/>
        </w:rPr>
        <w:t xml:space="preserve">. </w:t>
      </w:r>
      <w:bookmarkStart w:id="246" w:name="Bookmark_I67H31NG2N1R710050000400"/>
      <w:bookmarkEnd w:id="246"/>
      <w:r>
        <w:rPr>
          <w:rFonts w:ascii="arial" w:eastAsia="arial" w:hAnsi="arial" w:cs="arial"/>
          <w:b w:val="0"/>
          <w:i w:val="0"/>
          <w:strike w:val="0"/>
          <w:noProof w:val="0"/>
          <w:color w:val="000000"/>
          <w:position w:val="0"/>
          <w:sz w:val="20"/>
          <w:u w:val="none"/>
          <w:vertAlign w:val="baseline"/>
        </w:rPr>
        <w:t xml:space="preserve">But those laws likewise limit our jurisdiction over the discretionary refusal to grant this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 1229c(f)</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7" w:name="Bookmark_I67H31NG2N1R710020000400"/>
      <w:bookmarkEnd w:id="247"/>
      <w:hyperlink r:id="rId85" w:history="1">
        <w:r>
          <w:rPr>
            <w:rFonts w:ascii="arial" w:eastAsia="arial" w:hAnsi="arial" w:cs="arial"/>
            <w:b w:val="0"/>
            <w:i/>
            <w:strike w:val="0"/>
            <w:noProof w:val="0"/>
            <w:color w:val="0077CC"/>
            <w:position w:val="0"/>
            <w:sz w:val="20"/>
            <w:u w:val="single"/>
            <w:vertAlign w:val="baseline"/>
          </w:rPr>
          <w:t>Singh v. Holder</w:t>
        </w:r>
      </w:hyperlink>
      <w:hyperlink r:id="rId85" w:history="1">
        <w:r>
          <w:rPr>
            <w:rFonts w:ascii="arial" w:eastAsia="arial" w:hAnsi="arial" w:cs="arial"/>
            <w:b w:val="0"/>
            <w:i/>
            <w:strike w:val="0"/>
            <w:noProof w:val="0"/>
            <w:color w:val="0077CC"/>
            <w:position w:val="0"/>
            <w:sz w:val="20"/>
            <w:u w:val="single"/>
            <w:vertAlign w:val="baseline"/>
          </w:rPr>
          <w:t>, 326 F. App'x 378, 381-82 (6th Cir. 2009)</w:t>
        </w:r>
      </w:hyperlink>
      <w:r>
        <w:rPr>
          <w:rFonts w:ascii="arial" w:eastAsia="arial" w:hAnsi="arial" w:cs="arial"/>
          <w:b w:val="0"/>
          <w:i w:val="0"/>
          <w:strike w:val="0"/>
          <w:noProof w:val="0"/>
          <w:color w:val="000000"/>
          <w:position w:val="0"/>
          <w:sz w:val="20"/>
          <w:u w:val="none"/>
          <w:vertAlign w:val="baseline"/>
        </w:rPr>
        <w:t xml:space="preserve">. </w:t>
      </w:r>
      <w:bookmarkStart w:id="248" w:name="Bookmark_I67H31NG2N1R710050000400_2"/>
      <w:bookmarkEnd w:id="248"/>
      <w:r>
        <w:rPr>
          <w:rFonts w:ascii="arial" w:eastAsia="arial" w:hAnsi="arial" w:cs="arial"/>
          <w:b w:val="0"/>
          <w:i w:val="0"/>
          <w:strike w:val="0"/>
          <w:noProof w:val="0"/>
          <w:color w:val="000000"/>
          <w:position w:val="0"/>
          <w:sz w:val="20"/>
          <w:u w:val="none"/>
          <w:vertAlign w:val="baseline"/>
        </w:rPr>
        <w:t xml:space="preserve">And while we may have the authority to review legal questions embedded in that denial, </w:t>
      </w:r>
      <w:r>
        <w:rPr>
          <w:rFonts w:ascii="arial" w:eastAsia="arial" w:hAnsi="arial" w:cs="arial"/>
          <w:b w:val="0"/>
          <w:i/>
          <w:strike w:val="0"/>
          <w:noProof w:val="0"/>
          <w:color w:val="000000"/>
          <w:position w:val="0"/>
          <w:sz w:val="20"/>
          <w:u w:val="none"/>
          <w:vertAlign w:val="baseline"/>
        </w:rPr>
        <w:t xml:space="preserve">see </w:t>
      </w:r>
      <w:bookmarkStart w:id="249" w:name="Bookmark_I67H31NG2N1R710040000400"/>
      <w:bookmarkEnd w:id="249"/>
      <w:hyperlink r:id="rId86" w:history="1">
        <w:r>
          <w:rPr>
            <w:rFonts w:ascii="arial" w:eastAsia="arial" w:hAnsi="arial" w:cs="arial"/>
            <w:b w:val="0"/>
            <w:i/>
            <w:strike w:val="0"/>
            <w:noProof w:val="0"/>
            <w:color w:val="0077CC"/>
            <w:position w:val="0"/>
            <w:sz w:val="20"/>
            <w:u w:val="single"/>
            <w:vertAlign w:val="baseline"/>
          </w:rPr>
          <w:t>Patel v. Gonzales</w:t>
        </w:r>
      </w:hyperlink>
      <w:hyperlink r:id="rId86" w:history="1">
        <w:r>
          <w:rPr>
            <w:rFonts w:ascii="arial" w:eastAsia="arial" w:hAnsi="arial" w:cs="arial"/>
            <w:b w:val="0"/>
            <w:i/>
            <w:strike w:val="0"/>
            <w:noProof w:val="0"/>
            <w:color w:val="0077CC"/>
            <w:position w:val="0"/>
            <w:sz w:val="20"/>
            <w:u w:val="single"/>
            <w:vertAlign w:val="baseline"/>
          </w:rPr>
          <w:t>, 470 F.3d 216, 219 (6th Cir. 2006)</w:t>
        </w:r>
      </w:hyperlink>
      <w:r>
        <w:rPr>
          <w:rFonts w:ascii="arial" w:eastAsia="arial" w:hAnsi="arial" w:cs="arial"/>
          <w:b w:val="0"/>
          <w:i w:val="0"/>
          <w:strike w:val="0"/>
          <w:noProof w:val="0"/>
          <w:color w:val="000000"/>
          <w:position w:val="0"/>
          <w:sz w:val="20"/>
          <w:u w:val="none"/>
          <w:vertAlign w:val="baseline"/>
        </w:rPr>
        <w:t xml:space="preserve">, the conclusory arguments in Hernandez's brief do not identify any such questions, </w:t>
      </w:r>
      <w:r>
        <w:rPr>
          <w:rFonts w:ascii="arial" w:eastAsia="arial" w:hAnsi="arial" w:cs="arial"/>
          <w:b w:val="0"/>
          <w:i/>
          <w:strike w:val="0"/>
          <w:noProof w:val="0"/>
          <w:color w:val="000000"/>
          <w:position w:val="0"/>
          <w:sz w:val="20"/>
          <w:u w:val="none"/>
          <w:vertAlign w:val="baseline"/>
        </w:rPr>
        <w:t xml:space="preserve">see </w:t>
      </w:r>
      <w:bookmarkStart w:id="250" w:name="Bookmark_I67H31NH28T4WG0010000400"/>
      <w:bookmarkEnd w:id="250"/>
      <w:hyperlink r:id="rId83" w:history="1">
        <w:r>
          <w:rPr>
            <w:rFonts w:ascii="arial" w:eastAsia="arial" w:hAnsi="arial" w:cs="arial"/>
            <w:b w:val="0"/>
            <w:i/>
            <w:strike w:val="0"/>
            <w:noProof w:val="0"/>
            <w:color w:val="0077CC"/>
            <w:position w:val="0"/>
            <w:sz w:val="20"/>
            <w:u w:val="single"/>
            <w:vertAlign w:val="baseline"/>
          </w:rPr>
          <w:t>Mbonga</w:t>
        </w:r>
      </w:hyperlink>
      <w:hyperlink r:id="rId83" w:history="1">
        <w:r>
          <w:rPr>
            <w:rFonts w:ascii="arial" w:eastAsia="arial" w:hAnsi="arial" w:cs="arial"/>
            <w:b w:val="0"/>
            <w:i/>
            <w:strike w:val="0"/>
            <w:noProof w:val="0"/>
            <w:color w:val="0077CC"/>
            <w:position w:val="0"/>
            <w:sz w:val="20"/>
            <w:u w:val="single"/>
            <w:vertAlign w:val="baseline"/>
          </w:rPr>
          <w:t>, 18 F.4th at 898</w:t>
        </w:r>
      </w:hyperlink>
      <w:r>
        <w:rPr>
          <w:rFonts w:ascii="arial" w:eastAsia="arial" w:hAnsi="arial" w:cs="arial"/>
          <w:b w:val="0"/>
          <w:i w:val="0"/>
          <w:strike w:val="0"/>
          <w:noProof w:val="0"/>
          <w:color w:val="000000"/>
          <w:position w:val="0"/>
          <w:sz w:val="20"/>
          <w:u w:val="none"/>
          <w:vertAlign w:val="baseline"/>
        </w:rPr>
        <w:t xml:space="preserve">. </w:t>
      </w:r>
      <w:bookmarkStart w:id="251" w:name="Bookmark_I67H31NH28T4WG0040000400"/>
      <w:bookmarkEnd w:id="251"/>
      <w:r>
        <w:rPr>
          <w:rFonts w:ascii="arial" w:eastAsia="arial" w:hAnsi="arial" w:cs="arial"/>
          <w:b w:val="0"/>
          <w:i w:val="0"/>
          <w:strike w:val="0"/>
          <w:noProof w:val="0"/>
          <w:color w:val="000000"/>
          <w:position w:val="0"/>
          <w:sz w:val="20"/>
          <w:u w:val="none"/>
          <w:vertAlign w:val="baseline"/>
        </w:rPr>
        <w:t>Indeed, his counsel told the immigration judge that he did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"not seek voluntary departure in any regard." A.R. 174. Even if he had adequately briefed the issue,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then, his failure to request this relief in his removal proceedings would also bar our consideration of any legal questions that he raised. </w:t>
      </w:r>
      <w:r>
        <w:rPr>
          <w:rFonts w:ascii="arial" w:eastAsia="arial" w:hAnsi="arial" w:cs="arial"/>
          <w:b w:val="0"/>
          <w:i/>
          <w:strike w:val="0"/>
          <w:noProof w:val="0"/>
          <w:color w:val="000000"/>
          <w:position w:val="0"/>
          <w:sz w:val="20"/>
          <w:u w:val="none"/>
          <w:vertAlign w:val="baseline"/>
        </w:rPr>
        <w:t xml:space="preserve">See </w:t>
      </w:r>
      <w:bookmarkStart w:id="252" w:name="Bookmark_I67H31NH28T4WG0030000400"/>
      <w:bookmarkEnd w:id="252"/>
      <w:hyperlink r:id="rId87" w:history="1">
        <w:r>
          <w:rPr>
            <w:rFonts w:ascii="arial" w:eastAsia="arial" w:hAnsi="arial" w:cs="arial"/>
            <w:b w:val="0"/>
            <w:i/>
            <w:strike w:val="0"/>
            <w:noProof w:val="0"/>
            <w:color w:val="0077CC"/>
            <w:position w:val="0"/>
            <w:sz w:val="20"/>
            <w:u w:val="single"/>
            <w:vertAlign w:val="baseline"/>
          </w:rPr>
          <w:t>Singh v. Garland</w:t>
        </w:r>
      </w:hyperlink>
      <w:hyperlink r:id="rId87" w:history="1">
        <w:r>
          <w:rPr>
            <w:rFonts w:ascii="arial" w:eastAsia="arial" w:hAnsi="arial" w:cs="arial"/>
            <w:b w:val="0"/>
            <w:i/>
            <w:strike w:val="0"/>
            <w:noProof w:val="0"/>
            <w:color w:val="0077CC"/>
            <w:position w:val="0"/>
            <w:sz w:val="20"/>
            <w:u w:val="single"/>
            <w:vertAlign w:val="baseline"/>
          </w:rPr>
          <w:t>, 2022 U.S. App. LEXIS 25994, 2022 WL 4283249, at *8 (6th Cir. Sept. 16,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3" w:name="Bookmark_para_44"/>
      <w:bookmarkEnd w:id="253"/>
      <w:r>
        <w:rPr>
          <w:rFonts w:ascii="arial" w:eastAsia="arial" w:hAnsi="arial" w:cs="arial"/>
          <w:b w:val="0"/>
          <w:i w:val="0"/>
          <w:strike w:val="0"/>
          <w:noProof w:val="0"/>
          <w:color w:val="000000"/>
          <w:position w:val="0"/>
          <w:sz w:val="20"/>
          <w:u w:val="none"/>
          <w:vertAlign w:val="baseline"/>
        </w:rPr>
        <w:t>We deny Hernandez's petition for review.</w:t>
      </w:r>
    </w:p>
    <w:p/>
    <w:p>
      <w:pPr>
        <w:ind w:left="200"/>
      </w:pPr>
      <w:r>
        <w:br/>
      </w:r>
      <w:r>
        <w:pict>
          <v:line id="_x0000_s105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Hernandez v. Garland, 59 F.4th 762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statutes-legislation&amp;id=urn:contentItem:8S6M-T0S2-D6RV-H48H-00000-00&amp;context=1519360" TargetMode="External" /><Relationship Id="rId12" Type="http://schemas.openxmlformats.org/officeDocument/2006/relationships/hyperlink" Target="https://advance.lexis.com/api/document?collection=cases&amp;id=urn:contentItem:67GR-NFF1-FH4C-X3B1-00000-00&amp;context=1519360&amp;link=LNHNREFclscc2" TargetMode="External" /><Relationship Id="rId13" Type="http://schemas.openxmlformats.org/officeDocument/2006/relationships/hyperlink" Target="https://advance.lexis.com/api/document?collection=statutes-legislation&amp;id=urn:contentItem:8S6M-T0S2-D6RV-H487-00000-00&amp;context=1519360" TargetMode="External" /><Relationship Id="rId14" Type="http://schemas.openxmlformats.org/officeDocument/2006/relationships/hyperlink" Target="https://advance.lexis.com/api/document?collection=cases&amp;id=urn:contentItem:67GR-NFF1-FH4C-X3B1-00000-00&amp;context=1519360&amp;link=LNHNREFclscc3" TargetMode="External" /><Relationship Id="rId15" Type="http://schemas.openxmlformats.org/officeDocument/2006/relationships/hyperlink" Target="https://advance.lexis.com/api/document?collection=statutes-legislation&amp;id=urn:contentItem:8S6M-T0S2-D6RV-H46X-00000-00&amp;context=1519360" TargetMode="External" /><Relationship Id="rId16" Type="http://schemas.openxmlformats.org/officeDocument/2006/relationships/hyperlink" Target="https://advance.lexis.com/api/document?collection=statutes-legislation&amp;id=urn:contentItem:8S6M-T0S2-D6RV-H483-00000-00&amp;context=1519360" TargetMode="External" /><Relationship Id="rId17" Type="http://schemas.openxmlformats.org/officeDocument/2006/relationships/hyperlink" Target="https://advance.lexis.com/api/document?collection=cases&amp;id=urn:contentItem:67GR-NFF1-FH4C-X3B1-00000-00&amp;context=1519360&amp;link=LNHNREFclscc4" TargetMode="External" /><Relationship Id="rId18" Type="http://schemas.openxmlformats.org/officeDocument/2006/relationships/hyperlink" Target="https://advance.lexis.com/api/document?collection=statutes-legislation&amp;id=urn:contentItem:67TN-3M73-GXF6-837V-00000-00&amp;context=1519360" TargetMode="External" /><Relationship Id="rId19" Type="http://schemas.openxmlformats.org/officeDocument/2006/relationships/hyperlink" Target="https://advance.lexis.com/api/document?collection=cases&amp;id=urn:contentItem:67GR-NFF1-FH4C-X3B1-00000-00&amp;context=1519360&amp;link=LNHNREFclscc5"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7GR-NFF1-FH4C-X3B1-00000-00&amp;context=1519360&amp;link=LNHNREFclscc6" TargetMode="External" /><Relationship Id="rId21" Type="http://schemas.openxmlformats.org/officeDocument/2006/relationships/hyperlink" Target="https://advance.lexis.com/api/document?collection=cases&amp;id=urn:contentItem:67GR-NFF1-FH4C-X3B1-00000-00&amp;context=1519360&amp;link=LNHNREFclscc7" TargetMode="External" /><Relationship Id="rId22" Type="http://schemas.openxmlformats.org/officeDocument/2006/relationships/hyperlink" Target="https://advance.lexis.com/api/document?collection=cases&amp;id=urn:contentItem:67GR-NFF1-FH4C-X3B1-00000-00&amp;context=1519360&amp;link=LNHNREFclscc8" TargetMode="External" /><Relationship Id="rId23" Type="http://schemas.openxmlformats.org/officeDocument/2006/relationships/hyperlink" Target="https://advance.lexis.com/api/document?collection=cases&amp;id=urn:contentItem:67GR-NFF1-FH4C-X3B1-00000-00&amp;context=1519360&amp;link=LNHNREFclscc9" TargetMode="External" /><Relationship Id="rId24" Type="http://schemas.openxmlformats.org/officeDocument/2006/relationships/hyperlink" Target="https://advance.lexis.com/api/document?collection=cases&amp;id=urn:contentItem:67GR-NFF1-FH4C-X3B1-00000-00&amp;context=1519360&amp;link=LNHNREFclscc10" TargetMode="External" /><Relationship Id="rId25" Type="http://schemas.openxmlformats.org/officeDocument/2006/relationships/hyperlink" Target="https://advance.lexis.com/api/document?collection=cases&amp;id=urn:contentItem:67GR-NFF1-FH4C-X3B1-00000-00&amp;context=1519360&amp;link=LNHNREFclscc11" TargetMode="External" /><Relationship Id="rId26" Type="http://schemas.openxmlformats.org/officeDocument/2006/relationships/hyperlink" Target="https://advance.lexis.com/api/document?collection=administrative-codes&amp;id=urn:contentItem:5YYH-WX61-DYB7-W1KX-00000-00&amp;context=1519360" TargetMode="External" /><Relationship Id="rId27" Type="http://schemas.openxmlformats.org/officeDocument/2006/relationships/hyperlink" Target="https://advance.lexis.com/api/document?collection=cases&amp;id=urn:contentItem:67GR-NFF1-FH4C-X3B1-00000-00&amp;context=1519360&amp;link=LNHNREFclscc12" TargetMode="External" /><Relationship Id="rId28" Type="http://schemas.openxmlformats.org/officeDocument/2006/relationships/hyperlink" Target="https://advance.lexis.com/api/document?collection=cases&amp;id=urn:contentItem:67GR-NFF1-FH4C-X3B1-00000-00&amp;context=1519360&amp;link=LNHNREFclscc13" TargetMode="External" /><Relationship Id="rId29" Type="http://schemas.openxmlformats.org/officeDocument/2006/relationships/hyperlink" Target="https://advance.lexis.com/api/document?collection=cases&amp;id=urn:contentItem:67GR-NFF1-FH4C-X3B1-00000-00&amp;context=1519360&amp;link=LNHNREFclscc14" TargetMode="External" /><Relationship Id="rId3" Type="http://schemas.openxmlformats.org/officeDocument/2006/relationships/fontTable" Target="fontTable.xml" /><Relationship Id="rId30" Type="http://schemas.openxmlformats.org/officeDocument/2006/relationships/hyperlink" Target="https://advance.lexis.com/api/document?collection=statutes-legislation&amp;id=urn:contentItem:8S6M-T0S2-D6RV-H488-00000-00&amp;context=1519360" TargetMode="External" /><Relationship Id="rId31" Type="http://schemas.openxmlformats.org/officeDocument/2006/relationships/hyperlink" Target="https://advance.lexis.com/api/document?collection=cases&amp;id=urn:contentItem:67GR-NFF1-FH4C-X3B1-00000-00&amp;context=1519360&amp;link=clscc1" TargetMode="External" /><Relationship Id="rId32" Type="http://schemas.openxmlformats.org/officeDocument/2006/relationships/image" Target="media/image3.png" /><Relationship Id="rId33" Type="http://schemas.openxmlformats.org/officeDocument/2006/relationships/hyperlink" Target="https://advance.lexis.com/api/document?collection=cases&amp;id=urn:contentItem:65G0-5H11-JP9P-G2X5-00000-00&amp;context=1519360" TargetMode="External" /><Relationship Id="rId34" Type="http://schemas.openxmlformats.org/officeDocument/2006/relationships/hyperlink" Target="https://advance.lexis.com/api/document?collection=cases&amp;id=urn:contentItem:5YGT-1GM1-F7VM-S2K7-00000-00&amp;context=1519360" TargetMode="External" /><Relationship Id="rId35" Type="http://schemas.openxmlformats.org/officeDocument/2006/relationships/hyperlink" Target="https://advance.lexis.com/api/document?collection=cases&amp;id=urn:contentItem:67GR-NFF1-FH4C-X3B1-00000-00&amp;context=1519360&amp;link=clscc2" TargetMode="External" /><Relationship Id="rId36" Type="http://schemas.openxmlformats.org/officeDocument/2006/relationships/hyperlink" Target="https://advance.lexis.com/api/document?collection=cases&amp;id=urn:contentItem:61PN-GT01-DYMS-61PX-00000-00&amp;context=1519360" TargetMode="External" /><Relationship Id="rId37" Type="http://schemas.openxmlformats.org/officeDocument/2006/relationships/hyperlink" Target="https://advance.lexis.com/api/document?collection=statutes-legislation&amp;id=urn:contentItem:8S6M-T0S2-D6RV-H486-00000-00&amp;context=1519360" TargetMode="External" /><Relationship Id="rId38" Type="http://schemas.openxmlformats.org/officeDocument/2006/relationships/hyperlink" Target="https://advance.lexis.com/api/document?collection=cases&amp;id=urn:contentItem:67GR-NFF1-FH4C-X3B1-00000-00&amp;context=1519360&amp;link=clscc3" TargetMode="External" /><Relationship Id="rId39" Type="http://schemas.openxmlformats.org/officeDocument/2006/relationships/hyperlink" Target="https://advance.lexis.com/api/document?collection=administrative-codes&amp;id=urn:contentItem:6C64-FTX3-RV16-D05J-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67GR-NFF1-FH4C-X3B1-00000-00&amp;context=1519360&amp;link=clscc4" TargetMode="External" /><Relationship Id="rId41" Type="http://schemas.openxmlformats.org/officeDocument/2006/relationships/hyperlink" Target="https://advance.lexis.com/api/document?collection=cases&amp;id=urn:contentItem:67GR-NFF1-FH4C-X3B1-00000-00&amp;context=1519360&amp;link=clscc5" TargetMode="External" /><Relationship Id="rId42" Type="http://schemas.openxmlformats.org/officeDocument/2006/relationships/hyperlink" Target="https://advance.lexis.com/api/document?collection=cases&amp;id=urn:contentItem:67GR-NFF1-FH4C-X3B1-00000-00&amp;context=1519360&amp;link=clscc6" TargetMode="External" /><Relationship Id="rId43" Type="http://schemas.openxmlformats.org/officeDocument/2006/relationships/hyperlink" Target="https://advance.lexis.com/api/document?collection=cases&amp;id=urn:contentItem:67GR-NFF1-FH4C-X3B1-00000-00&amp;context=1519360&amp;link=clscc7" TargetMode="External" /><Relationship Id="rId44" Type="http://schemas.openxmlformats.org/officeDocument/2006/relationships/hyperlink" Target="https://advance.lexis.com/api/document?collection=cases&amp;id=urn:contentItem:5RT3-0PX1-F04K-F00G-00000-00&amp;context=1519360" TargetMode="External" /><Relationship Id="rId45" Type="http://schemas.openxmlformats.org/officeDocument/2006/relationships/hyperlink" Target="https://advance.lexis.com/api/document?collection=cases&amp;id=urn:contentItem:67GR-NFF1-FH4C-X3B1-00000-00&amp;context=1519360&amp;link=clscc8" TargetMode="External" /><Relationship Id="rId46" Type="http://schemas.openxmlformats.org/officeDocument/2006/relationships/hyperlink" Target="https://advance.lexis.com/api/document?collection=cases&amp;id=urn:contentItem:63YC-3SB1-F30T-B1HB-00000-00&amp;context=1519360" TargetMode="External" /><Relationship Id="rId47" Type="http://schemas.openxmlformats.org/officeDocument/2006/relationships/hyperlink" Target="https://advance.lexis.com/api/document?collection=cases&amp;id=urn:contentItem:61PW-THX1-FG12-64SR-00000-00&amp;context=1519360" TargetMode="External" /><Relationship Id="rId48" Type="http://schemas.openxmlformats.org/officeDocument/2006/relationships/hyperlink" Target="https://advance.lexis.com/api/document?collection=cases&amp;id=urn:contentItem:5TSJ-2FY1-FCYK-214K-00000-00&amp;context=1519360" TargetMode="External" /><Relationship Id="rId49" Type="http://schemas.openxmlformats.org/officeDocument/2006/relationships/hyperlink" Target="https://advance.lexis.com/api/document?collection=cases&amp;id=urn:contentItem:47RJ-92H0-0038-X556-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administrative-materials&amp;id=urn:contentItem:4TJ7-RYM0-01KR-V030-00000-00&amp;context=1519360" TargetMode="External" /><Relationship Id="rId51" Type="http://schemas.openxmlformats.org/officeDocument/2006/relationships/hyperlink" Target="https://advance.lexis.com/api/document?collection=cases&amp;id=urn:contentItem:6527-WW71-JGBH-B2YC-00000-00&amp;context=1519360" TargetMode="External" /><Relationship Id="rId52" Type="http://schemas.openxmlformats.org/officeDocument/2006/relationships/hyperlink" Target="https://advance.lexis.com/api/document?collection=cases&amp;id=urn:contentItem:60MK-XPC1-JS5Y-B460-00000-00&amp;context=1519360" TargetMode="External" /><Relationship Id="rId53" Type="http://schemas.openxmlformats.org/officeDocument/2006/relationships/hyperlink" Target="https://advance.lexis.com/api/document?collection=cases&amp;id=urn:contentItem:55D0-DN11-F04K-H00G-00000-00&amp;context=1519360" TargetMode="External" /><Relationship Id="rId54" Type="http://schemas.openxmlformats.org/officeDocument/2006/relationships/hyperlink" Target="https://advance.lexis.com/api/document?collection=cases&amp;id=urn:contentItem:3XT4-0120-0038-X541-00000-00&amp;context=1519360" TargetMode="External" /><Relationship Id="rId55" Type="http://schemas.openxmlformats.org/officeDocument/2006/relationships/hyperlink" Target="https://advance.lexis.com/api/document?collection=cases&amp;id=urn:contentItem:4F98-0CY0-0038-X3SC-00000-00&amp;context=1519360" TargetMode="External" /><Relationship Id="rId56" Type="http://schemas.openxmlformats.org/officeDocument/2006/relationships/hyperlink" Target="https://advance.lexis.com/api/document?collection=cases&amp;id=urn:contentItem:45N5-8580-0038-X0C8-00000-00&amp;context=1519360" TargetMode="External" /><Relationship Id="rId57" Type="http://schemas.openxmlformats.org/officeDocument/2006/relationships/hyperlink" Target="https://advance.lexis.com/api/document?collection=cases&amp;id=urn:contentItem:3RG4-3430-0038-X163-00000-00&amp;context=1519360" TargetMode="External" /><Relationship Id="rId58" Type="http://schemas.openxmlformats.org/officeDocument/2006/relationships/hyperlink" Target="https://advance.lexis.com/api/document?collection=cases&amp;id=urn:contentItem:546G-H4Y1-F04K-R002-00000-00&amp;context=1519360" TargetMode="External" /><Relationship Id="rId59" Type="http://schemas.openxmlformats.org/officeDocument/2006/relationships/hyperlink" Target="https://advance.lexis.com/api/document?collection=cases&amp;id=urn:contentItem:4THV-P7K0-TXFX-8341-00000-00&amp;context=1519360" TargetMode="External" /><Relationship Id="rId6" Type="http://schemas.openxmlformats.org/officeDocument/2006/relationships/footer" Target="footer2.xml" /><Relationship Id="rId60" Type="http://schemas.openxmlformats.org/officeDocument/2006/relationships/hyperlink" Target="https://advance.lexis.com/api/document?collection=cases&amp;id=urn:contentItem:4N2N-SJH0-TVRV-B214-00000-00&amp;context=1519360" TargetMode="External" /><Relationship Id="rId61" Type="http://schemas.openxmlformats.org/officeDocument/2006/relationships/hyperlink" Target="https://advance.lexis.com/api/document?collection=cases&amp;id=urn:contentItem:5XV7-WRF1-JT42-S2WV-00000-00&amp;context=1519360" TargetMode="External" /><Relationship Id="rId62" Type="http://schemas.openxmlformats.org/officeDocument/2006/relationships/hyperlink" Target="https://advance.lexis.com/api/document?collection=cases&amp;id=urn:contentItem:67GR-NFF1-FH4C-X3B1-00000-00&amp;context=1519360&amp;link=clscc9" TargetMode="External" /><Relationship Id="rId63" Type="http://schemas.openxmlformats.org/officeDocument/2006/relationships/hyperlink" Target="https://advance.lexis.com/api/document?collection=administrative-materials&amp;id=urn:contentItem:5XC0-J501-JGHR-M1NP-00000-00&amp;context=1519360" TargetMode="External" /><Relationship Id="rId64" Type="http://schemas.openxmlformats.org/officeDocument/2006/relationships/hyperlink" Target="https://advance.lexis.com/api/document?collection=statutes-legislation&amp;id=urn:contentItem:8S6M-T0S2-D6RV-H4DG-00000-00&amp;context=1519360" TargetMode="External" /><Relationship Id="rId65" Type="http://schemas.openxmlformats.org/officeDocument/2006/relationships/hyperlink" Target="https://advance.lexis.com/api/document?collection=statutes-legislation&amp;id=urn:contentItem:5C8C-P820-01XN-S3JB-00000-00&amp;context=1519360" TargetMode="External" /><Relationship Id="rId66" Type="http://schemas.openxmlformats.org/officeDocument/2006/relationships/hyperlink" Target="https://advance.lexis.com/api/document?collection=cases&amp;id=urn:contentItem:3S4X-17H0-003B-037H-00000-00&amp;context=1519360" TargetMode="External" /><Relationship Id="rId67" Type="http://schemas.openxmlformats.org/officeDocument/2006/relationships/hyperlink" Target="https://advance.lexis.com/api/document?collection=cases&amp;id=urn:contentItem:3S4X-3860-003B-0115-00000-00&amp;context=1519360" TargetMode="External" /><Relationship Id="rId68" Type="http://schemas.openxmlformats.org/officeDocument/2006/relationships/hyperlink" Target="https://advance.lexis.com/api/document?collection=cases&amp;id=urn:contentItem:5NVG-9V81-F04K-F1VY-00000-00&amp;context=1519360" TargetMode="External" /><Relationship Id="rId69" Type="http://schemas.openxmlformats.org/officeDocument/2006/relationships/hyperlink" Target="https://advance.lexis.com/api/document?collection=cases&amp;id=urn:contentItem:67GR-NFF1-FH4C-X3B1-00000-00&amp;context=1519360&amp;link=clscc10" TargetMode="External" /><Relationship Id="rId7" Type="http://schemas.openxmlformats.org/officeDocument/2006/relationships/image" Target="media/image1.png" /><Relationship Id="rId70" Type="http://schemas.openxmlformats.org/officeDocument/2006/relationships/hyperlink" Target="https://advance.lexis.com/api/document?collection=cases&amp;id=urn:contentItem:83H6-3C81-652R-2395-00000-00&amp;context=1519360" TargetMode="External" /><Relationship Id="rId71" Type="http://schemas.openxmlformats.org/officeDocument/2006/relationships/hyperlink" Target="https://advance.lexis.com/api/document?collection=cases&amp;id=urn:contentItem:4J4K-4KD0-0038-X2S4-00000-00&amp;context=1519360" TargetMode="External" /><Relationship Id="rId72" Type="http://schemas.openxmlformats.org/officeDocument/2006/relationships/hyperlink" Target="https://advance.lexis.com/api/document?collection=cases&amp;id=urn:contentItem:3RPN-MB60-003B-R05H-00000-00&amp;context=1519360" TargetMode="External" /><Relationship Id="rId73" Type="http://schemas.openxmlformats.org/officeDocument/2006/relationships/hyperlink" Target="https://advance.lexis.com/api/document?collection=cases&amp;id=urn:contentItem:3S4X-DV30-003B-4323-00000-00&amp;context=1519360" TargetMode="External" /><Relationship Id="rId74" Type="http://schemas.openxmlformats.org/officeDocument/2006/relationships/hyperlink" Target="https://advance.lexis.com/api/document?collection=cases&amp;id=urn:contentItem:67GR-NFF1-FH4C-X3B1-00000-00&amp;context=1519360&amp;link=clscc11" TargetMode="External" /><Relationship Id="rId75" Type="http://schemas.openxmlformats.org/officeDocument/2006/relationships/hyperlink" Target="https://advance.lexis.com/api/document?collection=administrative-materials&amp;id=urn:contentItem:3SGP-JVB0-0039-B451-00000-00&amp;context=1519360" TargetMode="External" /><Relationship Id="rId76" Type="http://schemas.openxmlformats.org/officeDocument/2006/relationships/hyperlink" Target="https://advance.lexis.com/api/document?collection=cases&amp;id=urn:contentItem:5Y92-04C1-JCRC-B14S-00000-00&amp;context=1519360" TargetMode="External" /><Relationship Id="rId77" Type="http://schemas.openxmlformats.org/officeDocument/2006/relationships/hyperlink" Target="https://advance.lexis.com/api/document?collection=cases&amp;id=urn:contentItem:3S4X-39B0-003B-018K-00000-00&amp;context=1519360" TargetMode="External" /><Relationship Id="rId78" Type="http://schemas.openxmlformats.org/officeDocument/2006/relationships/hyperlink" Target="https://advance.lexis.com/api/document?collection=cases&amp;id=urn:contentItem:67GR-NFF1-FH4C-X3B1-00000-00&amp;context=1519360&amp;link=clscc12" TargetMode="External" /><Relationship Id="rId79" Type="http://schemas.openxmlformats.org/officeDocument/2006/relationships/hyperlink" Target="https://advance.lexis.com/api/document?collection=cases&amp;id=urn:contentItem:66W7-2YK1-JFDC-X3H6-00000-00&amp;context=1519360" TargetMode="External" /><Relationship Id="rId8" Type="http://schemas.openxmlformats.org/officeDocument/2006/relationships/hyperlink" Target="https://advance.lexis.com/api/document?collection=cases&amp;id=urn:contentItem:67GR-NFF1-FH4C-X3B1-00000-00&amp;context=1519360" TargetMode="External" /><Relationship Id="rId80" Type="http://schemas.openxmlformats.org/officeDocument/2006/relationships/hyperlink" Target="https://advance.lexis.com/api/document?collection=cases&amp;id=urn:contentItem:6362-7XD1-JCRC-B2Y7-00000-00&amp;context=1519360" TargetMode="External" /><Relationship Id="rId81" Type="http://schemas.openxmlformats.org/officeDocument/2006/relationships/hyperlink" Target="https://advance.lexis.com/api/document?collection=cases&amp;id=urn:contentItem:67GR-NFF1-FH4C-X3B1-00000-00&amp;context=1519360&amp;link=clscc13" TargetMode="External" /><Relationship Id="rId82" Type="http://schemas.openxmlformats.org/officeDocument/2006/relationships/hyperlink" Target="https://advance.lexis.com/api/document?collection=administrative-materials&amp;id=urn:contentItem:3SGP-JNN0-0039-B035-00000-00&amp;context=1519360" TargetMode="External" /><Relationship Id="rId83" Type="http://schemas.openxmlformats.org/officeDocument/2006/relationships/hyperlink" Target="https://advance.lexis.com/api/document?collection=cases&amp;id=urn:contentItem:644P-D4P1-FBN1-23HS-00000-00&amp;context=1519360" TargetMode="External" /><Relationship Id="rId84" Type="http://schemas.openxmlformats.org/officeDocument/2006/relationships/hyperlink" Target="https://advance.lexis.com/api/document?collection=cases&amp;id=urn:contentItem:67GR-NFF1-FH4C-X3B1-00000-00&amp;context=1519360&amp;link=clscc14" TargetMode="External" /><Relationship Id="rId85" Type="http://schemas.openxmlformats.org/officeDocument/2006/relationships/hyperlink" Target="https://advance.lexis.com/api/document?collection=cases&amp;id=urn:contentItem:4WD3-D310-TXFX-82DX-00000-00&amp;context=1519360" TargetMode="External" /><Relationship Id="rId86" Type="http://schemas.openxmlformats.org/officeDocument/2006/relationships/hyperlink" Target="https://advance.lexis.com/api/document?collection=cases&amp;id=urn:contentItem:4MGX-3740-0038-X0F1-00000-00&amp;context=1519360" TargetMode="External" /><Relationship Id="rId87" Type="http://schemas.openxmlformats.org/officeDocument/2006/relationships/hyperlink" Target="https://advance.lexis.com/api/document?collection=cases&amp;id=urn:contentItem:66D7-7HT1-JS0R-2107-00000-00&amp;context=1519360" TargetMode="Externa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hyperlink" Target="https://advance.lexis.com/api/document?collection=cases&amp;id=urn:contentItem:67GR-NFF1-FH4C-X3B1-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Hernandez v. Garland, 59 F.4th 762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Doc::urn:hlct:5|contextualFeaturePermID::1519360</vt:lpwstr>
  </property>
  <property fmtid="{D5CDD505-2E9C-101B-9397-08002B2CF9AE}" pid="5" name="UserPermID">
    <vt:lpwstr>urn:user:PA186186283</vt:lpwstr>
  </property>
</Properties>
</file>