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Magaña v. Moore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 Western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27, 2023, Decided; October 27,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CV 22-00631-MCS (DFM)</w:t>
      </w:r>
    </w:p>
    <w:p>
      <w:pPr>
        <w:keepNext w:val="0"/>
        <w:spacing w:after="0" w:line="240" w:lineRule="atLeast"/>
        <w:ind w:right="0"/>
        <w:jc w:val="both"/>
      </w:pPr>
      <w:bookmarkStart w:id="0" w:name="Bookmark_104"/>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233962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9319031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ISRAEL MAGAÑA, Petitioner, v. S. MOORE, Respondent.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Judgment entered by, Writ of habeas corpus denied, Dismissed by </w:t>
      </w:r>
      <w:hyperlink r:id="rId10" w:history="1">
        <w:r>
          <w:rPr>
            <w:rFonts w:ascii="arial" w:eastAsia="arial" w:hAnsi="arial" w:cs="arial"/>
            <w:b w:val="0"/>
            <w:i/>
            <w:strike w:val="0"/>
            <w:noProof w:val="0"/>
            <w:color w:val="0077CC"/>
            <w:position w:val="0"/>
            <w:sz w:val="20"/>
            <w:u w:val="single"/>
            <w:vertAlign w:val="baseline"/>
          </w:rPr>
          <w:t>Magaa v. Moore, 2024 U.S. Dist. LEXIS 85336 (C.D. Cal., May 10, 2024)</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murders, gang, Street, trial court, street gang, sentencing, cross-examination, gang member, shot, credibility, probation, hearsay, cooperation, shorts, Recommendation, conversations, contacts, doughnut, leniency, theft, law enforcement, habeas relief, trial counsel, convictions, ineffective, immunity, recorded, inmates, cell, clearly established federal law</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Israel Magana, Petitioner, Pro se, Imperial,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S. Moore, Warden, Respondent: Nikhil D Cooper, CAAG - Office of the Attorney General, Los Angeles, CA.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DOUGLAS F. McCORMICK,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DOUGLAS F. McCORMICK</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Report and Recommendation of United States Magistrate Judge</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This Report and Recommendation is submitted to the Honorable Mark C. Scarsi, United States District Judge, under </w:t>
      </w:r>
      <w:hyperlink r:id="rId11" w:history="1">
        <w:r>
          <w:rPr>
            <w:rFonts w:ascii="arial" w:eastAsia="arial" w:hAnsi="arial" w:cs="arial"/>
            <w:b w:val="0"/>
            <w:i/>
            <w:strike w:val="0"/>
            <w:noProof w:val="0"/>
            <w:color w:val="0077CC"/>
            <w:position w:val="0"/>
            <w:sz w:val="20"/>
            <w:u w:val="single"/>
            <w:vertAlign w:val="baseline"/>
          </w:rPr>
          <w:t>28 U.S.C. § 636</w:t>
        </w:r>
      </w:hyperlink>
      <w:r>
        <w:rPr>
          <w:rFonts w:ascii="arial" w:eastAsia="arial" w:hAnsi="arial" w:cs="arial"/>
          <w:b w:val="0"/>
          <w:i w:val="0"/>
          <w:strike w:val="0"/>
          <w:noProof w:val="0"/>
          <w:color w:val="000000"/>
          <w:position w:val="0"/>
          <w:sz w:val="20"/>
          <w:u w:val="none"/>
          <w:vertAlign w:val="baseline"/>
        </w:rPr>
        <w:t xml:space="preserve"> and General Order 05-07 of the United States District Court for the Central District of California.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 xml:space="preserve">Israel Magaña ("Petitioner") is serving a sentence of life without the possibility of parole plus 32-years-to-life after being convicted of first-degree murder. Petitioner has filed a Petition for Writ of Habeas Corpus by a Person in State Custody.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1 ("Petition"). Having considered the submissions of the parties, the relevant law, and the underlying record, the Court recommends that the Petition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PROCEDURAL BACKGROUND</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 xml:space="preserve">In 2016, a jury found Petitioner guilty of two counts of first-degree murder and one count of unlawful possession of a firearm.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2 Clerk's Transcript ("CT") 254-56, 286-89; 5 Reporter's Transcript ("RT") 3302-04.</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The jury acquitted Petition</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 one count of murder and one count of attempted murder. </w:t>
      </w:r>
      <w:bookmarkStart w:id="12" w:name="Bookmark_I6B70NDN2N1RWC0020000400"/>
      <w:bookmarkEnd w:id="12"/>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2 CT 256, 290-92; 5 RT 3305. The jury found true criminal street gang allegations with respect to the murder counts, a personal firearm use allegation with respect to one of the murder counts, and the multiple murder special circumstance allegation.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bookmarkStart w:id="13" w:name="Bookmark_I6B70NDN2N1RWC0010000400"/>
      <w:bookmarkEnd w:id="13"/>
      <w:hyperlink r:id="rId12" w:history="1">
        <w:r>
          <w:rPr>
            <w:rFonts w:ascii="arial" w:eastAsia="arial" w:hAnsi="arial" w:cs="arial"/>
            <w:b w:val="0"/>
            <w:i/>
            <w:strike w:val="0"/>
            <w:noProof w:val="0"/>
            <w:color w:val="0077CC"/>
            <w:position w:val="0"/>
            <w:sz w:val="20"/>
            <w:u w:val="single"/>
            <w:vertAlign w:val="baseline"/>
          </w:rPr>
          <w:t>2 CT 255-56, 286-89, 293</w:t>
        </w:r>
      </w:hyperlink>
      <w:r>
        <w:rPr>
          <w:rFonts w:ascii="arial" w:eastAsia="arial" w:hAnsi="arial" w:cs="arial"/>
          <w:b w:val="0"/>
          <w:i w:val="0"/>
          <w:strike w:val="0"/>
          <w:noProof w:val="0"/>
          <w:color w:val="000000"/>
          <w:position w:val="0"/>
          <w:sz w:val="20"/>
          <w:u w:val="none"/>
          <w:vertAlign w:val="baseline"/>
        </w:rPr>
        <w:t>; 5 RT 3303-06.</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In January 2017, the trial court sentenced Petitioner to state prison for life without the possibility of parole, plus 35-years-to-life.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2 CT 309-14; 5 RT 3603-08;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Dkt. 15, Lodged Document ("LD") 7 at 2.</w:t>
      </w:r>
    </w:p>
    <w:p>
      <w:pPr>
        <w:keepNext w:val="0"/>
        <w:spacing w:before="24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Petitioner appealed.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4, 6. On February 13, 2019, the Court of Appeal affirmed the convictions.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7. Petitioner sought a rehearing based on a sentencing issue, California Senate Bill 620, which the Court of Appeal granted. </w:t>
      </w:r>
      <w:bookmarkStart w:id="16" w:name="Bookmark_I6B70NDN2N1RWC0040000400"/>
      <w:bookmarkEnd w:id="16"/>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8-9. On March 8, 2019, the Court of Appeal affirmed the convictions but remanded for the trial court to exercise its discretion whether to strike the firearm use finding under </w:t>
      </w:r>
      <w:r>
        <w:rPr>
          <w:rFonts w:ascii="arial" w:eastAsia="arial" w:hAnsi="arial" w:cs="arial"/>
          <w:b w:val="0"/>
          <w:i/>
          <w:strike w:val="0"/>
          <w:noProof w:val="0"/>
          <w:color w:val="000000"/>
          <w:position w:val="0"/>
          <w:sz w:val="20"/>
          <w:u w:val="none"/>
          <w:vertAlign w:val="baseline"/>
        </w:rPr>
        <w:t>Cal. Penal Code § 12022.53(d)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10 at 21-22; </w:t>
      </w:r>
      <w:r>
        <w:rPr>
          <w:rFonts w:ascii="arial" w:eastAsia="arial" w:hAnsi="arial" w:cs="arial"/>
          <w:b w:val="0"/>
          <w:i w:val="0"/>
          <w:strike w:val="0"/>
          <w:noProof w:val="0"/>
          <w:color w:val="000000"/>
          <w:position w:val="0"/>
          <w:sz w:val="20"/>
          <w:u w:val="single"/>
          <w:vertAlign w:val="baseline"/>
        </w:rPr>
        <w:t xml:space="preserve">see also </w:t>
      </w:r>
      <w:bookmarkStart w:id="17" w:name="Bookmark_I6B70NDN2N1RWC0030000400"/>
      <w:bookmarkEnd w:id="17"/>
      <w:hyperlink r:id="rId13" w:history="1">
        <w:r>
          <w:rPr>
            <w:rFonts w:ascii="arial" w:eastAsia="arial" w:hAnsi="arial" w:cs="arial"/>
            <w:b w:val="0"/>
            <w:i/>
            <w:strike w:val="0"/>
            <w:noProof w:val="0"/>
            <w:color w:val="0077CC"/>
            <w:position w:val="0"/>
            <w:sz w:val="20"/>
            <w:u w:val="single"/>
            <w:vertAlign w:val="baseline"/>
          </w:rPr>
          <w:t>People v. Magana</w:t>
        </w:r>
      </w:hyperlink>
      <w:hyperlink r:id="rId13" w:history="1">
        <w:r>
          <w:rPr>
            <w:rFonts w:ascii="arial" w:eastAsia="arial" w:hAnsi="arial" w:cs="arial"/>
            <w:b w:val="0"/>
            <w:i/>
            <w:strike w:val="0"/>
            <w:noProof w:val="0"/>
            <w:color w:val="0077CC"/>
            <w:position w:val="0"/>
            <w:sz w:val="20"/>
            <w:u w:val="single"/>
            <w:vertAlign w:val="baseline"/>
          </w:rPr>
          <w:t>, 2019 Cal. App. Unpub. LEXIS 1642, 2019 WL 1089950 (Cal. Ct. App. Mar. 8,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 w:name="Bookmark_para_5"/>
      <w:bookmarkEnd w:id="18"/>
      <w:r>
        <w:rPr>
          <w:rFonts w:ascii="arial" w:eastAsia="arial" w:hAnsi="arial" w:cs="arial"/>
          <w:b w:val="0"/>
          <w:i w:val="0"/>
          <w:strike w:val="0"/>
          <w:noProof w:val="0"/>
          <w:color w:val="000000"/>
          <w:position w:val="0"/>
          <w:sz w:val="20"/>
          <w:u w:val="none"/>
          <w:vertAlign w:val="baseline"/>
        </w:rPr>
        <w:t xml:space="preserve">Petitioner filed a Petition for Review in the California Supreme Court, raising the same claims as those raised on direct appeal.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11. On May 15, 2019, the California Supreme Court summarily denied</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review.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12.</w:t>
      </w:r>
    </w:p>
    <w:p>
      <w:pPr>
        <w:keepNext w:val="0"/>
        <w:spacing w:before="200" w:after="0" w:line="260" w:lineRule="atLeast"/>
        <w:ind w:left="0" w:right="0" w:firstLine="0"/>
        <w:jc w:val="both"/>
      </w:pPr>
      <w:bookmarkStart w:id="19" w:name="Bookmark_para_6"/>
      <w:bookmarkEnd w:id="19"/>
      <w:r>
        <w:rPr>
          <w:rFonts w:ascii="arial" w:eastAsia="arial" w:hAnsi="arial" w:cs="arial"/>
          <w:b w:val="0"/>
          <w:i w:val="0"/>
          <w:strike w:val="0"/>
          <w:noProof w:val="0"/>
          <w:color w:val="000000"/>
          <w:position w:val="0"/>
          <w:sz w:val="20"/>
          <w:u w:val="none"/>
          <w:vertAlign w:val="baseline"/>
        </w:rPr>
        <w:t xml:space="preserve">On December 12, 2019, the trial court held a resentencing hearing and declined to strike the firearm use enhancement.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13 at 9; LD 14 at 18.</w:t>
      </w:r>
    </w:p>
    <w:p>
      <w:pPr>
        <w:keepNext w:val="0"/>
        <w:spacing w:before="200" w:after="0" w:line="260" w:lineRule="atLeast"/>
        <w:ind w:left="0" w:right="0" w:firstLine="0"/>
        <w:jc w:val="both"/>
      </w:pPr>
      <w:bookmarkStart w:id="20" w:name="Bookmark_para_7"/>
      <w:bookmarkEnd w:id="20"/>
      <w:r>
        <w:rPr>
          <w:rFonts w:ascii="arial" w:eastAsia="arial" w:hAnsi="arial" w:cs="arial"/>
          <w:b w:val="0"/>
          <w:i w:val="0"/>
          <w:strike w:val="0"/>
          <w:noProof w:val="0"/>
          <w:color w:val="000000"/>
          <w:position w:val="0"/>
          <w:sz w:val="20"/>
          <w:u w:val="none"/>
          <w:vertAlign w:val="baseline"/>
        </w:rPr>
        <w:t xml:space="preserve">Petitioner filed another appeal, asserting a new sentencing claim based on California Senate Bill 136.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15, 17. On February 10, 2021, the Court of Appeal struck three one-year terms imposed for prior prison term findings, resulting in a final sentence of life without the possibility of parole, plus 32-years-to-life.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18.</w:t>
      </w:r>
    </w:p>
    <w:p>
      <w:pPr>
        <w:keepNext w:val="0"/>
        <w:spacing w:before="200" w:after="0" w:line="260" w:lineRule="atLeast"/>
        <w:ind w:left="0" w:right="0" w:firstLine="0"/>
        <w:jc w:val="both"/>
      </w:pPr>
      <w:bookmarkStart w:id="21" w:name="Bookmark_para_8"/>
      <w:bookmarkEnd w:id="21"/>
      <w:bookmarkStart w:id="22" w:name="Bookmark_I6B70NDP2HM6SP0010000400"/>
      <w:bookmarkEnd w:id="22"/>
      <w:r>
        <w:rPr>
          <w:rFonts w:ascii="arial" w:eastAsia="arial" w:hAnsi="arial" w:cs="arial"/>
          <w:b w:val="0"/>
          <w:i w:val="0"/>
          <w:strike w:val="0"/>
          <w:noProof w:val="0"/>
          <w:color w:val="000000"/>
          <w:position w:val="0"/>
          <w:sz w:val="20"/>
          <w:u w:val="none"/>
          <w:vertAlign w:val="baseline"/>
        </w:rPr>
        <w:t xml:space="preserve">On July 15, 2020, while Petitioner's second appeal was pending, Petitioner filed a habeas corpus petition in this Court.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19. On February 11, 2021, that petition was dismissed based on abstention under </w:t>
      </w:r>
      <w:bookmarkStart w:id="23" w:name="Bookmark_I6B70NDN2N1RWC0050000400"/>
      <w:bookmarkEnd w:id="23"/>
      <w:hyperlink r:id="rId14" w:history="1">
        <w:r>
          <w:rPr>
            <w:rFonts w:ascii="arial" w:eastAsia="arial" w:hAnsi="arial" w:cs="arial"/>
            <w:b w:val="0"/>
            <w:i/>
            <w:strike w:val="0"/>
            <w:noProof w:val="0"/>
            <w:color w:val="0077CC"/>
            <w:position w:val="0"/>
            <w:sz w:val="20"/>
            <w:u w:val="single"/>
            <w:vertAlign w:val="baseline"/>
          </w:rPr>
          <w:t>Younger v. Harris</w:t>
        </w:r>
      </w:hyperlink>
      <w:hyperlink r:id="rId14" w:history="1">
        <w:r>
          <w:rPr>
            <w:rFonts w:ascii="arial" w:eastAsia="arial" w:hAnsi="arial" w:cs="arial"/>
            <w:b w:val="0"/>
            <w:i/>
            <w:strike w:val="0"/>
            <w:noProof w:val="0"/>
            <w:color w:val="0077CC"/>
            <w:position w:val="0"/>
            <w:sz w:val="20"/>
            <w:u w:val="single"/>
            <w:vertAlign w:val="baseline"/>
          </w:rPr>
          <w:t>, 401 U.S. 37, 91 S. Ct. 746, 27 L. Ed. 2d 669 (1971)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21-22.</w:t>
      </w:r>
    </w:p>
    <w:p>
      <w:pPr>
        <w:keepNext w:val="0"/>
        <w:spacing w:before="200" w:after="0" w:line="260" w:lineRule="atLeast"/>
        <w:ind w:left="0" w:right="0" w:firstLine="0"/>
        <w:jc w:val="both"/>
      </w:pPr>
      <w:bookmarkStart w:id="24" w:name="Bookmark_para_9"/>
      <w:bookmarkEnd w:id="24"/>
      <w:r>
        <w:rPr>
          <w:rFonts w:ascii="arial" w:eastAsia="arial" w:hAnsi="arial" w:cs="arial"/>
          <w:b w:val="0"/>
          <w:i w:val="0"/>
          <w:strike w:val="0"/>
          <w:noProof w:val="0"/>
          <w:color w:val="000000"/>
          <w:position w:val="0"/>
          <w:sz w:val="20"/>
          <w:u w:val="none"/>
          <w:vertAlign w:val="baseline"/>
        </w:rPr>
        <w:t xml:space="preserve">On January 27, 2022, Petitioner filed the instant Petition in this Court.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1. On June 23, 2022, Respondent filed an Answer.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Dkt. 24. Petitioner did not file a Traverse. The matter is now ready for decision.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STATEMENT OF FACTS</w:t>
      </w:r>
    </w:p>
    <w:p>
      <w:pPr>
        <w:keepNext w:val="0"/>
        <w:spacing w:before="200" w:after="0" w:line="260" w:lineRule="atLeast"/>
        <w:ind w:left="0" w:right="0" w:firstLine="0"/>
        <w:jc w:val="both"/>
      </w:pPr>
      <w:bookmarkStart w:id="25" w:name="Bookmark_para_10"/>
      <w:bookmarkEnd w:id="25"/>
      <w:bookmarkStart w:id="26" w:name="Bookmark_I6B70NDP2HM6SP0030000400"/>
      <w:bookmarkEnd w:id="26"/>
      <w:r>
        <w:rPr>
          <w:rFonts w:ascii="arial" w:eastAsia="arial" w:hAnsi="arial" w:cs="arial"/>
          <w:b w:val="0"/>
          <w:i w:val="0"/>
          <w:strike w:val="0"/>
          <w:noProof w:val="0"/>
          <w:color w:val="000000"/>
          <w:position w:val="0"/>
          <w:sz w:val="20"/>
          <w:u w:val="none"/>
          <w:vertAlign w:val="baseline"/>
        </w:rPr>
        <w:t xml:space="preserve">The facts of the offense are taken from the March 8, 2019 unpublished opinion of the Court of Appeal. These facts are presumed true for federal habeas corpus review in the absence of clear and convincing evidence to the contrary.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28 U.S.C. § 2254(e)(1)</w:t>
        </w:r>
      </w:hyperlink>
      <w:r>
        <w:rPr>
          <w:rFonts w:ascii="arial" w:eastAsia="arial" w:hAnsi="arial" w:cs="arial"/>
          <w:b w:val="0"/>
          <w:i w:val="0"/>
          <w:strike w:val="0"/>
          <w:noProof w:val="0"/>
          <w:color w:val="000000"/>
          <w:position w:val="0"/>
          <w:sz w:val="20"/>
          <w:u w:val="none"/>
          <w:vertAlign w:val="baseline"/>
        </w:rPr>
        <w:t xml:space="preserve">; </w:t>
      </w:r>
      <w:bookmarkStart w:id="27" w:name="Bookmark_I6B70NDP2HM6SP0020000400"/>
      <w:bookmarkEnd w:id="27"/>
      <w:r>
        <w:rPr>
          <w:rFonts w:ascii="arial" w:eastAsia="arial" w:hAnsi="arial" w:cs="arial"/>
          <w:b w:val="0"/>
          <w:i/>
          <w:strike w:val="0"/>
          <w:noProof w:val="0"/>
          <w:color w:val="000000"/>
          <w:position w:val="0"/>
          <w:sz w:val="20"/>
          <w:u w:val="single"/>
          <w:vertAlign w:val="baseline"/>
        </w:rPr>
        <w:t>Crittenden v. Chappell</w:t>
      </w:r>
      <w:r>
        <w:rPr>
          <w:rFonts w:ascii="arial" w:eastAsia="arial" w:hAnsi="arial" w:cs="arial"/>
          <w:b w:val="0"/>
          <w:i/>
          <w:strike w:val="0"/>
          <w:noProof w:val="0"/>
          <w:color w:val="000000"/>
          <w:position w:val="0"/>
          <w:sz w:val="20"/>
          <w:u w:val="none"/>
          <w:vertAlign w:val="baseline"/>
        </w:rPr>
        <w:t>, 804 F.3d 998, 1011 (9th Cir. 2015)</w:t>
      </w:r>
      <w:r>
        <w:rPr>
          <w:rFonts w:ascii="arial" w:eastAsia="arial" w:hAnsi="arial" w:cs="arial"/>
          <w:b w:val="0"/>
          <w:i w:val="0"/>
          <w:strike w:val="0"/>
          <w:noProof w:val="0"/>
          <w:color w:val="000000"/>
          <w:position w:val="0"/>
          <w:sz w:val="20"/>
          <w:u w:val="none"/>
          <w:vertAlign w:val="baseline"/>
        </w:rPr>
        <w:t>.</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In all quoted sections of the record, Petitioner's name has been replaced with "Petitioner."</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none"/>
          <w:vertAlign w:val="baseline"/>
        </w:rPr>
        <w:t>The Brady murder outside the doughnut shop</w:t>
      </w:r>
    </w:p>
    <w:p>
      <w:pPr>
        <w:keepNext w:val="0"/>
        <w:spacing w:after="0" w:line="260" w:lineRule="atLeast"/>
        <w:ind w:left="400" w:right="0" w:firstLine="0"/>
        <w:jc w:val="both"/>
      </w:pPr>
      <w:bookmarkStart w:id="28" w:name="Bookmark_para_11"/>
      <w:bookmarkEnd w:id="28"/>
      <w:r>
        <w:rPr>
          <w:rFonts w:ascii="arial" w:eastAsia="arial" w:hAnsi="arial" w:cs="arial"/>
          <w:b w:val="0"/>
          <w:i w:val="0"/>
          <w:strike w:val="0"/>
          <w:noProof w:val="0"/>
          <w:color w:val="000000"/>
          <w:position w:val="0"/>
          <w:sz w:val="20"/>
          <w:u w:val="none"/>
          <w:vertAlign w:val="baseline"/>
        </w:rPr>
        <w:t>A Pomona police officer testified that at 2:00 a.m. on October 23, 2013, he was driving on Holt Avenue (known for gang activity at night) and saw a body lying in the middle of the road. The officer stopped the car and got out. Two people ran up yelling: "'He was shot.'" The man on the ground, later identified as Corvan Brady, was shaking spasmodically and his breathing was labored. Brady died of multiple gunshot wounds.</w:t>
      </w:r>
    </w:p>
    <w:p>
      <w:pPr>
        <w:keepNext w:val="0"/>
        <w:spacing w:after="0" w:line="260" w:lineRule="atLeast"/>
        <w:ind w:left="400" w:right="0" w:firstLine="0"/>
        <w:jc w:val="both"/>
      </w:pPr>
      <w:bookmarkStart w:id="29" w:name="Bookmark_para_12"/>
      <w:bookmarkEnd w:id="29"/>
      <w:r>
        <w:rPr>
          <w:rFonts w:ascii="arial" w:eastAsia="arial" w:hAnsi="arial" w:cs="arial"/>
          <w:b w:val="0"/>
          <w:i w:val="0"/>
          <w:strike w:val="0"/>
          <w:noProof w:val="0"/>
          <w:color w:val="000000"/>
          <w:position w:val="0"/>
          <w:sz w:val="20"/>
          <w:u w:val="none"/>
          <w:vertAlign w:val="baseline"/>
        </w:rPr>
        <w:t>A crime scene investigator found bullets and bullet fragments outside a nearby doughnut shop. Surveillance video from the doughnut shop's cameras showed a man holding and firing a gun. The man wore a hoodie and light colored basketball shorts with stripes down the side. Police searching Petitioner's shared bedroom in his mother's apartment on Kingsley Avenue found a pair of shorts like those in the video. The shorts had gunshot residue on them.</w:t>
      </w:r>
    </w:p>
    <w:p>
      <w:pPr>
        <w:keepNext w:val="0"/>
        <w:spacing w:before="200" w:after="0" w:line="260" w:lineRule="atLeast"/>
        <w:ind w:left="400" w:right="0" w:firstLine="0"/>
        <w:jc w:val="both"/>
      </w:pPr>
      <w:bookmarkStart w:id="30" w:name="Bookmark_para_13"/>
      <w:bookmarkEnd w:id="30"/>
      <w:r>
        <w:rPr>
          <w:rFonts w:ascii="arial" w:eastAsia="arial" w:hAnsi="arial" w:cs="arial"/>
          <w:b w:val="0"/>
          <w:i w:val="0"/>
          <w:strike w:val="0"/>
          <w:noProof w:val="0"/>
          <w:color w:val="000000"/>
          <w:position w:val="0"/>
          <w:sz w:val="20"/>
          <w:u w:val="none"/>
          <w:vertAlign w:val="baseline"/>
        </w:rPr>
        <w:t>Two Pomona police officers identified the man in the doughnut shop video as Petitioner. Detective Greg Freeman had seen Petitioner on the street, and driving in the area. Detective Freeman had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stopped Petitioner and spoken to him at least ten times, including two traffic stops in which members of the 12th Street gang were in the car with Petitioner. Detective Freeman recognized Petitioner's unique gait (Petitioner is distinctively bowlegged) and his clothing.</w:t>
      </w:r>
    </w:p>
    <w:p>
      <w:pPr>
        <w:keepNext w:val="0"/>
        <w:spacing w:after="0" w:line="260" w:lineRule="atLeast"/>
        <w:ind w:left="400" w:right="0" w:firstLine="0"/>
        <w:jc w:val="both"/>
      </w:pPr>
      <w:bookmarkStart w:id="31" w:name="Bookmark_para_14"/>
      <w:bookmarkEnd w:id="31"/>
      <w:r>
        <w:rPr>
          <w:rFonts w:ascii="arial" w:eastAsia="arial" w:hAnsi="arial" w:cs="arial"/>
          <w:b w:val="0"/>
          <w:i w:val="0"/>
          <w:strike w:val="0"/>
          <w:noProof w:val="0"/>
          <w:color w:val="000000"/>
          <w:position w:val="0"/>
          <w:sz w:val="20"/>
          <w:u w:val="none"/>
          <w:vertAlign w:val="baseline"/>
        </w:rPr>
        <w:t>Officer Jaime Martinez had had at least 20 contacts with Petitioner, and recognized him immediately by his extreme skinniness and bony legs, his basketball shorts, and his high top basketball shoes. He had conducted surveillance on Petitioner and on his residence on numerous occasions. In 2009, Officer Martinez had filled out a field interview (FI) card for Petitioner after a traffic stop. Petitioner "admitted to Ghetto Side Pomona," and the other man in the car was a 12th Street member. Petitioner had 12th Street paraphernalia with him, and gave his moniker as "Cheetah." Officer Martinez knew (based on many contacts with other gang members) that Petitioner had associated with Ghetto Side, and from there had been "jumped in" to the Pomona 12th Street gang.</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strike w:val="0"/>
          <w:noProof w:val="0"/>
          <w:color w:val="000000"/>
          <w:position w:val="0"/>
          <w:sz w:val="20"/>
          <w:u w:val="none"/>
          <w:vertAlign w:val="baseline"/>
        </w:rPr>
        <w:t>The carport murder of Matthew Martin</w:t>
      </w:r>
    </w:p>
    <w:p>
      <w:pPr>
        <w:keepNext w:val="0"/>
        <w:spacing w:before="200" w:after="0" w:line="260" w:lineRule="atLeast"/>
        <w:ind w:left="400" w:right="0" w:firstLine="0"/>
        <w:jc w:val="both"/>
      </w:pPr>
      <w:bookmarkStart w:id="32" w:name="Bookmark_para_15"/>
      <w:bookmarkEnd w:id="32"/>
      <w:r>
        <w:rPr>
          <w:rFonts w:ascii="arial" w:eastAsia="arial" w:hAnsi="arial" w:cs="arial"/>
          <w:b w:val="0"/>
          <w:i w:val="0"/>
          <w:strike w:val="0"/>
          <w:noProof w:val="0"/>
          <w:color w:val="000000"/>
          <w:position w:val="0"/>
          <w:sz w:val="20"/>
          <w:u w:val="none"/>
          <w:vertAlign w:val="baseline"/>
        </w:rPr>
        <w:t>In the early morning of November 2, 2013, Matthew Martin was murdered in the carport of the same Kingsley Avenue apartment complex</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where Petitioner lived with his mother. Martin was found shot to death in the passenger seat of his SUV, with three or four clearly visible gunshot wounds to his face and head. The shots appeared to have been fired from the driver's side door, some from outside and some from inside. DNA consistent with Petitioner's was on the driver's side interior door handle.</w:t>
      </w:r>
    </w:p>
    <w:p>
      <w:pPr>
        <w:keepNext w:val="0"/>
        <w:spacing w:after="0" w:line="260" w:lineRule="atLeast"/>
        <w:ind w:left="400" w:right="0" w:firstLine="0"/>
        <w:jc w:val="both"/>
      </w:pPr>
      <w:bookmarkStart w:id="33" w:name="Bookmark_para_16"/>
      <w:bookmarkEnd w:id="33"/>
      <w:r>
        <w:rPr>
          <w:rFonts w:ascii="arial" w:eastAsia="arial" w:hAnsi="arial" w:cs="arial"/>
          <w:b w:val="0"/>
          <w:i w:val="0"/>
          <w:strike w:val="0"/>
          <w:noProof w:val="0"/>
          <w:color w:val="000000"/>
          <w:position w:val="0"/>
          <w:sz w:val="20"/>
          <w:u w:val="none"/>
          <w:vertAlign w:val="baseline"/>
        </w:rPr>
        <w:t>Martin and Petitioner were friends, and Martin had been "affiliating" with the 12th Street gang. Beginning in October 2013, Martin gave Detective Freeman information about the gang's criminal activity, including information about Petitioner, exchanging over 50 text messages with the detective.</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strike w:val="0"/>
          <w:noProof w:val="0"/>
          <w:color w:val="000000"/>
          <w:position w:val="0"/>
          <w:sz w:val="20"/>
          <w:u w:val="none"/>
          <w:vertAlign w:val="baseline"/>
        </w:rPr>
        <w:t>Gang evidence</w:t>
      </w:r>
    </w:p>
    <w:p>
      <w:pPr>
        <w:keepNext w:val="0"/>
        <w:spacing w:before="200" w:after="0" w:line="260" w:lineRule="atLeast"/>
        <w:ind w:left="400" w:right="0" w:firstLine="0"/>
        <w:jc w:val="both"/>
      </w:pPr>
      <w:bookmarkStart w:id="34" w:name="Bookmark_para_17"/>
      <w:bookmarkEnd w:id="34"/>
      <w:r>
        <w:rPr>
          <w:rFonts w:ascii="arial" w:eastAsia="arial" w:hAnsi="arial" w:cs="arial"/>
          <w:b w:val="0"/>
          <w:i w:val="0"/>
          <w:strike w:val="0"/>
          <w:noProof w:val="0"/>
          <w:color w:val="000000"/>
          <w:position w:val="0"/>
          <w:sz w:val="20"/>
          <w:u w:val="none"/>
          <w:vertAlign w:val="baseline"/>
        </w:rPr>
        <w:t>Pomona Police Officer Andrew Bebon had been a homicide gang investigator for 10 years, and investigated the Cooper murder and the Montgomery attempted murder. Officer Bebon was very familiar with Pomona 12th Street, a Hispanic gang with 200 to 250 members. Lower level gang members shot each other to "make their bones" and prove they were willing to "put in work" for the neighborhood and prove their loyalty to the gang, as well as to gain respect. In 2013 there was a spike in "the black wars brown wars," in which members of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Hispanic gangs (including 12th Street) and members of African-American gangs shot each other in the streets. The conflict was sparked when African-American gang members shot and killed in broad daylight a Hispanic gang member who was walking with a woman pushing a baby stroller.</w:t>
      </w:r>
    </w:p>
    <w:p>
      <w:pPr>
        <w:keepNext w:val="0"/>
        <w:spacing w:after="0" w:line="260" w:lineRule="atLeast"/>
        <w:ind w:left="400" w:right="0" w:firstLine="0"/>
        <w:jc w:val="both"/>
      </w:pPr>
      <w:bookmarkStart w:id="35" w:name="Bookmark_para_18"/>
      <w:bookmarkEnd w:id="35"/>
      <w:r>
        <w:rPr>
          <w:rFonts w:ascii="arial" w:eastAsia="arial" w:hAnsi="arial" w:cs="arial"/>
          <w:b w:val="0"/>
          <w:i w:val="0"/>
          <w:strike w:val="0"/>
          <w:noProof w:val="0"/>
          <w:color w:val="000000"/>
          <w:position w:val="0"/>
          <w:sz w:val="20"/>
          <w:u w:val="none"/>
          <w:vertAlign w:val="baseline"/>
        </w:rPr>
        <w:t>Officer Bebon described 12th Street's signs and symbols. 12th Street's primary activities were murder, attempted murder, assault with deadly weapons, robbery, extortion, narcotics dealing, car theft, and vandalism. He had participated in hundreds of investigations of 12th Street's criminal activity.</w:t>
      </w:r>
    </w:p>
    <w:p>
      <w:pPr>
        <w:keepNext w:val="0"/>
        <w:spacing w:after="0" w:line="260" w:lineRule="atLeast"/>
        <w:ind w:left="400" w:right="0" w:firstLine="0"/>
        <w:jc w:val="both"/>
      </w:pPr>
      <w:bookmarkStart w:id="36" w:name="Bookmark_para_19"/>
      <w:bookmarkEnd w:id="36"/>
      <w:r>
        <w:rPr>
          <w:rFonts w:ascii="arial" w:eastAsia="arial" w:hAnsi="arial" w:cs="arial"/>
          <w:b w:val="0"/>
          <w:i w:val="0"/>
          <w:strike w:val="0"/>
          <w:noProof w:val="0"/>
          <w:color w:val="000000"/>
          <w:position w:val="0"/>
          <w:sz w:val="20"/>
          <w:u w:val="none"/>
          <w:vertAlign w:val="baseline"/>
        </w:rPr>
        <w:t>Officer Bebon identified Petitioner making a 12th Street hand sign in two photographs with other 12th Street gang members, and in a number of other photographs with 12th Street members. He had "no doubt [Petitioner]'s a member of 12th Street and goes by the moniker of Cheetah." He based his opinion on Petitioner's admissions to other officers, courtroom testimony in other cases where 12th Street gang members identified Petitioner as "Cheetah," and "by who he's been contacted with, the crimes he's committed and been involved in," which showed him to be an active participant in 12th Street.</w:t>
      </w:r>
    </w:p>
    <w:p>
      <w:pPr>
        <w:keepNext w:val="0"/>
        <w:spacing w:before="200" w:after="0" w:line="260" w:lineRule="atLeast"/>
        <w:ind w:left="400" w:right="0" w:firstLine="0"/>
        <w:jc w:val="both"/>
      </w:pPr>
      <w:bookmarkStart w:id="37" w:name="Bookmark_para_20"/>
      <w:bookmarkEnd w:id="37"/>
      <w:r>
        <w:rPr>
          <w:rFonts w:ascii="arial" w:eastAsia="arial" w:hAnsi="arial" w:cs="arial"/>
          <w:b w:val="0"/>
          <w:i w:val="0"/>
          <w:strike w:val="0"/>
          <w:noProof w:val="0"/>
          <w:color w:val="000000"/>
          <w:position w:val="0"/>
          <w:sz w:val="20"/>
          <w:u w:val="none"/>
          <w:vertAlign w:val="baseline"/>
        </w:rPr>
        <w:t>Presented with a hypothetical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crime with facts similar to the evidence about the Brady murder, Officer Bebon believed the crime benefitted 12th Street by creating respect, intimidation, and fear in the community. Hispanic gang members wanted to drive black gang members out of the area, and 12th Street had been warring with the South Side Village Crips for years. Brady was actually a Pasadena Blood, but a shooter who thought he was a South Side Village Crip would be acting to benefit 12th Street because the two gangs were mortal enemies.</w:t>
      </w:r>
    </w:p>
    <w:p>
      <w:pPr>
        <w:keepNext w:val="0"/>
        <w:spacing w:after="0" w:line="260" w:lineRule="atLeast"/>
        <w:ind w:left="400" w:right="0" w:firstLine="0"/>
        <w:jc w:val="both"/>
      </w:pPr>
      <w:bookmarkStart w:id="38" w:name="Bookmark_para_21"/>
      <w:bookmarkEnd w:id="38"/>
      <w:r>
        <w:rPr>
          <w:rFonts w:ascii="arial" w:eastAsia="arial" w:hAnsi="arial" w:cs="arial"/>
          <w:b w:val="0"/>
          <w:i w:val="0"/>
          <w:strike w:val="0"/>
          <w:noProof w:val="0"/>
          <w:color w:val="000000"/>
          <w:position w:val="0"/>
          <w:sz w:val="20"/>
          <w:u w:val="none"/>
          <w:vertAlign w:val="baseline"/>
        </w:rPr>
        <w:t>A hypothetical crime mirroring the facts in evidence about the Martin murder would be "absolutely done to benefit the gang," because it eliminated a snitch informing to the police. Martin, who was black, was an associate of 12th Street going by "Yellow." 12th Street members did not hate all African-Americans.</w:t>
      </w:r>
    </w:p>
    <w:p>
      <w:pPr>
        <w:keepNext w:val="0"/>
        <w:spacing w:after="0" w:line="260" w:lineRule="atLeast"/>
        <w:ind w:left="400" w:right="0" w:firstLine="0"/>
        <w:jc w:val="both"/>
      </w:pPr>
      <w:bookmarkStart w:id="39" w:name="Bookmark_para_22"/>
      <w:bookmarkEnd w:id="39"/>
      <w:r>
        <w:rPr>
          <w:rFonts w:ascii="arial" w:eastAsia="arial" w:hAnsi="arial" w:cs="arial"/>
          <w:b w:val="0"/>
          <w:i w:val="0"/>
          <w:strike w:val="0"/>
          <w:noProof w:val="0"/>
          <w:color w:val="000000"/>
          <w:position w:val="0"/>
          <w:sz w:val="20"/>
          <w:u w:val="none"/>
          <w:vertAlign w:val="baseline"/>
        </w:rPr>
        <w:t>The prosecution introduced the prior felony convictions of Larry Gonzalez, Luis Ramirez, and Aldo Ruiz. Officer Bebon testified all three were members of 12th Street, and their convictions were for offenses among the gang's primary activities.</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i/>
          <w:strike w:val="0"/>
          <w:noProof w:val="0"/>
          <w:color w:val="000000"/>
          <w:position w:val="0"/>
          <w:sz w:val="20"/>
          <w:u w:val="none"/>
          <w:vertAlign w:val="baseline"/>
        </w:rPr>
        <w:t>Petitioner's jailhouse conversations with Brandon Cerda</w:t>
      </w:r>
    </w:p>
    <w:p>
      <w:pPr>
        <w:keepNext w:val="0"/>
        <w:spacing w:before="200" w:after="0" w:line="260" w:lineRule="atLeast"/>
        <w:ind w:left="400" w:right="0" w:firstLine="0"/>
        <w:jc w:val="both"/>
      </w:pPr>
      <w:bookmarkStart w:id="40" w:name="Bookmark_para_23"/>
      <w:bookmarkEnd w:id="40"/>
      <w:r>
        <w:rPr>
          <w:rFonts w:ascii="arial" w:eastAsia="arial" w:hAnsi="arial" w:cs="arial"/>
          <w:b w:val="0"/>
          <w:i w:val="0"/>
          <w:strike w:val="0"/>
          <w:noProof w:val="0"/>
          <w:color w:val="000000"/>
          <w:position w:val="0"/>
          <w:sz w:val="20"/>
          <w:u w:val="none"/>
          <w:vertAlign w:val="baseline"/>
        </w:rPr>
        <w:t>Brandon Cerda, who had been in and out of jail, testified that since 2013 he</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had been a jailhouse informant. After he was back in jail for cargo theft in 2014, the police asked him to talk with other inmates about murders and other serious crimes. An inmate would be placed in Cerda's cell, and when they were comfortable with each other after a day or two, the police would give Cerda a recording device. The detectives would call the inmate out for questioning, and then return him to the cell so that anything "stirred up" would be recorded. The police did not tell Cerda about the inmate's crime beyond the basic charge. Cerda was not expressly promised leniency, although the officers would tell the prosecutor and the judge about Cerda's assistance. He was not paid for talking to inmates while in custody. After his release from jail, Cerda provided information to various law enforcement agencies and received substantial financial compensation. At the time of his testimony, Cerda was on probation.</w:t>
      </w:r>
    </w:p>
    <w:p>
      <w:pPr>
        <w:keepNext w:val="0"/>
        <w:spacing w:before="200" w:after="0" w:line="260" w:lineRule="atLeast"/>
        <w:ind w:left="400" w:right="0" w:firstLine="0"/>
        <w:jc w:val="both"/>
      </w:pPr>
      <w:bookmarkStart w:id="41" w:name="Bookmark_para_24"/>
      <w:bookmarkEnd w:id="41"/>
      <w:r>
        <w:rPr>
          <w:rFonts w:ascii="arial" w:eastAsia="arial" w:hAnsi="arial" w:cs="arial"/>
          <w:b w:val="0"/>
          <w:i w:val="0"/>
          <w:strike w:val="0"/>
          <w:noProof w:val="0"/>
          <w:color w:val="000000"/>
          <w:position w:val="0"/>
          <w:sz w:val="20"/>
          <w:u w:val="none"/>
          <w:vertAlign w:val="baseline"/>
        </w:rPr>
        <w:t>In January 2014, Petitioner was placed in Cerda's cell. Deputies had told Cerda the crimes were murders. Petitioner introduced himself as "Cheetah." Cerda knew of Cheetah from Petitioner's brother-in-law, "Risky," who had been placed with Cerda earlier. In social conversation,</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Cerda told Petitioner he knew Risky, who had been called out for the murder of Yellow (Martin). Petitioner said Yellow was his friend and "[h]e got killed being a snitch." Petitioner also mentioned another murder just before Yellow's, when Petitioner "killed somebody in front of a doughnut store." Petitioner told Cerda his close friends in 12th Street were Spizo and Junior.</w:t>
      </w:r>
    </w:p>
    <w:p>
      <w:pPr>
        <w:keepNext w:val="0"/>
        <w:spacing w:after="0" w:line="260" w:lineRule="atLeast"/>
        <w:ind w:left="400" w:right="0" w:firstLine="0"/>
        <w:jc w:val="both"/>
      </w:pPr>
      <w:bookmarkStart w:id="42" w:name="Bookmark_para_25"/>
      <w:bookmarkEnd w:id="42"/>
      <w:r>
        <w:rPr>
          <w:rFonts w:ascii="arial" w:eastAsia="arial" w:hAnsi="arial" w:cs="arial"/>
          <w:b w:val="0"/>
          <w:i w:val="0"/>
          <w:strike w:val="0"/>
          <w:noProof w:val="0"/>
          <w:color w:val="000000"/>
          <w:position w:val="0"/>
          <w:sz w:val="20"/>
          <w:u w:val="none"/>
          <w:vertAlign w:val="baseline"/>
        </w:rPr>
        <w:t>The next day, detectives gave Cerda a recording device, and Petitioner was called out of the cell. When Petitioner returned he told Cerda that he was the shooter in the doughnut store murder on Holt. Petitioner had shot a black man who had shot Petitioner before in the leg. The man ran off, and Petitioner ran after him and shot and killed him. Petitioner believed the victim was from South Side Village and "just gangbanging."</w:t>
      </w:r>
    </w:p>
    <w:p>
      <w:pPr>
        <w:keepNext w:val="0"/>
        <w:spacing w:after="0" w:line="260" w:lineRule="atLeast"/>
        <w:ind w:left="400" w:right="0" w:firstLine="0"/>
        <w:jc w:val="both"/>
      </w:pPr>
      <w:bookmarkStart w:id="43" w:name="Bookmark_para_26"/>
      <w:bookmarkEnd w:id="43"/>
      <w:r>
        <w:rPr>
          <w:rFonts w:ascii="arial" w:eastAsia="arial" w:hAnsi="arial" w:cs="arial"/>
          <w:b w:val="0"/>
          <w:i w:val="0"/>
          <w:strike w:val="0"/>
          <w:noProof w:val="0"/>
          <w:color w:val="000000"/>
          <w:position w:val="0"/>
          <w:sz w:val="20"/>
          <w:u w:val="none"/>
          <w:vertAlign w:val="baseline"/>
        </w:rPr>
        <w:t>Over the course of various conversations, Petitioner told Cerda the police took all his clothes on "[t]he day that they raided my pad." Cerda asked: "Remember how you told me they found the shorts?" Petitioner said the shorts were basketball shorts, and also discussed whether gunpowder could get on his shorts, and how to account for it.</w:t>
      </w:r>
    </w:p>
    <w:p>
      <w:pPr>
        <w:keepNext w:val="0"/>
        <w:spacing w:before="200" w:after="0" w:line="260" w:lineRule="atLeast"/>
        <w:ind w:left="400" w:right="0" w:firstLine="0"/>
        <w:jc w:val="both"/>
      </w:pPr>
      <w:bookmarkStart w:id="44" w:name="Bookmark_para_27"/>
      <w:bookmarkEnd w:id="44"/>
      <w:r>
        <w:rPr>
          <w:rFonts w:ascii="arial" w:eastAsia="arial" w:hAnsi="arial" w:cs="arial"/>
          <w:b w:val="0"/>
          <w:i w:val="0"/>
          <w:strike w:val="0"/>
          <w:noProof w:val="0"/>
          <w:color w:val="000000"/>
          <w:position w:val="0"/>
          <w:sz w:val="20"/>
          <w:u w:val="none"/>
          <w:vertAlign w:val="baseline"/>
        </w:rPr>
        <w:t>Petitioner told Cerda he and Spizo were involved in Yellow's</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murder. They asked Yellow to meet them, and then walked up to Yellow's car in an alley between two garages. Petitioner knocked on the driver side window and opened the door, and Spizo shot Yellow, who was in the passenger seat. Petitioner had learned Yellow was an informant after Yellow mistakenly texted Petitioner with a message meant for the police officer.</w:t>
      </w:r>
    </w:p>
    <w:p>
      <w:pPr>
        <w:keepNext w:val="0"/>
        <w:spacing w:after="0" w:line="260" w:lineRule="atLeast"/>
        <w:ind w:left="400" w:right="0" w:firstLine="0"/>
        <w:jc w:val="both"/>
      </w:pPr>
      <w:bookmarkStart w:id="45" w:name="Bookmark_para_28"/>
      <w:bookmarkEnd w:id="45"/>
      <w:r>
        <w:rPr>
          <w:rFonts w:ascii="arial" w:eastAsia="arial" w:hAnsi="arial" w:cs="arial"/>
          <w:b w:val="0"/>
          <w:i w:val="0"/>
          <w:strike w:val="0"/>
          <w:noProof w:val="0"/>
          <w:color w:val="000000"/>
          <w:position w:val="0"/>
          <w:sz w:val="20"/>
          <w:u w:val="none"/>
          <w:vertAlign w:val="baseline"/>
        </w:rPr>
        <w:t>Petitioner told Cerda he committed eight murders in 2013. Petitioner got into the gang life when he was 16.</w:t>
      </w:r>
    </w:p>
    <w:p>
      <w:pPr>
        <w:keepNext w:val="0"/>
        <w:spacing w:after="0" w:line="260" w:lineRule="atLeast"/>
        <w:ind w:left="400" w:right="0" w:firstLine="0"/>
        <w:jc w:val="both"/>
      </w:pPr>
      <w:bookmarkStart w:id="46" w:name="Bookmark_para_29"/>
      <w:bookmarkEnd w:id="46"/>
      <w:r>
        <w:rPr>
          <w:rFonts w:ascii="arial" w:eastAsia="arial" w:hAnsi="arial" w:cs="arial"/>
          <w:b w:val="0"/>
          <w:i w:val="0"/>
          <w:strike w:val="0"/>
          <w:noProof w:val="0"/>
          <w:color w:val="000000"/>
          <w:position w:val="0"/>
          <w:sz w:val="20"/>
          <w:u w:val="none"/>
          <w:vertAlign w:val="baseline"/>
        </w:rPr>
        <w:t>The jury heard recordings (some of which were unintelligible) and saw transcripts of the conversations.</w:t>
      </w:r>
    </w:p>
    <w:p/>
    <w:p>
      <w:pPr>
        <w:keepNext w:val="0"/>
        <w:spacing w:before="240" w:after="0" w:line="260" w:lineRule="atLeast"/>
        <w:ind w:left="400" w:right="0" w:firstLine="0"/>
        <w:jc w:val="both"/>
      </w:pPr>
      <w:r>
        <w:rPr>
          <w:rFonts w:ascii="arial" w:eastAsia="arial" w:hAnsi="arial" w:cs="arial"/>
          <w:b/>
          <w:i w:val="0"/>
          <w:strike w:val="0"/>
          <w:noProof w:val="0"/>
          <w:color w:val="000000"/>
          <w:position w:val="0"/>
          <w:sz w:val="20"/>
          <w:u w:val="none"/>
          <w:vertAlign w:val="baseline"/>
        </w:rPr>
        <w:t xml:space="preserve">5. </w:t>
      </w:r>
      <w:r>
        <w:rPr>
          <w:rFonts w:ascii="arial" w:eastAsia="arial" w:hAnsi="arial" w:cs="arial"/>
          <w:b/>
          <w:i/>
          <w:strike w:val="0"/>
          <w:noProof w:val="0"/>
          <w:color w:val="000000"/>
          <w:position w:val="0"/>
          <w:sz w:val="20"/>
          <w:u w:val="none"/>
          <w:vertAlign w:val="baseline"/>
        </w:rPr>
        <w:t>Defense evidence</w:t>
      </w:r>
    </w:p>
    <w:p>
      <w:pPr>
        <w:keepNext w:val="0"/>
        <w:spacing w:after="0" w:line="260" w:lineRule="atLeast"/>
        <w:ind w:left="400" w:right="0" w:firstLine="0"/>
        <w:jc w:val="both"/>
      </w:pPr>
      <w:bookmarkStart w:id="47" w:name="Bookmark_para_30"/>
      <w:bookmarkEnd w:id="47"/>
      <w:r>
        <w:rPr>
          <w:rFonts w:ascii="arial" w:eastAsia="arial" w:hAnsi="arial" w:cs="arial"/>
          <w:b w:val="0"/>
          <w:i w:val="0"/>
          <w:strike w:val="0"/>
          <w:noProof w:val="0"/>
          <w:color w:val="000000"/>
          <w:position w:val="0"/>
          <w:sz w:val="20"/>
          <w:u w:val="none"/>
          <w:vertAlign w:val="baseline"/>
        </w:rPr>
        <w:t>An expert on eyewitness identification testified that memory is much more imprecise than a camera. The accuracy of an identification (including one made by looking at a surveillance video) depends on multiple factors such as exposure time and whether the face is visible. An identification based on body type or gait was less reliable.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LD 10 at 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STANDARD OF REVIEW</w:t>
      </w:r>
    </w:p>
    <w:p>
      <w:pPr>
        <w:keepNext w:val="0"/>
        <w:spacing w:before="240" w:after="0" w:line="260" w:lineRule="atLeast"/>
        <w:ind w:left="0" w:right="0" w:firstLine="0"/>
        <w:jc w:val="both"/>
      </w:pPr>
      <w:bookmarkStart w:id="48" w:name="Bookmark_para_31"/>
      <w:bookmarkEnd w:id="48"/>
      <w:r>
        <w:rPr>
          <w:rFonts w:ascii="arial" w:eastAsia="arial" w:hAnsi="arial" w:cs="arial"/>
          <w:b w:val="0"/>
          <w:i w:val="0"/>
          <w:strike w:val="0"/>
          <w:noProof w:val="0"/>
          <w:color w:val="000000"/>
          <w:position w:val="0"/>
          <w:sz w:val="20"/>
          <w:u w:val="none"/>
          <w:vertAlign w:val="baseline"/>
        </w:rPr>
        <w:t xml:space="preserve">The Petition is governed by the Antiterrorism and Effective Death Penalty Act of 1996 ("AEDPA"), </w:t>
      </w:r>
      <w:hyperlink r:id="rId15"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AEDPA bars the relitigation of any claim adjudicated on the merits by a state court unless the state court's decision was (1) "contrary to, or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involved an unreasonable application of, clearly established Federal law, as determined by the Supreme Court of the United States," at the time the state court adjudicated the claim,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or (2) "based on an unreasonable determination of the facts in light of the evidence presented in the State court proceeding,"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15" w:history="1">
        <w:r>
          <w:rPr>
            <w:rFonts w:ascii="arial" w:eastAsia="arial" w:hAnsi="arial" w:cs="arial"/>
            <w:b w:val="0"/>
            <w:i/>
            <w:strike w:val="0"/>
            <w:noProof w:val="0"/>
            <w:color w:val="0077CC"/>
            <w:position w:val="0"/>
            <w:sz w:val="20"/>
            <w:u w:val="single"/>
            <w:vertAlign w:val="baseline"/>
          </w:rPr>
          <w:t>§ 2254(d)(2)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9" w:name="Bookmark_para_32"/>
      <w:bookmarkEnd w:id="49"/>
      <w:bookmarkStart w:id="50" w:name="Bookmark_I6B70NDP2HM6SP0050000400"/>
      <w:bookmarkEnd w:id="50"/>
      <w:bookmarkStart w:id="51" w:name="Bookmark_I6B70NDR2SF8K40020000400"/>
      <w:bookmarkEnd w:id="51"/>
      <w:r>
        <w:rPr>
          <w:rFonts w:ascii="arial" w:eastAsia="arial" w:hAnsi="arial" w:cs="arial"/>
          <w:b w:val="0"/>
          <w:i w:val="0"/>
          <w:strike w:val="0"/>
          <w:noProof w:val="0"/>
          <w:color w:val="000000"/>
          <w:position w:val="0"/>
          <w:sz w:val="20"/>
          <w:u w:val="none"/>
          <w:vertAlign w:val="baseline"/>
        </w:rPr>
        <w:t xml:space="preserve">"The 'contrary to' and 'unreasonable application' clauses of </w:t>
      </w:r>
      <w:hyperlink r:id="rId15"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have independent meaning." </w:t>
      </w:r>
      <w:bookmarkStart w:id="52" w:name="Bookmark_I6B70NDP2HM6SP0040000400"/>
      <w:bookmarkEnd w:id="52"/>
      <w:r>
        <w:rPr>
          <w:rFonts w:ascii="arial" w:eastAsia="arial" w:hAnsi="arial" w:cs="arial"/>
          <w:b w:val="0"/>
          <w:i/>
          <w:strike w:val="0"/>
          <w:noProof w:val="0"/>
          <w:color w:val="000000"/>
          <w:position w:val="0"/>
          <w:sz w:val="20"/>
          <w:u w:val="single"/>
          <w:vertAlign w:val="baseline"/>
        </w:rPr>
        <w:t>Cook v. Kernan</w:t>
      </w:r>
      <w:r>
        <w:rPr>
          <w:rFonts w:ascii="arial" w:eastAsia="arial" w:hAnsi="arial" w:cs="arial"/>
          <w:b w:val="0"/>
          <w:i/>
          <w:strike w:val="0"/>
          <w:noProof w:val="0"/>
          <w:color w:val="000000"/>
          <w:position w:val="0"/>
          <w:sz w:val="20"/>
          <w:u w:val="none"/>
          <w:vertAlign w:val="baseline"/>
        </w:rPr>
        <w:t>, 948 F.3d 952, 965 (9th Cir. 2020)</w:t>
      </w:r>
      <w:r>
        <w:rPr>
          <w:rFonts w:ascii="arial" w:eastAsia="arial" w:hAnsi="arial" w:cs="arial"/>
          <w:b w:val="0"/>
          <w:i w:val="0"/>
          <w:strike w:val="0"/>
          <w:noProof w:val="0"/>
          <w:color w:val="000000"/>
          <w:position w:val="0"/>
          <w:sz w:val="20"/>
          <w:u w:val="none"/>
          <w:vertAlign w:val="baseline"/>
        </w:rPr>
        <w:t xml:space="preserve"> (citation omitted). </w:t>
      </w:r>
      <w:bookmarkStart w:id="53" w:name="Bookmark_I6B70NDR2SF8K40040000400"/>
      <w:bookmarkEnd w:id="53"/>
      <w:r>
        <w:rPr>
          <w:rFonts w:ascii="arial" w:eastAsia="arial" w:hAnsi="arial" w:cs="arial"/>
          <w:b w:val="0"/>
          <w:i w:val="0"/>
          <w:strike w:val="0"/>
          <w:noProof w:val="0"/>
          <w:color w:val="000000"/>
          <w:position w:val="0"/>
          <w:sz w:val="20"/>
          <w:u w:val="none"/>
          <w:vertAlign w:val="baseline"/>
        </w:rPr>
        <w:t xml:space="preserve">A state court's decision is "contrary to" clearly established federal law if it fails to apply controlling authority, "applies a rule that contradicts the governing law," or "confronts a set of facts that are materially indistinguishable from a decision of [the Supreme] Court" and reaches a different result. </w:t>
      </w:r>
      <w:bookmarkStart w:id="54" w:name="Bookmark_I6B70NDR2SF8K40010000400"/>
      <w:bookmarkEnd w:id="54"/>
      <w:hyperlink r:id="rId16" w:history="1">
        <w:r>
          <w:rPr>
            <w:rFonts w:ascii="arial" w:eastAsia="arial" w:hAnsi="arial" w:cs="arial"/>
            <w:b w:val="0"/>
            <w:i/>
            <w:strike w:val="0"/>
            <w:noProof w:val="0"/>
            <w:color w:val="0077CC"/>
            <w:position w:val="0"/>
            <w:sz w:val="20"/>
            <w:u w:val="single"/>
            <w:vertAlign w:val="baseline"/>
          </w:rPr>
          <w:t>Williams v. Taylor</w:t>
        </w:r>
      </w:hyperlink>
      <w:hyperlink r:id="rId16" w:history="1">
        <w:r>
          <w:rPr>
            <w:rFonts w:ascii="arial" w:eastAsia="arial" w:hAnsi="arial" w:cs="arial"/>
            <w:b w:val="0"/>
            <w:i/>
            <w:strike w:val="0"/>
            <w:noProof w:val="0"/>
            <w:color w:val="0077CC"/>
            <w:position w:val="0"/>
            <w:sz w:val="20"/>
            <w:u w:val="single"/>
            <w:vertAlign w:val="baseline"/>
          </w:rPr>
          <w:t>, 529 U.S. 362, 405-06, 120 S. Ct. 1495, 146 L. Ed. 2d 389 (2000)</w:t>
        </w:r>
      </w:hyperlink>
      <w:r>
        <w:rPr>
          <w:rFonts w:ascii="arial" w:eastAsia="arial" w:hAnsi="arial" w:cs="arial"/>
          <w:b w:val="0"/>
          <w:i w:val="0"/>
          <w:strike w:val="0"/>
          <w:noProof w:val="0"/>
          <w:color w:val="000000"/>
          <w:position w:val="0"/>
          <w:sz w:val="20"/>
          <w:u w:val="none"/>
          <w:vertAlign w:val="baseline"/>
        </w:rPr>
        <w:t xml:space="preserve">. </w:t>
      </w:r>
      <w:bookmarkStart w:id="55" w:name="Bookmark_I6B70NDR2SF8K40040000400_2"/>
      <w:bookmarkEnd w:id="55"/>
      <w:r>
        <w:rPr>
          <w:rFonts w:ascii="arial" w:eastAsia="arial" w:hAnsi="arial" w:cs="arial"/>
          <w:b w:val="0"/>
          <w:i w:val="0"/>
          <w:strike w:val="0"/>
          <w:noProof w:val="0"/>
          <w:color w:val="000000"/>
          <w:position w:val="0"/>
          <w:sz w:val="20"/>
          <w:u w:val="none"/>
          <w:vertAlign w:val="baseline"/>
        </w:rPr>
        <w:t xml:space="preserve">A decision is an "unreasonable application" of clearly established federal law if it "correctly identifies the governing legal rule but applies it unreasonably to the facts" of the case. </w:t>
      </w:r>
      <w:bookmarkStart w:id="56" w:name="Bookmark_I6B70NDR2SF8K40030000400"/>
      <w:bookmarkEnd w:id="56"/>
      <w:hyperlink r:id="rId16" w:history="1">
        <w:r>
          <w:rPr>
            <w:rFonts w:ascii="arial" w:eastAsia="arial" w:hAnsi="arial" w:cs="arial"/>
            <w:b w:val="0"/>
            <w:i/>
            <w:strike w:val="0"/>
            <w:noProof w:val="0"/>
            <w:color w:val="0077CC"/>
            <w:position w:val="0"/>
            <w:sz w:val="20"/>
            <w:u w:val="single"/>
            <w:vertAlign w:val="baseline"/>
          </w:rPr>
          <w:t>Id.</w:t>
        </w:r>
      </w:hyperlink>
      <w:hyperlink r:id="rId16" w:history="1">
        <w:r>
          <w:rPr>
            <w:rFonts w:ascii="arial" w:eastAsia="arial" w:hAnsi="arial" w:cs="arial"/>
            <w:b w:val="0"/>
            <w:i/>
            <w:strike w:val="0"/>
            <w:noProof w:val="0"/>
            <w:color w:val="0077CC"/>
            <w:position w:val="0"/>
            <w:sz w:val="20"/>
            <w:u w:val="single"/>
            <w:vertAlign w:val="baseline"/>
          </w:rPr>
          <w:t xml:space="preserve"> at 407-08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7" w:name="Bookmark_para_33"/>
      <w:bookmarkEnd w:id="57"/>
      <w:r>
        <w:rPr>
          <w:rFonts w:ascii="arial" w:eastAsia="arial" w:hAnsi="arial" w:cs="arial"/>
          <w:b w:val="0"/>
          <w:i w:val="0"/>
          <w:strike w:val="0"/>
          <w:noProof w:val="0"/>
          <w:color w:val="000000"/>
          <w:position w:val="0"/>
          <w:sz w:val="20"/>
          <w:u w:val="none"/>
          <w:vertAlign w:val="baseline"/>
        </w:rPr>
        <w:t xml:space="preserve">Here, Petitioner presented his claims to the California Court of Appeal, which issued a reasoned decision.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10. The California Supreme Court summarily denied review. </w:t>
      </w:r>
      <w:bookmarkStart w:id="58" w:name="Bookmark_I6B70NDR2N1RWP0010000400"/>
      <w:bookmarkEnd w:id="5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12. Therefore, except as otherwise discussed below, for purposes of applying the AEDPA standard</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of review, the California Court of Appeal's decision is the relevant state court adjudication as to this portion of Petitioner's claims. See </w:t>
      </w:r>
      <w:bookmarkStart w:id="59" w:name="Bookmark_I6B70NDR2SF8K40050000400"/>
      <w:bookmarkEnd w:id="59"/>
      <w:hyperlink r:id="rId17" w:history="1">
        <w:r>
          <w:rPr>
            <w:rFonts w:ascii="arial" w:eastAsia="arial" w:hAnsi="arial" w:cs="arial"/>
            <w:b w:val="0"/>
            <w:i/>
            <w:strike w:val="0"/>
            <w:noProof w:val="0"/>
            <w:color w:val="0077CC"/>
            <w:position w:val="0"/>
            <w:sz w:val="20"/>
            <w:u w:val="single"/>
            <w:vertAlign w:val="baseline"/>
          </w:rPr>
          <w:t>Wilson v. Sellers</w:t>
        </w:r>
      </w:hyperlink>
      <w:hyperlink r:id="rId17" w:history="1">
        <w:r>
          <w:rPr>
            <w:rFonts w:ascii="arial" w:eastAsia="arial" w:hAnsi="arial" w:cs="arial"/>
            <w:b w:val="0"/>
            <w:i/>
            <w:strike w:val="0"/>
            <w:noProof w:val="0"/>
            <w:color w:val="0077CC"/>
            <w:position w:val="0"/>
            <w:sz w:val="20"/>
            <w:u w:val="single"/>
            <w:vertAlign w:val="baseline"/>
          </w:rPr>
          <w:t xml:space="preserve">, 584 U.S. </w:t>
        </w:r>
      </w:hyperlink>
      <w:hyperlink r:id="rId17" w:history="1">
        <w:r>
          <w:rPr>
            <w:rFonts w:ascii="arial" w:eastAsia="arial" w:hAnsi="arial" w:cs="arial"/>
            <w:b w:val="0"/>
            <w:i/>
            <w:strike w:val="0"/>
            <w:noProof w:val="0"/>
            <w:color w:val="0077CC"/>
            <w:position w:val="0"/>
            <w:sz w:val="20"/>
            <w:u w:val="single"/>
            <w:vertAlign w:val="baseline"/>
          </w:rPr>
          <w:t>   </w:t>
        </w:r>
      </w:hyperlink>
      <w:hyperlink r:id="rId17" w:history="1">
        <w:r>
          <w:rPr>
            <w:rFonts w:ascii="arial" w:eastAsia="arial" w:hAnsi="arial" w:cs="arial"/>
            <w:b w:val="0"/>
            <w:i/>
            <w:strike w:val="0"/>
            <w:noProof w:val="0"/>
            <w:color w:val="0077CC"/>
            <w:position w:val="0"/>
            <w:sz w:val="20"/>
            <w:u w:val="single"/>
            <w:vertAlign w:val="baseline"/>
          </w:rPr>
          <w:t>, 138 S. Ct. 1188, 1192 (2018)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w:t>
      </w:r>
      <w:r>
        <w:rPr>
          <w:rFonts w:ascii="arial" w:eastAsia="arial" w:hAnsi="arial" w:cs="arial"/>
          <w:b/>
          <w:i w:val="0"/>
          <w:strike w:val="0"/>
          <w:noProof w:val="0"/>
          <w:color w:val="000000"/>
          <w:position w:val="0"/>
          <w:sz w:val="20"/>
          <w:u w:val="single"/>
          <w:vertAlign w:val="baseline"/>
        </w:rPr>
        <w:t>Denial of Cross-Examination/Confrontation</w:t>
      </w:r>
    </w:p>
    <w:p>
      <w:pPr>
        <w:keepNext w:val="0"/>
        <w:spacing w:before="200" w:after="0" w:line="260" w:lineRule="atLeast"/>
        <w:ind w:left="0" w:right="0" w:firstLine="0"/>
        <w:jc w:val="both"/>
      </w:pPr>
      <w:bookmarkStart w:id="60" w:name="Bookmark_para_34"/>
      <w:bookmarkEnd w:id="60"/>
      <w:r>
        <w:rPr>
          <w:rFonts w:ascii="arial" w:eastAsia="arial" w:hAnsi="arial" w:cs="arial"/>
          <w:b w:val="0"/>
          <w:i w:val="0"/>
          <w:strike w:val="0"/>
          <w:noProof w:val="0"/>
          <w:color w:val="000000"/>
          <w:position w:val="0"/>
          <w:sz w:val="20"/>
          <w:u w:val="none"/>
          <w:vertAlign w:val="baseline"/>
        </w:rPr>
        <w:t xml:space="preserve">Petitioner contends that the trial court deprived him of a fair trial by preventing the defense from reopening the cross-examination of the jailhouse informant about his "voluntary" trial testimony.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Petition at 13-14;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LD 4 at 35.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w:t>
      </w:r>
    </w:p>
    <w:p>
      <w:pPr>
        <w:keepNext w:val="0"/>
        <w:spacing w:before="200" w:after="0" w:line="260" w:lineRule="atLeast"/>
        <w:ind w:left="0" w:right="0" w:firstLine="0"/>
        <w:jc w:val="both"/>
      </w:pPr>
      <w:bookmarkStart w:id="61" w:name="Bookmark_para_35"/>
      <w:bookmarkEnd w:id="61"/>
      <w:r>
        <w:rPr>
          <w:rFonts w:ascii="arial" w:eastAsia="arial" w:hAnsi="arial" w:cs="arial"/>
          <w:b w:val="0"/>
          <w:i w:val="0"/>
          <w:strike w:val="0"/>
          <w:noProof w:val="0"/>
          <w:color w:val="000000"/>
          <w:position w:val="0"/>
          <w:sz w:val="20"/>
          <w:u w:val="none"/>
          <w:vertAlign w:val="baseline"/>
        </w:rPr>
        <w:t xml:space="preserve">At trial, Brandon Cerda testified as a prosecution witness. Cerda described how he began cooperating with law enforcement while he was in custody in 2013, by providing information about drugs being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the jail.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2113-14. Cerda's cooperation with law enforcement continued after he was released from custody; in exchange for his continued cooperation, he was compensated by the Sheriff's Department.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2115-17.</w:t>
      </w:r>
    </w:p>
    <w:p>
      <w:pPr>
        <w:keepNext w:val="0"/>
        <w:spacing w:before="200" w:after="0" w:line="260" w:lineRule="atLeast"/>
        <w:ind w:left="0" w:right="0" w:firstLine="0"/>
        <w:jc w:val="both"/>
      </w:pPr>
      <w:bookmarkStart w:id="62" w:name="Bookmark_para_36"/>
      <w:bookmarkEnd w:id="62"/>
      <w:r>
        <w:rPr>
          <w:rFonts w:ascii="arial" w:eastAsia="arial" w:hAnsi="arial" w:cs="arial"/>
          <w:b w:val="0"/>
          <w:i w:val="0"/>
          <w:strike w:val="0"/>
          <w:noProof w:val="0"/>
          <w:color w:val="000000"/>
          <w:position w:val="0"/>
          <w:sz w:val="20"/>
          <w:u w:val="none"/>
          <w:vertAlign w:val="baseline"/>
        </w:rPr>
        <w:t xml:space="preserve">Notwithstanding his ongoing work as a paid informant, Cerda was arrested for cargo theft and returned to custody.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2117-18. Once back in jail, Cerda was contacted by his "handler" who asked him to wear a recording device, which he agreed to do.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2118-20. Cerda was then placed in a cell with inmates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who were under investigation; after a day or two, deputies would "stir[] up" Cerda's new cellmate by calling him out for questioning.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2119. Then, when the cellmate was returned to his cell, Cerda would be wearing a recording device to capture any ensuing conversation.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2119-20.</w:t>
      </w:r>
    </w:p>
    <w:p>
      <w:pPr>
        <w:keepNext w:val="0"/>
        <w:spacing w:before="200" w:after="0" w:line="260" w:lineRule="atLeast"/>
        <w:ind w:left="0" w:right="0" w:firstLine="0"/>
        <w:jc w:val="both"/>
      </w:pPr>
      <w:bookmarkStart w:id="63" w:name="Bookmark_para_37"/>
      <w:bookmarkEnd w:id="63"/>
      <w:r>
        <w:rPr>
          <w:rFonts w:ascii="arial" w:eastAsia="arial" w:hAnsi="arial" w:cs="arial"/>
          <w:b w:val="0"/>
          <w:i w:val="0"/>
          <w:strike w:val="0"/>
          <w:noProof w:val="0"/>
          <w:color w:val="000000"/>
          <w:position w:val="0"/>
          <w:sz w:val="20"/>
          <w:u w:val="none"/>
          <w:vertAlign w:val="baseline"/>
        </w:rPr>
        <w:t xml:space="preserve">One of the cellmates recorded by Cerda was Petitioner. The prosecution introduced several recorded jailhouse conversations between Petitioner and Cerda.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2139-40, 2151, 2153-54, 2156-2400, 2405-07, 2410-14; 2 CT 166-80, 182-214, 216-20, 222-26, 228-31, 233-37, 239-45, 247-49 (transcripts).</w:t>
      </w:r>
    </w:p>
    <w:p>
      <w:pPr>
        <w:keepNext w:val="0"/>
        <w:spacing w:before="200" w:after="0" w:line="260" w:lineRule="atLeast"/>
        <w:ind w:left="0" w:right="0" w:firstLine="0"/>
        <w:jc w:val="both"/>
      </w:pPr>
      <w:bookmarkStart w:id="64" w:name="Bookmark_para_38"/>
      <w:bookmarkEnd w:id="64"/>
      <w:r>
        <w:rPr>
          <w:rFonts w:ascii="arial" w:eastAsia="arial" w:hAnsi="arial" w:cs="arial"/>
          <w:b w:val="0"/>
          <w:i w:val="0"/>
          <w:strike w:val="0"/>
          <w:noProof w:val="0"/>
          <w:color w:val="000000"/>
          <w:position w:val="0"/>
          <w:sz w:val="20"/>
          <w:u w:val="none"/>
          <w:vertAlign w:val="baseline"/>
        </w:rPr>
        <w:t xml:space="preserve">Cerda admitted suffering convictions for robbery, second degree burglary, vehicle theft, and cargo theft.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2419-23, 2426-27. Cerda also admitted receiving consideration at sentencing in more than one criminal case. Specifically, Cerda testified to receiving, over the prosecutor's objections, a sentence of time served and a suspended sentence in 2014.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2113-15, 2122-24, 2436-37, 2466-67.</w:t>
      </w:r>
    </w:p>
    <w:p>
      <w:pPr>
        <w:keepNext w:val="0"/>
        <w:spacing w:before="200" w:after="0" w:line="260" w:lineRule="atLeast"/>
        <w:ind w:left="0" w:right="0" w:firstLine="0"/>
        <w:jc w:val="both"/>
      </w:pPr>
      <w:bookmarkStart w:id="65" w:name="Bookmark_para_39"/>
      <w:bookmarkEnd w:id="65"/>
      <w:r>
        <w:rPr>
          <w:rFonts w:ascii="arial" w:eastAsia="arial" w:hAnsi="arial" w:cs="arial"/>
          <w:b w:val="0"/>
          <w:i w:val="0"/>
          <w:strike w:val="0"/>
          <w:noProof w:val="0"/>
          <w:color w:val="000000"/>
          <w:position w:val="0"/>
          <w:sz w:val="20"/>
          <w:u w:val="none"/>
          <w:vertAlign w:val="baseline"/>
        </w:rPr>
        <w:t>On cross-examination, Cerda insisted that his testimony in Petitioner's case was proper and voluntary. For example, Cerda testified that:</w:t>
      </w:r>
    </w:p>
    <w:p>
      <w:pPr>
        <w:keepNext w:val="0"/>
        <w:spacing w:before="200" w:after="0" w:line="260" w:lineRule="atLeast"/>
        <w:ind w:left="400" w:right="0" w:firstLine="0"/>
        <w:jc w:val="both"/>
      </w:pPr>
      <w:bookmarkStart w:id="66" w:name="Bookmark_para_40"/>
      <w:bookmarkEnd w:id="66"/>
      <w:r>
        <w:rPr>
          <w:rFonts w:ascii="arial" w:eastAsia="arial" w:hAnsi="arial" w:cs="arial"/>
          <w:b w:val="0"/>
          <w:i w:val="0"/>
          <w:strike w:val="0"/>
          <w:noProof w:val="0"/>
          <w:color w:val="000000"/>
          <w:position w:val="0"/>
          <w:sz w:val="20"/>
          <w:u w:val="none"/>
          <w:vertAlign w:val="baseline"/>
        </w:rPr>
        <w:t>• He was still on probation and, therefore, could not violate the</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law.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2437.</w:t>
      </w:r>
    </w:p>
    <w:p>
      <w:pPr>
        <w:keepNext w:val="0"/>
        <w:spacing w:after="0" w:line="260" w:lineRule="atLeast"/>
        <w:ind w:left="400" w:right="0" w:firstLine="0"/>
        <w:jc w:val="both"/>
      </w:pPr>
      <w:bookmarkStart w:id="67" w:name="Bookmark_para_41"/>
      <w:bookmarkEnd w:id="67"/>
      <w:r>
        <w:rPr>
          <w:rFonts w:ascii="arial" w:eastAsia="arial" w:hAnsi="arial" w:cs="arial"/>
          <w:b w:val="0"/>
          <w:i w:val="0"/>
          <w:strike w:val="0"/>
          <w:noProof w:val="0"/>
          <w:color w:val="000000"/>
          <w:position w:val="0"/>
          <w:sz w:val="20"/>
          <w:u w:val="none"/>
          <w:vertAlign w:val="baseline"/>
        </w:rPr>
        <w:t>• He had "no agreement with anybody for [his recent cargo theft] case being filed. I posted bond just like any normal person." 4 RT 2441.</w:t>
      </w:r>
    </w:p>
    <w:p>
      <w:pPr>
        <w:keepNext w:val="0"/>
        <w:spacing w:before="200" w:after="0" w:line="260" w:lineRule="atLeast"/>
        <w:ind w:left="400" w:right="0" w:firstLine="0"/>
        <w:jc w:val="both"/>
      </w:pPr>
      <w:bookmarkStart w:id="68" w:name="Bookmark_para_42"/>
      <w:bookmarkEnd w:id="68"/>
      <w:r>
        <w:rPr>
          <w:rFonts w:ascii="arial" w:eastAsia="arial" w:hAnsi="arial" w:cs="arial"/>
          <w:b w:val="0"/>
          <w:i w:val="0"/>
          <w:strike w:val="0"/>
          <w:noProof w:val="0"/>
          <w:color w:val="000000"/>
          <w:position w:val="0"/>
          <w:sz w:val="20"/>
          <w:u w:val="none"/>
          <w:vertAlign w:val="baseline"/>
        </w:rPr>
        <w:t xml:space="preserve">• He received "use immunity" for his testimony in Petitioner's case, meaning that so long as he testified truthfully, his testimony could not be used against him if he were to face charges related to the latest incident of cargo theft.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2441-42, 2473.</w:t>
      </w:r>
    </w:p>
    <w:p>
      <w:pPr>
        <w:keepNext w:val="0"/>
        <w:spacing w:after="0" w:line="260" w:lineRule="atLeast"/>
        <w:ind w:left="400" w:right="0" w:firstLine="0"/>
        <w:jc w:val="both"/>
      </w:pPr>
      <w:bookmarkStart w:id="69" w:name="Bookmark_para_43"/>
      <w:bookmarkEnd w:id="69"/>
      <w:r>
        <w:rPr>
          <w:rFonts w:ascii="arial" w:eastAsia="arial" w:hAnsi="arial" w:cs="arial"/>
          <w:b w:val="0"/>
          <w:i w:val="0"/>
          <w:strike w:val="0"/>
          <w:noProof w:val="0"/>
          <w:color w:val="000000"/>
          <w:position w:val="0"/>
          <w:sz w:val="20"/>
          <w:u w:val="none"/>
          <w:vertAlign w:val="baseline"/>
        </w:rPr>
        <w:t>• He was testifying because he was just being a "good citizen." 4 RT 2443.</w:t>
      </w:r>
    </w:p>
    <w:p>
      <w:pPr>
        <w:keepNext w:val="0"/>
        <w:spacing w:after="0" w:line="260" w:lineRule="atLeast"/>
        <w:ind w:left="400" w:right="0" w:firstLine="0"/>
        <w:jc w:val="both"/>
      </w:pPr>
      <w:bookmarkStart w:id="70" w:name="Bookmark_para_44"/>
      <w:bookmarkEnd w:id="70"/>
      <w:r>
        <w:rPr>
          <w:rFonts w:ascii="arial" w:eastAsia="arial" w:hAnsi="arial" w:cs="arial"/>
          <w:b w:val="0"/>
          <w:i w:val="0"/>
          <w:strike w:val="0"/>
          <w:noProof w:val="0"/>
          <w:color w:val="000000"/>
          <w:position w:val="0"/>
          <w:sz w:val="20"/>
          <w:u w:val="none"/>
          <w:vertAlign w:val="baseline"/>
        </w:rPr>
        <w:t>• "[N]obody here could make me come in today." 4 RT 2469.</w:t>
      </w:r>
    </w:p>
    <w:p>
      <w:pPr>
        <w:keepNext w:val="0"/>
        <w:spacing w:after="0" w:line="260" w:lineRule="atLeast"/>
        <w:ind w:left="400" w:right="0" w:firstLine="0"/>
        <w:jc w:val="both"/>
      </w:pPr>
      <w:bookmarkStart w:id="71" w:name="Bookmark_para_45"/>
      <w:bookmarkEnd w:id="71"/>
      <w:r>
        <w:rPr>
          <w:rFonts w:ascii="arial" w:eastAsia="arial" w:hAnsi="arial" w:cs="arial"/>
          <w:b w:val="0"/>
          <w:i w:val="0"/>
          <w:strike w:val="0"/>
          <w:noProof w:val="0"/>
          <w:color w:val="000000"/>
          <w:position w:val="0"/>
          <w:sz w:val="20"/>
          <w:u w:val="none"/>
          <w:vertAlign w:val="baseline"/>
        </w:rPr>
        <w:t>• "I did the recordings. I got the letters of leniency. I have no more ties to law enforcement. I have no more ties with Mr. Bean [the prosecutor] or anybody here." 4 RT 2470.</w:t>
      </w:r>
    </w:p>
    <w:p>
      <w:pPr>
        <w:keepNext w:val="0"/>
        <w:spacing w:after="0" w:line="260" w:lineRule="atLeast"/>
        <w:ind w:left="400" w:right="0" w:firstLine="0"/>
        <w:jc w:val="both"/>
      </w:pPr>
      <w:bookmarkStart w:id="72" w:name="Bookmark_para_46"/>
      <w:bookmarkEnd w:id="72"/>
      <w:r>
        <w:rPr>
          <w:rFonts w:ascii="arial" w:eastAsia="arial" w:hAnsi="arial" w:cs="arial"/>
          <w:b w:val="0"/>
          <w:i w:val="0"/>
          <w:strike w:val="0"/>
          <w:noProof w:val="0"/>
          <w:color w:val="000000"/>
          <w:position w:val="0"/>
          <w:sz w:val="20"/>
          <w:u w:val="none"/>
          <w:vertAlign w:val="baseline"/>
        </w:rPr>
        <w:t>• "I just explained to you that I have no obligation to come back. Just - this case or any case that I have done a recording on. I have no obligation to be here." 4 RT 2470.</w:t>
      </w:r>
    </w:p>
    <w:p>
      <w:pPr>
        <w:keepNext w:val="0"/>
        <w:spacing w:after="0" w:line="260" w:lineRule="atLeast"/>
        <w:ind w:left="400" w:right="0" w:firstLine="0"/>
        <w:jc w:val="both"/>
      </w:pPr>
      <w:bookmarkStart w:id="73" w:name="Bookmark_para_47"/>
      <w:bookmarkEnd w:id="73"/>
      <w:r>
        <w:rPr>
          <w:rFonts w:ascii="arial" w:eastAsia="arial" w:hAnsi="arial" w:cs="arial"/>
          <w:b w:val="0"/>
          <w:i w:val="0"/>
          <w:strike w:val="0"/>
          <w:noProof w:val="0"/>
          <w:color w:val="000000"/>
          <w:position w:val="0"/>
          <w:sz w:val="20"/>
          <w:u w:val="none"/>
          <w:vertAlign w:val="baseline"/>
        </w:rPr>
        <w:t>• "All of this is voluntary, ma'am. . . It's no part of no deal. I'm not trying to be upset up here, but I have no obligation to be here today." 4 RT 2471.</w:t>
      </w:r>
    </w:p>
    <w:p>
      <w:pPr>
        <w:keepNext w:val="0"/>
        <w:spacing w:before="200" w:after="0" w:line="260" w:lineRule="atLeast"/>
        <w:ind w:left="400" w:right="0" w:firstLine="0"/>
        <w:jc w:val="both"/>
      </w:pPr>
      <w:bookmarkStart w:id="74" w:name="Bookmark_para_48"/>
      <w:bookmarkEnd w:id="74"/>
      <w:r>
        <w:rPr>
          <w:rFonts w:ascii="arial" w:eastAsia="arial" w:hAnsi="arial" w:cs="arial"/>
          <w:b w:val="0"/>
          <w:i w:val="0"/>
          <w:strike w:val="0"/>
          <w:noProof w:val="0"/>
          <w:color w:val="000000"/>
          <w:position w:val="0"/>
          <w:sz w:val="20"/>
          <w:u w:val="none"/>
          <w:vertAlign w:val="baseline"/>
        </w:rPr>
        <w:t xml:space="preserve">• His testimony had nothing to do with his new arrest and his still being on probation.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75" w:name="Bookmark_para_49"/>
      <w:bookmarkEnd w:id="75"/>
      <w:r>
        <w:rPr>
          <w:rFonts w:ascii="arial" w:eastAsia="arial" w:hAnsi="arial" w:cs="arial"/>
          <w:b w:val="0"/>
          <w:i w:val="0"/>
          <w:strike w:val="0"/>
          <w:noProof w:val="0"/>
          <w:color w:val="000000"/>
          <w:position w:val="0"/>
          <w:sz w:val="20"/>
          <w:u w:val="none"/>
          <w:vertAlign w:val="baseline"/>
        </w:rPr>
        <w:t>During a recess taken in the middle of her closing argument,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Petitioner's counsel asked the trial court outside the jury's presence for permission to re-open Cerda's cross-examination.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 RT 3009 ("at the very least let me reopen with Mr. Cerda"). Petitioner's counsel explained that she had just received certain materials, including a copy of a sealed transcript from Cerda's 2014 sentencing hearing.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 RT 3002. She argued that the transcript showed that, contrary to Cerda's testimony, he was required to testify in Petitioner's case as a term and condition of the sentence of probation imposed by the court.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 RT 3004 ("[I]n these proceedings it says that . . . he does have to come back and he does have to testify and he does have to tell the truth."). The trial court disagreed, noting that the sentencing court did not order Cerda to testify or cooperate with law enforcement as a condition of his probation.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 RT 3011 ("I have a copy of his probation conditions right before me right now and there's no probation condition that he be required or that he cooperate with law enforcement. Zero."). The trial court distinguished between Cerda's probation conditions and his agreement with law enforcement.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 RT 3015 ("But that's not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Court's order. That's the agreement he has with the Sheriffs Department."). The trial court denied Petitioner's request to reopen. The trial court found that that sentencing hearing transcript did not "add anything" to the issue of further impeachment of Cerda.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 RT 3015-16.</w:t>
      </w:r>
    </w:p>
    <w:p>
      <w:pPr>
        <w:keepNext w:val="0"/>
        <w:spacing w:before="240" w:after="0" w:line="260" w:lineRule="atLeast"/>
        <w:ind w:left="0" w:right="0" w:firstLine="0"/>
        <w:jc w:val="both"/>
      </w:pPr>
      <w:bookmarkStart w:id="76" w:name="Bookmark_para_50"/>
      <w:bookmarkEnd w:id="76"/>
      <w:bookmarkStart w:id="77" w:name="Bookmark_I6B70NDR2N1RWP0030000400"/>
      <w:bookmarkEnd w:id="77"/>
      <w:r>
        <w:rPr>
          <w:rFonts w:ascii="arial" w:eastAsia="arial" w:hAnsi="arial" w:cs="arial"/>
          <w:b w:val="0"/>
          <w:i w:val="0"/>
          <w:strike w:val="0"/>
          <w:noProof w:val="0"/>
          <w:color w:val="000000"/>
          <w:position w:val="0"/>
          <w:sz w:val="20"/>
          <w:u w:val="none"/>
          <w:vertAlign w:val="baseline"/>
        </w:rPr>
        <w:t xml:space="preserve">The Court of Appeal held that the trial court did not abuse its discretion in denying the request to reopen.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10 at 20. The Court of Appeal reasoned as follows: "We have also reviewed the sealed transcript, and agree with the trial court that its contents were not significant enough to require reopening for additional cross-examination of Cerda."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Court of Appeal also held that Petitioner's claim that the trial court's denial of the request to reopen violated his federal constitutional right to present a defense was forfeited based on Petitioner's "fail[ure] to raise it during the trial court's consideration of the request to reopen."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78" w:name="Bookmark_I6B70NDR2N1RWP0020000400"/>
      <w:bookmarkEnd w:id="78"/>
      <w:hyperlink r:id="rId18" w:history="1">
        <w:r>
          <w:rPr>
            <w:rFonts w:ascii="arial" w:eastAsia="arial" w:hAnsi="arial" w:cs="arial"/>
            <w:b w:val="0"/>
            <w:i/>
            <w:strike w:val="0"/>
            <w:noProof w:val="0"/>
            <w:color w:val="0077CC"/>
            <w:position w:val="0"/>
            <w:sz w:val="20"/>
            <w:u w:val="single"/>
            <w:vertAlign w:val="baseline"/>
          </w:rPr>
          <w:t>People v. Fuiava</w:t>
        </w:r>
      </w:hyperlink>
      <w:hyperlink r:id="rId18" w:history="1">
        <w:r>
          <w:rPr>
            <w:rFonts w:ascii="arial" w:eastAsia="arial" w:hAnsi="arial" w:cs="arial"/>
            <w:b w:val="0"/>
            <w:i/>
            <w:strike w:val="0"/>
            <w:noProof w:val="0"/>
            <w:color w:val="0077CC"/>
            <w:position w:val="0"/>
            <w:sz w:val="20"/>
            <w:u w:val="single"/>
            <w:vertAlign w:val="baseline"/>
          </w:rPr>
          <w:t>, 53 Cal. 4th 622, 670, 137 Cal. Rptr. 3d 147, 269 P.3d 568 (2012)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Standard</w:t>
      </w:r>
    </w:p>
    <w:p>
      <w:pPr>
        <w:keepNext w:val="0"/>
        <w:spacing w:before="240" w:after="0" w:line="260" w:lineRule="atLeast"/>
        <w:ind w:left="0" w:right="0" w:firstLine="0"/>
        <w:jc w:val="both"/>
      </w:pPr>
      <w:bookmarkStart w:id="79" w:name="Bookmark_para_51"/>
      <w:bookmarkEnd w:id="79"/>
      <w:bookmarkStart w:id="80" w:name="Bookmark_I6B70NDR2N1RWP0050000400"/>
      <w:bookmarkEnd w:id="80"/>
      <w:bookmarkStart w:id="81" w:name="Bookmark_I6B70NDT2D6MV50020000400"/>
      <w:bookmarkEnd w:id="81"/>
      <w:r>
        <w:rPr>
          <w:rFonts w:ascii="arial" w:eastAsia="arial" w:hAnsi="arial" w:cs="arial"/>
          <w:b w:val="0"/>
          <w:i w:val="0"/>
          <w:strike w:val="0"/>
          <w:noProof w:val="0"/>
          <w:color w:val="000000"/>
          <w:position w:val="0"/>
          <w:sz w:val="20"/>
          <w:u w:val="none"/>
          <w:vertAlign w:val="baseline"/>
        </w:rPr>
        <w:t xml:space="preserve">"The main and essential purpose of confrontation is to secure for the opponent the opportunity of cross-examination" to ensure the reliability of the evidence. </w:t>
      </w:r>
      <w:bookmarkStart w:id="82" w:name="Bookmark_I6B70NDT2D6MV50040000400"/>
      <w:bookmarkEnd w:id="82"/>
      <w:bookmarkStart w:id="83" w:name="Bookmark_I6B70NDR2N1RWP0040000400"/>
      <w:bookmarkEnd w:id="83"/>
      <w:hyperlink r:id="rId19" w:history="1">
        <w:r>
          <w:rPr>
            <w:rFonts w:ascii="arial" w:eastAsia="arial" w:hAnsi="arial" w:cs="arial"/>
            <w:b w:val="0"/>
            <w:i/>
            <w:strike w:val="0"/>
            <w:noProof w:val="0"/>
            <w:color w:val="0077CC"/>
            <w:position w:val="0"/>
            <w:sz w:val="20"/>
            <w:u w:val="single"/>
            <w:vertAlign w:val="baseline"/>
          </w:rPr>
          <w:t>Davis v. Alaska</w:t>
        </w:r>
      </w:hyperlink>
      <w:hyperlink r:id="rId19" w:history="1">
        <w:r>
          <w:rPr>
            <w:rFonts w:ascii="arial" w:eastAsia="arial" w:hAnsi="arial" w:cs="arial"/>
            <w:b w:val="0"/>
            <w:i/>
            <w:strike w:val="0"/>
            <w:noProof w:val="0"/>
            <w:color w:val="0077CC"/>
            <w:position w:val="0"/>
            <w:sz w:val="20"/>
            <w:u w:val="single"/>
            <w:vertAlign w:val="baseline"/>
          </w:rPr>
          <w:t>, 415 U.S. 308, 315-16, 94 S. Ct. 1105, 39 L. Ed. 2d 347 (1974)</w:t>
        </w:r>
      </w:hyperlink>
      <w:r>
        <w:rPr>
          <w:rFonts w:ascii="arial" w:eastAsia="arial" w:hAnsi="arial" w:cs="arial"/>
          <w:b w:val="0"/>
          <w:i w:val="0"/>
          <w:strike w:val="0"/>
          <w:noProof w:val="0"/>
          <w:color w:val="000000"/>
          <w:position w:val="0"/>
          <w:sz w:val="20"/>
          <w:u w:val="none"/>
          <w:vertAlign w:val="baseline"/>
        </w:rPr>
        <w:t xml:space="preserve"> (quoting 5 J. Wigmore, Evidence § 1395, p. 123 (3d ed. 1940)). Although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w:t>
      </w:r>
      <w:hyperlink r:id="rId20"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guarantees an opportunity for effective cross-examination, it does not guarantee "cross-examination that is effective in whatever way, and to whatever extent, the defense might wish." </w:t>
      </w:r>
      <w:bookmarkStart w:id="84" w:name="Bookmark_I6B70NDT2D6MV50010000400"/>
      <w:bookmarkEnd w:id="84"/>
      <w:hyperlink r:id="rId21" w:history="1">
        <w:r>
          <w:rPr>
            <w:rFonts w:ascii="arial" w:eastAsia="arial" w:hAnsi="arial" w:cs="arial"/>
            <w:b w:val="0"/>
            <w:i/>
            <w:strike w:val="0"/>
            <w:noProof w:val="0"/>
            <w:color w:val="0077CC"/>
            <w:position w:val="0"/>
            <w:sz w:val="20"/>
            <w:u w:val="single"/>
            <w:vertAlign w:val="baseline"/>
          </w:rPr>
          <w:t>Delaware v. Fensterer</w:t>
        </w:r>
      </w:hyperlink>
      <w:hyperlink r:id="rId21" w:history="1">
        <w:r>
          <w:rPr>
            <w:rFonts w:ascii="arial" w:eastAsia="arial" w:hAnsi="arial" w:cs="arial"/>
            <w:b w:val="0"/>
            <w:i/>
            <w:strike w:val="0"/>
            <w:noProof w:val="0"/>
            <w:color w:val="0077CC"/>
            <w:position w:val="0"/>
            <w:sz w:val="20"/>
            <w:u w:val="single"/>
            <w:vertAlign w:val="baseline"/>
          </w:rPr>
          <w:t>, 474 U.S. 15, 20, 106 S. Ct. 292, 88 L. Ed. 2d 15 (1985)</w:t>
        </w:r>
      </w:hyperlink>
      <w:r>
        <w:rPr>
          <w:rFonts w:ascii="arial" w:eastAsia="arial" w:hAnsi="arial" w:cs="arial"/>
          <w:b w:val="0"/>
          <w:i w:val="0"/>
          <w:strike w:val="0"/>
          <w:noProof w:val="0"/>
          <w:color w:val="000000"/>
          <w:position w:val="0"/>
          <w:sz w:val="20"/>
          <w:u w:val="none"/>
          <w:vertAlign w:val="baseline"/>
        </w:rPr>
        <w:t xml:space="preserve">. </w:t>
      </w:r>
      <w:bookmarkStart w:id="85" w:name="Bookmark_I6B70NDT2D6MV50040000400_2"/>
      <w:bookmarkEnd w:id="85"/>
      <w:r>
        <w:rPr>
          <w:rFonts w:ascii="arial" w:eastAsia="arial" w:hAnsi="arial" w:cs="arial"/>
          <w:b w:val="0"/>
          <w:i w:val="0"/>
          <w:strike w:val="0"/>
          <w:noProof w:val="0"/>
          <w:color w:val="000000"/>
          <w:position w:val="0"/>
          <w:sz w:val="20"/>
          <w:u w:val="none"/>
          <w:vertAlign w:val="baseline"/>
        </w:rPr>
        <w:t xml:space="preserve">Trial courts retain "wide latitude" to impose reasonable limits on cross-examination, and Petitioner has the burden to establish a </w:t>
      </w:r>
      <w:hyperlink r:id="rId20"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violation by showing that a "reasonable jury might have received a significantly different impression of [a witness's] credibility had . . . counsel been permitted to pursue his proposed line of cross-examination." </w:t>
      </w:r>
      <w:bookmarkStart w:id="86" w:name="Bookmark_I6B70NDT2D6MV50030000400"/>
      <w:bookmarkEnd w:id="86"/>
      <w:hyperlink r:id="rId22" w:history="1">
        <w:r>
          <w:rPr>
            <w:rFonts w:ascii="arial" w:eastAsia="arial" w:hAnsi="arial" w:cs="arial"/>
            <w:b w:val="0"/>
            <w:i/>
            <w:strike w:val="0"/>
            <w:noProof w:val="0"/>
            <w:color w:val="0077CC"/>
            <w:position w:val="0"/>
            <w:sz w:val="20"/>
            <w:u w:val="single"/>
            <w:vertAlign w:val="baseline"/>
          </w:rPr>
          <w:t>Delaware v. Van Arsdall</w:t>
        </w:r>
      </w:hyperlink>
      <w:hyperlink r:id="rId22" w:history="1">
        <w:r>
          <w:rPr>
            <w:rFonts w:ascii="arial" w:eastAsia="arial" w:hAnsi="arial" w:cs="arial"/>
            <w:b w:val="0"/>
            <w:i/>
            <w:strike w:val="0"/>
            <w:noProof w:val="0"/>
            <w:color w:val="0077CC"/>
            <w:position w:val="0"/>
            <w:sz w:val="20"/>
            <w:u w:val="single"/>
            <w:vertAlign w:val="baseline"/>
          </w:rPr>
          <w:t>, 475 U.S. 673, 679-80, 106 S. Ct. 1431, 89 L. Ed. 2d 674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w:t>
      </w:r>
    </w:p>
    <w:p>
      <w:pPr>
        <w:keepNext w:val="0"/>
        <w:spacing w:before="200" w:after="0" w:line="260" w:lineRule="atLeast"/>
        <w:ind w:left="0" w:right="0" w:firstLine="0"/>
        <w:jc w:val="both"/>
      </w:pPr>
      <w:bookmarkStart w:id="87" w:name="Bookmark_para_52"/>
      <w:bookmarkEnd w:id="87"/>
      <w:r>
        <w:rPr>
          <w:rFonts w:ascii="arial" w:eastAsia="arial" w:hAnsi="arial" w:cs="arial"/>
          <w:b w:val="0"/>
          <w:i w:val="0"/>
          <w:strike w:val="0"/>
          <w:noProof w:val="0"/>
          <w:color w:val="000000"/>
          <w:position w:val="0"/>
          <w:sz w:val="20"/>
          <w:u w:val="none"/>
          <w:vertAlign w:val="baseline"/>
        </w:rPr>
        <w:t xml:space="preserve">Respondent contends that this claim is procedurally defaulted. </w:t>
      </w:r>
      <w:bookmarkStart w:id="88" w:name="Bookmark_I6B70NDV28T4J80010000400"/>
      <w:bookmarkEnd w:id="88"/>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Answer at 23-24, 26-29. </w:t>
      </w:r>
      <w:bookmarkStart w:id="89" w:name="Bookmark_I6B70NDV28T4J80030000400"/>
      <w:bookmarkEnd w:id="89"/>
      <w:r>
        <w:rPr>
          <w:rFonts w:ascii="arial" w:eastAsia="arial" w:hAnsi="arial" w:cs="arial"/>
          <w:b w:val="0"/>
          <w:i w:val="0"/>
          <w:strike w:val="0"/>
          <w:noProof w:val="0"/>
          <w:color w:val="000000"/>
          <w:position w:val="0"/>
          <w:sz w:val="20"/>
          <w:u w:val="none"/>
          <w:vertAlign w:val="baseline"/>
        </w:rPr>
        <w:t xml:space="preserve">Because, however, the merits of this claim can be easily resolved against Petitioner, the Court declines to address this procedural default argument in the interests of judicial economy. </w:t>
      </w:r>
      <w:r>
        <w:rPr>
          <w:rFonts w:ascii="arial" w:eastAsia="arial" w:hAnsi="arial" w:cs="arial"/>
          <w:b w:val="0"/>
          <w:i w:val="0"/>
          <w:strike w:val="0"/>
          <w:noProof w:val="0"/>
          <w:color w:val="000000"/>
          <w:position w:val="0"/>
          <w:sz w:val="20"/>
          <w:u w:val="single"/>
          <w:vertAlign w:val="baseline"/>
        </w:rPr>
        <w:t xml:space="preserve">See </w:t>
      </w:r>
      <w:bookmarkStart w:id="90" w:name="Bookmark_I6B70NDT2D6MV50050000400"/>
      <w:bookmarkEnd w:id="90"/>
      <w:hyperlink r:id="rId23" w:history="1">
        <w:r>
          <w:rPr>
            <w:rFonts w:ascii="arial" w:eastAsia="arial" w:hAnsi="arial" w:cs="arial"/>
            <w:b w:val="0"/>
            <w:i/>
            <w:strike w:val="0"/>
            <w:noProof w:val="0"/>
            <w:color w:val="0077CC"/>
            <w:position w:val="0"/>
            <w:sz w:val="20"/>
            <w:u w:val="single"/>
            <w:vertAlign w:val="baseline"/>
          </w:rPr>
          <w:t>Lambrix v. Singletary</w:t>
        </w:r>
      </w:hyperlink>
      <w:hyperlink r:id="rId23" w:history="1">
        <w:r>
          <w:rPr>
            <w:rFonts w:ascii="arial" w:eastAsia="arial" w:hAnsi="arial" w:cs="arial"/>
            <w:b w:val="0"/>
            <w:i/>
            <w:strike w:val="0"/>
            <w:noProof w:val="0"/>
            <w:color w:val="0077CC"/>
            <w:position w:val="0"/>
            <w:sz w:val="20"/>
            <w:u w:val="single"/>
            <w:vertAlign w:val="baseline"/>
          </w:rPr>
          <w:t>, 520 U.S. 518, 524-25, 117 S. Ct. 1517, 137 L. Ed. 2d 771 (1997)</w:t>
        </w:r>
      </w:hyperlink>
      <w:r>
        <w:rPr>
          <w:rFonts w:ascii="arial" w:eastAsia="arial" w:hAnsi="arial" w:cs="arial"/>
          <w:b w:val="0"/>
          <w:i w:val="0"/>
          <w:strike w:val="0"/>
          <w:noProof w:val="0"/>
          <w:color w:val="000000"/>
          <w:position w:val="0"/>
          <w:sz w:val="20"/>
          <w:u w:val="none"/>
          <w:vertAlign w:val="baseline"/>
        </w:rPr>
        <w:t xml:space="preserve"> (noting that interests of judicial economy allow federal courts to address merits of allegedly defaulted habeas claim if issue on the merits is clear). </w:t>
      </w:r>
      <w:bookmarkStart w:id="91" w:name="Bookmark_I6B70NDV28T4J80030000400_2"/>
      <w:bookmarkEnd w:id="91"/>
      <w:r>
        <w:rPr>
          <w:rFonts w:ascii="arial" w:eastAsia="arial" w:hAnsi="arial" w:cs="arial"/>
          <w:b w:val="0"/>
          <w:i w:val="0"/>
          <w:strike w:val="0"/>
          <w:noProof w:val="0"/>
          <w:color w:val="000000"/>
          <w:position w:val="0"/>
          <w:sz w:val="20"/>
          <w:u w:val="none"/>
          <w:vertAlign w:val="baseline"/>
        </w:rPr>
        <w:t xml:space="preserve">Because there is arguably no reasoned decision from the state courts, the Court will review these claims de novo. </w:t>
      </w:r>
      <w:r>
        <w:rPr>
          <w:rFonts w:ascii="arial" w:eastAsia="arial" w:hAnsi="arial" w:cs="arial"/>
          <w:b w:val="0"/>
          <w:i w:val="0"/>
          <w:strike w:val="0"/>
          <w:noProof w:val="0"/>
          <w:color w:val="000000"/>
          <w:position w:val="0"/>
          <w:sz w:val="20"/>
          <w:u w:val="single"/>
          <w:vertAlign w:val="baseline"/>
        </w:rPr>
        <w:t xml:space="preserve">See </w:t>
      </w:r>
      <w:bookmarkStart w:id="92" w:name="Bookmark_I6B70NDV28T4J80020000400"/>
      <w:bookmarkEnd w:id="92"/>
      <w:hyperlink r:id="rId24" w:history="1">
        <w:r>
          <w:rPr>
            <w:rFonts w:ascii="arial" w:eastAsia="arial" w:hAnsi="arial" w:cs="arial"/>
            <w:b w:val="0"/>
            <w:i/>
            <w:strike w:val="0"/>
            <w:noProof w:val="0"/>
            <w:color w:val="0077CC"/>
            <w:position w:val="0"/>
            <w:sz w:val="20"/>
            <w:u w:val="single"/>
            <w:vertAlign w:val="baseline"/>
          </w:rPr>
          <w:t>Cone v. Bell</w:t>
        </w:r>
      </w:hyperlink>
      <w:hyperlink r:id="rId24" w:history="1">
        <w:r>
          <w:rPr>
            <w:rFonts w:ascii="arial" w:eastAsia="arial" w:hAnsi="arial" w:cs="arial"/>
            <w:b w:val="0"/>
            <w:i/>
            <w:strike w:val="0"/>
            <w:noProof w:val="0"/>
            <w:color w:val="0077CC"/>
            <w:position w:val="0"/>
            <w:sz w:val="20"/>
            <w:u w:val="single"/>
            <w:vertAlign w:val="baseline"/>
          </w:rPr>
          <w:t>, 556 U.S. 449, 472, 129 S. Ct. 1769, 173 L. Ed. 2d 701 (2009)</w:t>
        </w:r>
      </w:hyperlink>
      <w:r>
        <w:rPr>
          <w:rFonts w:ascii="arial" w:eastAsia="arial" w:hAnsi="arial" w:cs="arial"/>
          <w:b w:val="0"/>
          <w:i w:val="0"/>
          <w:strike w:val="0"/>
          <w:noProof w:val="0"/>
          <w:color w:val="000000"/>
          <w:position w:val="0"/>
          <w:sz w:val="20"/>
          <w:u w:val="none"/>
          <w:vertAlign w:val="baseline"/>
        </w:rPr>
        <w:t xml:space="preserve"> (explaining that where state courts did not reach merits of claim, deferential AEDPA standard does not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apply and review is de novo).</w:t>
      </w:r>
    </w:p>
    <w:p>
      <w:pPr>
        <w:keepNext w:val="0"/>
        <w:spacing w:before="200" w:after="0" w:line="260" w:lineRule="atLeast"/>
        <w:ind w:left="0" w:right="0" w:firstLine="0"/>
        <w:jc w:val="both"/>
      </w:pPr>
      <w:bookmarkStart w:id="93" w:name="Bookmark_para_53"/>
      <w:bookmarkEnd w:id="93"/>
      <w:r>
        <w:rPr>
          <w:rFonts w:ascii="arial" w:eastAsia="arial" w:hAnsi="arial" w:cs="arial"/>
          <w:b w:val="0"/>
          <w:i w:val="0"/>
          <w:strike w:val="0"/>
          <w:noProof w:val="0"/>
          <w:color w:val="000000"/>
          <w:position w:val="0"/>
          <w:sz w:val="20"/>
          <w:u w:val="none"/>
          <w:vertAlign w:val="baseline"/>
        </w:rPr>
        <w:t xml:space="preserve">The trial court's denial of the request to reopen did not violate Petitioner's right to a fair trial. The transcript of Cerda's 2014 sentencing hearing does not contain anything that would have resulted in significant additional cross-examination of Cerda. Trial counsel had already cross-examined Cerda extensively.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2419-2502. Specifically, trial counsel elicited the fact that Cerda had been compensated nearly $62,000 for his cooperation.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2464. Trial counsel elicited the fact that he was given use immunity for his testimony.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2473. And trial counsel elicited the fact that Cerda received a favorable sentencing recommendation, a recommendation that resulted in him receiving a sentence of time served and probation instead of a prison sentence. </w:t>
      </w:r>
      <w:bookmarkStart w:id="94" w:name="Bookmark_I6B70NDV28T4J80050000400"/>
      <w:bookmarkEnd w:id="94"/>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4 RT 2474. Nothing in the transcript from that 2014 sentencing hearing would have created a significantly different impression about Cerda's credibility, as the basic facts about Cerda's cooperation had already been put before the jury. Thus, the trial court's ruling did not prevent the jury from reaching a different impression about Cerda's credibility. </w:t>
      </w:r>
      <w:r>
        <w:rPr>
          <w:rFonts w:ascii="arial" w:eastAsia="arial" w:hAnsi="arial" w:cs="arial"/>
          <w:b w:val="0"/>
          <w:i w:val="0"/>
          <w:strike w:val="0"/>
          <w:noProof w:val="0"/>
          <w:color w:val="000000"/>
          <w:position w:val="0"/>
          <w:sz w:val="20"/>
          <w:u w:val="single"/>
          <w:vertAlign w:val="baseline"/>
        </w:rPr>
        <w:t xml:space="preserve">See </w:t>
      </w:r>
      <w:bookmarkStart w:id="95" w:name="Bookmark_I6B70NDV28T4J80040000400"/>
      <w:bookmarkEnd w:id="95"/>
      <w:hyperlink r:id="rId25" w:history="1">
        <w:r>
          <w:rPr>
            <w:rFonts w:ascii="arial" w:eastAsia="arial" w:hAnsi="arial" w:cs="arial"/>
            <w:b w:val="0"/>
            <w:i/>
            <w:strike w:val="0"/>
            <w:noProof w:val="0"/>
            <w:color w:val="0077CC"/>
            <w:position w:val="0"/>
            <w:sz w:val="20"/>
            <w:u w:val="single"/>
            <w:vertAlign w:val="baseline"/>
          </w:rPr>
          <w:t>Sully v. Ayers</w:t>
        </w:r>
      </w:hyperlink>
      <w:hyperlink r:id="rId25" w:history="1">
        <w:r>
          <w:rPr>
            <w:rFonts w:ascii="arial" w:eastAsia="arial" w:hAnsi="arial" w:cs="arial"/>
            <w:b w:val="0"/>
            <w:i/>
            <w:strike w:val="0"/>
            <w:noProof w:val="0"/>
            <w:color w:val="0077CC"/>
            <w:position w:val="0"/>
            <w:sz w:val="20"/>
            <w:u w:val="single"/>
            <w:vertAlign w:val="baseline"/>
          </w:rPr>
          <w:t>, 725 F.3d 1057, 1075 (9th Cir. 2013)</w:t>
        </w:r>
      </w:hyperlink>
      <w:r>
        <w:rPr>
          <w:rFonts w:ascii="arial" w:eastAsia="arial" w:hAnsi="arial" w:cs="arial"/>
          <w:b w:val="0"/>
          <w:i w:val="0"/>
          <w:strike w:val="0"/>
          <w:noProof w:val="0"/>
          <w:color w:val="000000"/>
          <w:position w:val="0"/>
          <w:sz w:val="20"/>
          <w:u w:val="none"/>
          <w:vertAlign w:val="baseline"/>
        </w:rPr>
        <w:t xml:space="preserve"> ("There is no substantial likelihood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that the excluded lines of cross-examination would have changed the jury's impression of [the witness's] credibility.").</w:t>
      </w:r>
    </w:p>
    <w:p>
      <w:pPr>
        <w:keepNext w:val="0"/>
        <w:spacing w:before="200" w:after="0" w:line="260" w:lineRule="atLeast"/>
        <w:ind w:left="0" w:right="0" w:firstLine="0"/>
        <w:jc w:val="both"/>
      </w:pPr>
      <w:bookmarkStart w:id="96" w:name="Bookmark_para_54"/>
      <w:bookmarkEnd w:id="96"/>
      <w:r>
        <w:rPr>
          <w:rFonts w:ascii="arial" w:eastAsia="arial" w:hAnsi="arial" w:cs="arial"/>
          <w:b w:val="0"/>
          <w:i w:val="0"/>
          <w:strike w:val="0"/>
          <w:noProof w:val="0"/>
          <w:color w:val="000000"/>
          <w:position w:val="0"/>
          <w:sz w:val="20"/>
          <w:u w:val="none"/>
          <w:vertAlign w:val="baseline"/>
        </w:rPr>
        <w:t>Based on its de novo review, the Court finds that Petitioner is not entitled to habeas relief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w:t>
      </w:r>
      <w:r>
        <w:rPr>
          <w:rFonts w:ascii="arial" w:eastAsia="arial" w:hAnsi="arial" w:cs="arial"/>
          <w:b/>
          <w:i w:val="0"/>
          <w:strike w:val="0"/>
          <w:noProof w:val="0"/>
          <w:color w:val="000000"/>
          <w:position w:val="0"/>
          <w:sz w:val="20"/>
          <w:u w:val="single"/>
          <w:vertAlign w:val="baseline"/>
        </w:rPr>
        <w:t>Ineffective Assistance of Trial Counsel</w:t>
      </w:r>
    </w:p>
    <w:p>
      <w:pPr>
        <w:keepNext w:val="0"/>
        <w:spacing w:before="200" w:after="0" w:line="260" w:lineRule="atLeast"/>
        <w:ind w:left="0" w:right="0" w:firstLine="0"/>
        <w:jc w:val="both"/>
      </w:pPr>
      <w:bookmarkStart w:id="97" w:name="Bookmark_para_55"/>
      <w:bookmarkEnd w:id="97"/>
      <w:bookmarkStart w:id="98" w:name="Bookmark_I6B70NDV2N1PMP0020000400"/>
      <w:bookmarkEnd w:id="98"/>
      <w:r>
        <w:rPr>
          <w:rFonts w:ascii="arial" w:eastAsia="arial" w:hAnsi="arial" w:cs="arial"/>
          <w:b w:val="0"/>
          <w:i w:val="0"/>
          <w:strike w:val="0"/>
          <w:noProof w:val="0"/>
          <w:color w:val="000000"/>
          <w:position w:val="0"/>
          <w:sz w:val="20"/>
          <w:u w:val="none"/>
          <w:vertAlign w:val="baseline"/>
        </w:rPr>
        <w:t xml:space="preserve">Petitioner contends that his trial counsel was ineffective by failing to object, under </w:t>
      </w:r>
      <w:bookmarkStart w:id="99" w:name="Bookmark_I6B70NDV2N1PMP0010000400"/>
      <w:bookmarkEnd w:id="99"/>
      <w:hyperlink r:id="rId26" w:history="1">
        <w:r>
          <w:rPr>
            <w:rFonts w:ascii="arial" w:eastAsia="arial" w:hAnsi="arial" w:cs="arial"/>
            <w:b w:val="0"/>
            <w:i/>
            <w:strike w:val="0"/>
            <w:noProof w:val="0"/>
            <w:color w:val="0077CC"/>
            <w:position w:val="0"/>
            <w:sz w:val="20"/>
            <w:u w:val="single"/>
            <w:vertAlign w:val="baseline"/>
          </w:rPr>
          <w:t>People v. Sanchez</w:t>
        </w:r>
      </w:hyperlink>
      <w:hyperlink r:id="rId26" w:history="1">
        <w:r>
          <w:rPr>
            <w:rFonts w:ascii="arial" w:eastAsia="arial" w:hAnsi="arial" w:cs="arial"/>
            <w:b w:val="0"/>
            <w:i/>
            <w:strike w:val="0"/>
            <w:noProof w:val="0"/>
            <w:color w:val="0077CC"/>
            <w:position w:val="0"/>
            <w:sz w:val="20"/>
            <w:u w:val="single"/>
            <w:vertAlign w:val="baseline"/>
          </w:rPr>
          <w:t>, 63 Cal. 4th 665, 204 Cal. Rptr. 3d 102, 374 P.3d 320 (2016)</w:t>
        </w:r>
      </w:hyperlink>
      <w:r>
        <w:rPr>
          <w:rFonts w:ascii="arial" w:eastAsia="arial" w:hAnsi="arial" w:cs="arial"/>
          <w:b w:val="0"/>
          <w:i w:val="0"/>
          <w:strike w:val="0"/>
          <w:noProof w:val="0"/>
          <w:color w:val="000000"/>
          <w:position w:val="0"/>
          <w:sz w:val="20"/>
          <w:u w:val="none"/>
          <w:vertAlign w:val="baseline"/>
        </w:rPr>
        <w:t xml:space="preserve">, to the testimony of the prosecution's gang expert that Petitioner was a member of the 12th Street gang.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Petition at 15-16.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w:t>
      </w:r>
    </w:p>
    <w:p>
      <w:pPr>
        <w:keepNext w:val="0"/>
        <w:spacing w:before="240" w:after="0" w:line="260" w:lineRule="atLeast"/>
        <w:ind w:left="0" w:right="0" w:firstLine="0"/>
        <w:jc w:val="both"/>
      </w:pPr>
      <w:bookmarkStart w:id="100" w:name="Bookmark_para_56"/>
      <w:bookmarkEnd w:id="100"/>
      <w:r>
        <w:rPr>
          <w:rFonts w:ascii="arial" w:eastAsia="arial" w:hAnsi="arial" w:cs="arial"/>
          <w:b w:val="0"/>
          <w:i w:val="0"/>
          <w:strike w:val="0"/>
          <w:noProof w:val="0"/>
          <w:color w:val="000000"/>
          <w:position w:val="0"/>
          <w:sz w:val="20"/>
          <w:u w:val="none"/>
          <w:vertAlign w:val="baseline"/>
        </w:rPr>
        <w:t xml:space="preserve">Under California law, additional punishment is to be imposed upon conviction of a felony or attempted felony "committed for the benefit of, at the direction of, or in association with any criminal street gang, with the specific intent to promote, further, or assist in any criminal conduct by gang members " </w:t>
      </w:r>
      <w:hyperlink r:id="rId27" w:history="1">
        <w:r>
          <w:rPr>
            <w:rFonts w:ascii="arial" w:eastAsia="arial" w:hAnsi="arial" w:cs="arial"/>
            <w:b w:val="0"/>
            <w:i/>
            <w:strike w:val="0"/>
            <w:noProof w:val="0"/>
            <w:color w:val="0077CC"/>
            <w:position w:val="0"/>
            <w:sz w:val="20"/>
            <w:u w:val="single"/>
            <w:vertAlign w:val="baseline"/>
          </w:rPr>
          <w:t>Cal. Pen. Code § 186.22(b)(1)</w:t>
        </w:r>
      </w:hyperlink>
      <w:r>
        <w:rPr>
          <w:rFonts w:ascii="arial" w:eastAsia="arial" w:hAnsi="arial" w:cs="arial"/>
          <w:b w:val="0"/>
          <w:i w:val="0"/>
          <w:strike w:val="0"/>
          <w:noProof w:val="0"/>
          <w:color w:val="000000"/>
          <w:position w:val="0"/>
          <w:sz w:val="20"/>
          <w:u w:val="none"/>
          <w:vertAlign w:val="baseline"/>
        </w:rPr>
        <w:t>. A "criminal street gang" is defined as "an ongoing, organized association or group of three or more persons, whether formal or informal, having as one of its primary activities the commission of one or more of the [specified criminal acts], having a common name or common identifying sign or symbol, and whose members individually or collectively engage in, or have engaged in, a pattern of criminal</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gang activity."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w:t>
      </w:r>
      <w:hyperlink r:id="rId27" w:history="1">
        <w:r>
          <w:rPr>
            <w:rFonts w:ascii="arial" w:eastAsia="arial" w:hAnsi="arial" w:cs="arial"/>
            <w:b w:val="0"/>
            <w:i/>
            <w:strike w:val="0"/>
            <w:noProof w:val="0"/>
            <w:color w:val="0077CC"/>
            <w:position w:val="0"/>
            <w:sz w:val="20"/>
            <w:u w:val="single"/>
            <w:vertAlign w:val="baseline"/>
          </w:rPr>
          <w:t>§ 186.22(f)</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57"/>
      <w:bookmarkEnd w:id="101"/>
      <w:r>
        <w:rPr>
          <w:rFonts w:ascii="arial" w:eastAsia="arial" w:hAnsi="arial" w:cs="arial"/>
          <w:b w:val="0"/>
          <w:i w:val="0"/>
          <w:strike w:val="0"/>
          <w:noProof w:val="0"/>
          <w:color w:val="000000"/>
          <w:position w:val="0"/>
          <w:sz w:val="20"/>
          <w:u w:val="none"/>
          <w:vertAlign w:val="baseline"/>
        </w:rPr>
        <w:t xml:space="preserve">At trial, the prosecution's gang expert, Officer Andrew Bebon, after testifying that he had seen several photographs of Petitioner with other 12th Street gang members and that field identification cards completed primarily by patrol and gang officers about contacts were a tool used to determine whether somebody was a gang member, was asked if he had an opinion about whether Petitioner was a member of 12th Street.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 RT 2720. Officer Bebon answered, "I have no doubt he's a member of 12th Street and goes by the moniker of Cheetah." 5 RT 2720. When asked to explain the basis of his opinion, Officer Bebon testified as follows:</w:t>
      </w:r>
    </w:p>
    <w:p>
      <w:pPr>
        <w:keepNext w:val="0"/>
        <w:spacing w:after="0" w:line="260" w:lineRule="atLeast"/>
        <w:ind w:left="400" w:right="0" w:firstLine="0"/>
        <w:jc w:val="both"/>
      </w:pPr>
      <w:bookmarkStart w:id="102" w:name="Bookmark_para_58"/>
      <w:bookmarkEnd w:id="102"/>
      <w:r>
        <w:rPr>
          <w:rFonts w:ascii="arial" w:eastAsia="arial" w:hAnsi="arial" w:cs="arial"/>
          <w:b w:val="0"/>
          <w:i w:val="0"/>
          <w:strike w:val="0"/>
          <w:noProof w:val="0"/>
          <w:color w:val="000000"/>
          <w:position w:val="0"/>
          <w:sz w:val="20"/>
          <w:u w:val="none"/>
          <w:vertAlign w:val="baseline"/>
        </w:rPr>
        <w:t>I base that on his self admission to other patrol officers. I base that on courtroom testimony in other cases where other members of 12th Street have said he's a 12th Street gang member by the name of Cheetah. [¶] I go by who's he's been contacted with, the crimes he's committed and been involved in. They all show not only is he a 12th Street gang member, but he's an active participant in 12th Street.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RT 2720-21.</w:t>
      </w:r>
    </w:p>
    <w:p>
      <w:pPr>
        <w:keepNext w:val="0"/>
        <w:spacing w:before="200" w:after="0" w:line="260" w:lineRule="atLeast"/>
        <w:ind w:left="0" w:right="0" w:firstLine="0"/>
        <w:jc w:val="both"/>
      </w:pPr>
      <w:bookmarkStart w:id="103" w:name="Bookmark_para_59"/>
      <w:bookmarkEnd w:id="103"/>
      <w:bookmarkStart w:id="104" w:name="Bookmark_I6B70NDV2N1PMP0040000400"/>
      <w:bookmarkEnd w:id="104"/>
      <w:r>
        <w:rPr>
          <w:rFonts w:ascii="arial" w:eastAsia="arial" w:hAnsi="arial" w:cs="arial"/>
          <w:b w:val="0"/>
          <w:i w:val="0"/>
          <w:strike w:val="0"/>
          <w:noProof w:val="0"/>
          <w:color w:val="000000"/>
          <w:position w:val="0"/>
          <w:sz w:val="20"/>
          <w:u w:val="none"/>
          <w:vertAlign w:val="baseline"/>
        </w:rPr>
        <w:t xml:space="preserve">Following a brief discussion of the California Supreme Court's decision in </w:t>
      </w:r>
      <w:bookmarkStart w:id="105" w:name="Bookmark_I6B70NDV2N1PMP0030000400"/>
      <w:bookmarkEnd w:id="105"/>
      <w:hyperlink r:id="rId26" w:history="1">
        <w:r>
          <w:rPr>
            <w:rFonts w:ascii="arial" w:eastAsia="arial" w:hAnsi="arial" w:cs="arial"/>
            <w:b w:val="0"/>
            <w:i/>
            <w:strike w:val="0"/>
            <w:noProof w:val="0"/>
            <w:color w:val="0077CC"/>
            <w:position w:val="0"/>
            <w:sz w:val="20"/>
            <w:u w:val="single"/>
            <w:vertAlign w:val="baseline"/>
          </w:rPr>
          <w:t>Sanchez</w:t>
        </w:r>
      </w:hyperlink>
      <w:r>
        <w:rPr>
          <w:rFonts w:ascii="arial" w:eastAsia="arial" w:hAnsi="arial" w:cs="arial"/>
          <w:b w:val="0"/>
          <w:i w:val="0"/>
          <w:strike w:val="0"/>
          <w:noProof w:val="0"/>
          <w:color w:val="000000"/>
          <w:position w:val="0"/>
          <w:sz w:val="20"/>
          <w:u w:val="none"/>
          <w:vertAlign w:val="baseline"/>
        </w:rPr>
        <w:t xml:space="preserve">, which clarified the extent to which the </w:t>
      </w:r>
      <w:hyperlink r:id="rId20"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and state evidentiary</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law limit an expert witness from relating case-specific hearsay in explaining the basis for his opinion,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10 at 13 (citing </w:t>
      </w:r>
      <w:bookmarkStart w:id="106" w:name="Bookmark_I6B70NDV2N1PMP0050000400"/>
      <w:bookmarkEnd w:id="106"/>
      <w:hyperlink r:id="rId26" w:history="1">
        <w:r>
          <w:rPr>
            <w:rFonts w:ascii="arial" w:eastAsia="arial" w:hAnsi="arial" w:cs="arial"/>
            <w:b w:val="0"/>
            <w:i/>
            <w:strike w:val="0"/>
            <w:noProof w:val="0"/>
            <w:color w:val="0077CC"/>
            <w:position w:val="0"/>
            <w:sz w:val="20"/>
            <w:u w:val="single"/>
            <w:vertAlign w:val="baseline"/>
          </w:rPr>
          <w:t>Sanchez</w:t>
        </w:r>
      </w:hyperlink>
      <w:hyperlink r:id="rId26" w:history="1">
        <w:r>
          <w:rPr>
            <w:rFonts w:ascii="arial" w:eastAsia="arial" w:hAnsi="arial" w:cs="arial"/>
            <w:b w:val="0"/>
            <w:i/>
            <w:strike w:val="0"/>
            <w:noProof w:val="0"/>
            <w:color w:val="0077CC"/>
            <w:position w:val="0"/>
            <w:sz w:val="20"/>
            <w:u w:val="single"/>
            <w:vertAlign w:val="baseline"/>
          </w:rPr>
          <w:t>, 63 Cal. 4th at 686</w:t>
        </w:r>
      </w:hyperlink>
      <w:r>
        <w:rPr>
          <w:rFonts w:ascii="arial" w:eastAsia="arial" w:hAnsi="arial" w:cs="arial"/>
          <w:b w:val="0"/>
          <w:i w:val="0"/>
          <w:strike w:val="0"/>
          <w:noProof w:val="0"/>
          <w:color w:val="000000"/>
          <w:position w:val="0"/>
          <w:sz w:val="20"/>
          <w:u w:val="none"/>
          <w:vertAlign w:val="baseline"/>
        </w:rPr>
        <w:t xml:space="preserve">), the Court of Appeal rejected Petitioner's claim that Officer Bebon's expert testimony about Petitioner's gang membership was based on testimonial hearsay in violation of Petitioner's </w:t>
      </w:r>
      <w:hyperlink r:id="rId2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confrontation because such claim was forfeited and because any error was harmless. </w:t>
      </w:r>
      <w:bookmarkStart w:id="107" w:name="Bookmark_I6B70NDV28T4JF0030000400"/>
      <w:bookmarkEnd w:id="107"/>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10 at 12-15. </w:t>
      </w:r>
      <w:bookmarkStart w:id="108" w:name="Bookmark_I6B70NDV28T4JF0030000400_2"/>
      <w:bookmarkEnd w:id="108"/>
      <w:r>
        <w:rPr>
          <w:rFonts w:ascii="arial" w:eastAsia="arial" w:hAnsi="arial" w:cs="arial"/>
          <w:b w:val="0"/>
          <w:i w:val="0"/>
          <w:strike w:val="0"/>
          <w:noProof w:val="0"/>
          <w:color w:val="000000"/>
          <w:position w:val="0"/>
          <w:sz w:val="20"/>
          <w:u w:val="none"/>
          <w:vertAlign w:val="baseline"/>
        </w:rPr>
        <w:t>The Court of Appeal addressed Petitioner's ineffective assistance claim as follows:</w:t>
      </w:r>
    </w:p>
    <w:p>
      <w:pPr>
        <w:keepNext w:val="0"/>
        <w:spacing w:before="240" w:after="0" w:line="260" w:lineRule="atLeast"/>
        <w:ind w:left="400" w:right="0" w:firstLine="0"/>
        <w:jc w:val="both"/>
      </w:pPr>
      <w:bookmarkStart w:id="109" w:name="Bookmark_para_60"/>
      <w:bookmarkEnd w:id="109"/>
      <w:bookmarkStart w:id="110" w:name="Bookmark_I6B70NDV28T4JF0030000400_3"/>
      <w:bookmarkEnd w:id="110"/>
      <w:r>
        <w:rPr>
          <w:rFonts w:ascii="arial" w:eastAsia="arial" w:hAnsi="arial" w:cs="arial"/>
          <w:b w:val="0"/>
          <w:i w:val="0"/>
          <w:strike w:val="0"/>
          <w:noProof w:val="0"/>
          <w:color w:val="000000"/>
          <w:position w:val="0"/>
          <w:sz w:val="20"/>
          <w:u w:val="none"/>
          <w:vertAlign w:val="baseline"/>
        </w:rPr>
        <w:t xml:space="preserve">Finally, Petitioner argues that his counsel's failure to object on hearsay grounds under </w:t>
      </w:r>
      <w:bookmarkStart w:id="111" w:name="Bookmark_I6B70NDV28T4JF0030000400_4"/>
      <w:bookmarkEnd w:id="111"/>
      <w:bookmarkStart w:id="112" w:name="Bookmark_I6B70NDV28T4JF0020000400"/>
      <w:bookmarkEnd w:id="112"/>
      <w:hyperlink r:id="rId26" w:history="1">
        <w:r>
          <w:rPr>
            <w:rFonts w:ascii="arial" w:eastAsia="arial" w:hAnsi="arial" w:cs="arial"/>
            <w:b w:val="0"/>
            <w:i/>
            <w:strike w:val="0"/>
            <w:noProof w:val="0"/>
            <w:color w:val="0077CC"/>
            <w:position w:val="0"/>
            <w:sz w:val="20"/>
            <w:u w:val="single"/>
            <w:vertAlign w:val="baseline"/>
          </w:rPr>
          <w:t>Sanchez</w:t>
        </w:r>
      </w:hyperlink>
      <w:bookmarkStart w:id="113" w:name="Bookmark_I6B70NDV28T4JF0050000400"/>
      <w:bookmarkEnd w:id="113"/>
      <w:r>
        <w:rPr>
          <w:rFonts w:ascii="arial" w:eastAsia="arial" w:hAnsi="arial" w:cs="arial"/>
          <w:b w:val="0"/>
          <w:i w:val="0"/>
          <w:strike w:val="0"/>
          <w:noProof w:val="0"/>
          <w:color w:val="000000"/>
          <w:position w:val="0"/>
          <w:sz w:val="20"/>
          <w:u w:val="none"/>
          <w:vertAlign w:val="baseline"/>
        </w:rPr>
        <w:t xml:space="preserve"> constituted ineffective assistance of counsel. We presume that counsel's performance was within the wide range of professional competence, and that the lack of an objection was a strategic choice, intended to avoid additional testimony about Petitioner's gang affiliation beyond what was otherwise before the jury (including his own self-admission to Cerda). (</w:t>
      </w:r>
      <w:bookmarkStart w:id="114" w:name="Bookmark_I6B70NDV28T4JF0040000400"/>
      <w:bookmarkEnd w:id="114"/>
      <w:hyperlink r:id="rId28" w:history="1">
        <w:r>
          <w:rPr>
            <w:rFonts w:ascii="arial" w:eastAsia="arial" w:hAnsi="arial" w:cs="arial"/>
            <w:b w:val="0"/>
            <w:i/>
            <w:strike w:val="0"/>
            <w:noProof w:val="0"/>
            <w:color w:val="0077CC"/>
            <w:position w:val="0"/>
            <w:sz w:val="20"/>
            <w:u w:val="single"/>
            <w:vertAlign w:val="baseline"/>
          </w:rPr>
          <w:t>People v. Carter</w:t>
        </w:r>
      </w:hyperlink>
      <w:hyperlink r:id="rId28" w:history="1">
        <w:r>
          <w:rPr>
            <w:rFonts w:ascii="arial" w:eastAsia="arial" w:hAnsi="arial" w:cs="arial"/>
            <w:b w:val="0"/>
            <w:i/>
            <w:strike w:val="0"/>
            <w:noProof w:val="0"/>
            <w:color w:val="0077CC"/>
            <w:position w:val="0"/>
            <w:sz w:val="20"/>
            <w:u w:val="single"/>
            <w:vertAlign w:val="baseline"/>
          </w:rPr>
          <w:t xml:space="preserve"> (2003) 30 Cal.4th 1166, 1211, 135 Cal. Rptr. 2d 553, 70 P.3d 981</w:t>
        </w:r>
      </w:hyperlink>
      <w:r>
        <w:rPr>
          <w:rFonts w:ascii="arial" w:eastAsia="arial" w:hAnsi="arial" w:cs="arial"/>
          <w:b w:val="0"/>
          <w:i w:val="0"/>
          <w:strike w:val="0"/>
          <w:noProof w:val="0"/>
          <w:color w:val="000000"/>
          <w:position w:val="0"/>
          <w:sz w:val="20"/>
          <w:u w:val="none"/>
          <w:vertAlign w:val="baseline"/>
        </w:rPr>
        <w:t>.) We reject the claim of ineffective assistance.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LD 10 at 16-17.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Legal Standard</w:t>
      </w:r>
    </w:p>
    <w:p>
      <w:pPr>
        <w:keepNext w:val="0"/>
        <w:spacing w:before="200" w:after="0" w:line="260" w:lineRule="atLeast"/>
        <w:ind w:left="0" w:right="0" w:firstLine="0"/>
        <w:jc w:val="both"/>
      </w:pPr>
      <w:bookmarkStart w:id="115" w:name="Bookmark_para_61"/>
      <w:bookmarkEnd w:id="115"/>
      <w:bookmarkStart w:id="116" w:name="Bookmark_I6B70NDW2HM6TP0020000400"/>
      <w:bookmarkEnd w:id="116"/>
      <w:bookmarkStart w:id="117" w:name="Bookmark_I6B70NDW2HM6TP0040000400"/>
      <w:bookmarkEnd w:id="117"/>
      <w:r>
        <w:rPr>
          <w:rFonts w:ascii="arial" w:eastAsia="arial" w:hAnsi="arial" w:cs="arial"/>
          <w:b w:val="0"/>
          <w:i w:val="0"/>
          <w:strike w:val="0"/>
          <w:noProof w:val="0"/>
          <w:color w:val="000000"/>
          <w:position w:val="0"/>
          <w:sz w:val="20"/>
          <w:u w:val="none"/>
          <w:vertAlign w:val="baseline"/>
        </w:rPr>
        <w:t xml:space="preserve">An ineffective assistance of counsel claim is analyzed under </w:t>
      </w:r>
      <w:bookmarkStart w:id="118" w:name="Bookmark_I6B70NDW2HM6TP0010000400"/>
      <w:bookmarkEnd w:id="118"/>
      <w:hyperlink r:id="rId29" w:history="1">
        <w:r>
          <w:rPr>
            <w:rFonts w:ascii="arial" w:eastAsia="arial" w:hAnsi="arial" w:cs="arial"/>
            <w:b w:val="0"/>
            <w:i/>
            <w:strike w:val="0"/>
            <w:noProof w:val="0"/>
            <w:color w:val="0077CC"/>
            <w:position w:val="0"/>
            <w:sz w:val="20"/>
            <w:u w:val="single"/>
            <w:vertAlign w:val="baseline"/>
          </w:rPr>
          <w:t>Strickland v. Washington</w:t>
        </w:r>
      </w:hyperlink>
      <w:hyperlink r:id="rId29" w:history="1">
        <w:r>
          <w:rPr>
            <w:rFonts w:ascii="arial" w:eastAsia="arial" w:hAnsi="arial" w:cs="arial"/>
            <w:b w:val="0"/>
            <w:i/>
            <w:strike w:val="0"/>
            <w:noProof w:val="0"/>
            <w:color w:val="0077CC"/>
            <w:position w:val="0"/>
            <w:sz w:val="20"/>
            <w:u w:val="single"/>
            <w:vertAlign w:val="baseline"/>
          </w:rPr>
          <w:t>, 466 U.S. 668,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119" w:name="Bookmark_I6B70NDW2D6MVF0010000400"/>
      <w:bookmarkEnd w:id="119"/>
      <w:r>
        <w:rPr>
          <w:rFonts w:ascii="arial" w:eastAsia="arial" w:hAnsi="arial" w:cs="arial"/>
          <w:b w:val="0"/>
          <w:i w:val="0"/>
          <w:strike w:val="0"/>
          <w:noProof w:val="0"/>
          <w:color w:val="000000"/>
          <w:position w:val="0"/>
          <w:sz w:val="20"/>
          <w:u w:val="none"/>
          <w:vertAlign w:val="baseline"/>
        </w:rPr>
        <w:t xml:space="preserve">Under </w:t>
      </w:r>
      <w:bookmarkStart w:id="120" w:name="Bookmark_I6B70NDW2HM6TP0030000400"/>
      <w:bookmarkEnd w:id="120"/>
      <w:hyperlink r:id="rId29" w:history="1">
        <w:r>
          <w:rPr>
            <w:rFonts w:ascii="arial" w:eastAsia="arial" w:hAnsi="arial" w:cs="arial"/>
            <w:b w:val="0"/>
            <w:i/>
            <w:strike w:val="0"/>
            <w:noProof w:val="0"/>
            <w:color w:val="0077CC"/>
            <w:position w:val="0"/>
            <w:sz w:val="20"/>
            <w:u w:val="single"/>
            <w:vertAlign w:val="baseline"/>
          </w:rPr>
          <w:t>Strickland</w:t>
        </w:r>
      </w:hyperlink>
      <w:bookmarkStart w:id="121" w:name="Bookmark_I6B70NDW2D6MVF0030000400"/>
      <w:bookmarkEnd w:id="121"/>
      <w:r>
        <w:rPr>
          <w:rFonts w:ascii="arial" w:eastAsia="arial" w:hAnsi="arial" w:cs="arial"/>
          <w:b w:val="0"/>
          <w:i w:val="0"/>
          <w:strike w:val="0"/>
          <w:noProof w:val="0"/>
          <w:color w:val="000000"/>
          <w:position w:val="0"/>
          <w:sz w:val="20"/>
          <w:u w:val="none"/>
          <w:vertAlign w:val="baseline"/>
        </w:rPr>
        <w:t>'s two-part test, a convicted defendant must show (1) constitutionally deficient performance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by counsel (2) that prejudiced the defense. </w:t>
      </w:r>
      <w:bookmarkStart w:id="122" w:name="Bookmark_I6B70NDW2D6MVF0030000400_2"/>
      <w:bookmarkEnd w:id="122"/>
      <w:bookmarkStart w:id="123" w:name="Bookmark_I6B70NDW2D6MVF0010000400_2"/>
      <w:bookmarkEnd w:id="123"/>
      <w:bookmarkStart w:id="124" w:name="Bookmark_I6B70NDW2D6MVF0050000400"/>
      <w:bookmarkEnd w:id="124"/>
      <w:r>
        <w:rPr>
          <w:rFonts w:ascii="arial" w:eastAsia="arial" w:hAnsi="arial" w:cs="arial"/>
          <w:b w:val="0"/>
          <w:i w:val="0"/>
          <w:strike w:val="0"/>
          <w:noProof w:val="0"/>
          <w:color w:val="000000"/>
          <w:position w:val="0"/>
          <w:sz w:val="20"/>
          <w:u w:val="single"/>
          <w:vertAlign w:val="baseline"/>
        </w:rPr>
        <w:t xml:space="preserve">See </w:t>
      </w:r>
      <w:bookmarkStart w:id="125" w:name="Bookmark_I6B70NDW2HM6TP0050000400"/>
      <w:bookmarkEnd w:id="125"/>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 xml:space="preserve">. </w:t>
      </w:r>
      <w:bookmarkStart w:id="126" w:name="Bookmark_I6B70NDW2D6MVF0050000400_2"/>
      <w:bookmarkEnd w:id="126"/>
      <w:bookmarkStart w:id="127" w:name="Bookmark_I6B70NDW28T4JH0020000400"/>
      <w:bookmarkEnd w:id="127"/>
      <w:r>
        <w:rPr>
          <w:rFonts w:ascii="arial" w:eastAsia="arial" w:hAnsi="arial" w:cs="arial"/>
          <w:b w:val="0"/>
          <w:i w:val="0"/>
          <w:strike w:val="0"/>
          <w:noProof w:val="0"/>
          <w:color w:val="000000"/>
          <w:position w:val="0"/>
          <w:sz w:val="20"/>
          <w:u w:val="none"/>
          <w:vertAlign w:val="baseline"/>
        </w:rPr>
        <w:t xml:space="preserve">To establish deficient performance, Petitioner must show that "counsel's representation fell below an objective standard of reasonableness." </w:t>
      </w:r>
      <w:bookmarkStart w:id="128" w:name="Bookmark_I6B70NDW2D6MVF0020000400"/>
      <w:bookmarkEnd w:id="128"/>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688</w:t>
        </w:r>
      </w:hyperlink>
      <w:r>
        <w:rPr>
          <w:rFonts w:ascii="arial" w:eastAsia="arial" w:hAnsi="arial" w:cs="arial"/>
          <w:b w:val="0"/>
          <w:i w:val="0"/>
          <w:strike w:val="0"/>
          <w:noProof w:val="0"/>
          <w:color w:val="000000"/>
          <w:position w:val="0"/>
          <w:sz w:val="20"/>
          <w:u w:val="none"/>
          <w:vertAlign w:val="baseline"/>
        </w:rPr>
        <w:t xml:space="preserve">. </w:t>
      </w:r>
      <w:bookmarkStart w:id="129" w:name="Bookmark_I6B70NDW28T4JH0020000400_2"/>
      <w:bookmarkEnd w:id="129"/>
      <w:bookmarkStart w:id="130" w:name="Bookmark_I6B70NDW2D6MVF0050000400_3"/>
      <w:bookmarkEnd w:id="130"/>
      <w:r>
        <w:rPr>
          <w:rFonts w:ascii="arial" w:eastAsia="arial" w:hAnsi="arial" w:cs="arial"/>
          <w:b w:val="0"/>
          <w:i w:val="0"/>
          <w:strike w:val="0"/>
          <w:noProof w:val="0"/>
          <w:color w:val="000000"/>
          <w:position w:val="0"/>
          <w:sz w:val="20"/>
          <w:u w:val="none"/>
          <w:vertAlign w:val="baseline"/>
        </w:rPr>
        <w:t xml:space="preserve">To establish prejudice, Petitioner must show that there is "a reasonable probability that, but for counsel's unprofessional errors, the result of the proceeding would have been different." </w:t>
      </w:r>
      <w:bookmarkStart w:id="131" w:name="Bookmark_I6B70NDW2D6MVF0040000400"/>
      <w:bookmarkEnd w:id="131"/>
      <w:hyperlink r:id="rId29" w:history="1">
        <w:r>
          <w:rPr>
            <w:rFonts w:ascii="arial" w:eastAsia="arial" w:hAnsi="arial" w:cs="arial"/>
            <w:b w:val="0"/>
            <w:i/>
            <w:strike w:val="0"/>
            <w:noProof w:val="0"/>
            <w:color w:val="0077CC"/>
            <w:position w:val="0"/>
            <w:sz w:val="20"/>
            <w:u w:val="single"/>
            <w:vertAlign w:val="baseline"/>
          </w:rPr>
          <w:t>Id.</w:t>
        </w:r>
      </w:hyperlink>
      <w:hyperlink r:id="rId29" w:history="1">
        <w:r>
          <w:rPr>
            <w:rFonts w:ascii="arial" w:eastAsia="arial" w:hAnsi="arial" w:cs="arial"/>
            <w:b w:val="0"/>
            <w:i/>
            <w:strike w:val="0"/>
            <w:noProof w:val="0"/>
            <w:color w:val="0077CC"/>
            <w:position w:val="0"/>
            <w:sz w:val="20"/>
            <w:u w:val="single"/>
            <w:vertAlign w:val="baseline"/>
          </w:rPr>
          <w:t xml:space="preserve"> at 694</w:t>
        </w:r>
      </w:hyperlink>
      <w:r>
        <w:rPr>
          <w:rFonts w:ascii="arial" w:eastAsia="arial" w:hAnsi="arial" w:cs="arial"/>
          <w:b w:val="0"/>
          <w:i w:val="0"/>
          <w:strike w:val="0"/>
          <w:noProof w:val="0"/>
          <w:color w:val="000000"/>
          <w:position w:val="0"/>
          <w:sz w:val="20"/>
          <w:u w:val="none"/>
          <w:vertAlign w:val="baseline"/>
        </w:rPr>
        <w:t xml:space="preserve">. </w:t>
      </w:r>
      <w:bookmarkStart w:id="132" w:name="Bookmark_I6B70NDW2N1PMX0050000400"/>
      <w:bookmarkEnd w:id="132"/>
      <w:r>
        <w:rPr>
          <w:rFonts w:ascii="arial" w:eastAsia="arial" w:hAnsi="arial" w:cs="arial"/>
          <w:b w:val="0"/>
          <w:i w:val="0"/>
          <w:strike w:val="0"/>
          <w:noProof w:val="0"/>
          <w:color w:val="000000"/>
          <w:position w:val="0"/>
          <w:sz w:val="20"/>
          <w:u w:val="none"/>
          <w:vertAlign w:val="baseline"/>
        </w:rPr>
        <w:t xml:space="preserve">"The standards created by </w:t>
      </w:r>
      <w:bookmarkStart w:id="133" w:name="Bookmark_I6B70NDW2N1PMX0050000400_2"/>
      <w:bookmarkEnd w:id="133"/>
      <w:bookmarkStart w:id="134" w:name="Bookmark_I6B70NDW28T4JH0020000400_3"/>
      <w:bookmarkEnd w:id="134"/>
      <w:bookmarkStart w:id="135" w:name="Bookmark_I6B70NDW28T4JH0010000400"/>
      <w:bookmarkEnd w:id="135"/>
      <w:hyperlink r:id="rId29" w:history="1">
        <w:r>
          <w:rPr>
            <w:rFonts w:ascii="arial" w:eastAsia="arial" w:hAnsi="arial" w:cs="arial"/>
            <w:b w:val="0"/>
            <w:i/>
            <w:strike w:val="0"/>
            <w:noProof w:val="0"/>
            <w:color w:val="0077CC"/>
            <w:position w:val="0"/>
            <w:sz w:val="20"/>
            <w:u w:val="single"/>
            <w:vertAlign w:val="baseline"/>
          </w:rPr>
          <w:t>Strickland</w:t>
        </w:r>
      </w:hyperlink>
      <w:bookmarkStart w:id="136" w:name="Bookmark_I6B70NDX2HM6TY0020000400"/>
      <w:bookmarkEnd w:id="136"/>
      <w:r>
        <w:rPr>
          <w:rFonts w:ascii="arial" w:eastAsia="arial" w:hAnsi="arial" w:cs="arial"/>
          <w:b w:val="0"/>
          <w:i w:val="0"/>
          <w:strike w:val="0"/>
          <w:noProof w:val="0"/>
          <w:color w:val="000000"/>
          <w:position w:val="0"/>
          <w:sz w:val="20"/>
          <w:u w:val="none"/>
          <w:vertAlign w:val="baseline"/>
        </w:rPr>
        <w:t xml:space="preserve"> and [AEDPA] are both 'highly deferential.'" </w:t>
      </w:r>
      <w:bookmarkStart w:id="137" w:name="Bookmark_I6B70NDW28T4JH0030000400"/>
      <w:bookmarkEnd w:id="137"/>
      <w:hyperlink r:id="rId30" w:history="1">
        <w:r>
          <w:rPr>
            <w:rFonts w:ascii="arial" w:eastAsia="arial" w:hAnsi="arial" w:cs="arial"/>
            <w:b w:val="0"/>
            <w:i/>
            <w:strike w:val="0"/>
            <w:noProof w:val="0"/>
            <w:color w:val="0077CC"/>
            <w:position w:val="0"/>
            <w:sz w:val="20"/>
            <w:u w:val="single"/>
            <w:vertAlign w:val="baseline"/>
          </w:rPr>
          <w:t>Harrington v. Richter</w:t>
        </w:r>
      </w:hyperlink>
      <w:hyperlink r:id="rId30" w:history="1">
        <w:r>
          <w:rPr>
            <w:rFonts w:ascii="arial" w:eastAsia="arial" w:hAnsi="arial" w:cs="arial"/>
            <w:b w:val="0"/>
            <w:i/>
            <w:strike w:val="0"/>
            <w:noProof w:val="0"/>
            <w:color w:val="0077CC"/>
            <w:position w:val="0"/>
            <w:sz w:val="20"/>
            <w:u w:val="single"/>
            <w:vertAlign w:val="baseline"/>
          </w:rPr>
          <w:t>, 562 U.S. 86, 105, 131 S. Ct. 770, 178 L. Ed. 2d 624 (2011)</w:t>
        </w:r>
      </w:hyperlink>
      <w:r>
        <w:rPr>
          <w:rFonts w:ascii="arial" w:eastAsia="arial" w:hAnsi="arial" w:cs="arial"/>
          <w:b w:val="0"/>
          <w:i w:val="0"/>
          <w:strike w:val="0"/>
          <w:noProof w:val="0"/>
          <w:color w:val="000000"/>
          <w:position w:val="0"/>
          <w:sz w:val="20"/>
          <w:u w:val="none"/>
          <w:vertAlign w:val="baseline"/>
        </w:rPr>
        <w:t xml:space="preserve"> (quoting </w:t>
      </w:r>
      <w:bookmarkStart w:id="138" w:name="Bookmark_I6B70NDW28T4JH0050000400"/>
      <w:bookmarkEnd w:id="138"/>
      <w:hyperlink r:id="rId29" w:history="1">
        <w:r>
          <w:rPr>
            <w:rFonts w:ascii="arial" w:eastAsia="arial" w:hAnsi="arial" w:cs="arial"/>
            <w:b w:val="0"/>
            <w:i/>
            <w:strike w:val="0"/>
            <w:noProof w:val="0"/>
            <w:color w:val="0077CC"/>
            <w:position w:val="0"/>
            <w:sz w:val="20"/>
            <w:u w:val="single"/>
            <w:vertAlign w:val="baseline"/>
          </w:rPr>
          <w:t>Strickland</w:t>
        </w:r>
      </w:hyperlink>
      <w:hyperlink r:id="rId29"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xml:space="preserve">, and </w:t>
      </w:r>
      <w:bookmarkStart w:id="139" w:name="Bookmark_I6B70NDW2N1PMX0020000400"/>
      <w:bookmarkEnd w:id="139"/>
      <w:hyperlink r:id="rId31" w:history="1">
        <w:r>
          <w:rPr>
            <w:rFonts w:ascii="arial" w:eastAsia="arial" w:hAnsi="arial" w:cs="arial"/>
            <w:b w:val="0"/>
            <w:i/>
            <w:strike w:val="0"/>
            <w:noProof w:val="0"/>
            <w:color w:val="0077CC"/>
            <w:position w:val="0"/>
            <w:sz w:val="20"/>
            <w:u w:val="single"/>
            <w:vertAlign w:val="baseline"/>
          </w:rPr>
          <w:t>Lindh v. Murphy</w:t>
        </w:r>
      </w:hyperlink>
      <w:hyperlink r:id="rId31" w:history="1">
        <w:r>
          <w:rPr>
            <w:rFonts w:ascii="arial" w:eastAsia="arial" w:hAnsi="arial" w:cs="arial"/>
            <w:b w:val="0"/>
            <w:i/>
            <w:strike w:val="0"/>
            <w:noProof w:val="0"/>
            <w:color w:val="0077CC"/>
            <w:position w:val="0"/>
            <w:sz w:val="20"/>
            <w:u w:val="single"/>
            <w:vertAlign w:val="baseline"/>
          </w:rPr>
          <w:t>, 521 U.S. 320, 333 n.7, 117 S. Ct. 2059, 138 L. Ed. 2d 481 (1997)</w:t>
        </w:r>
      </w:hyperlink>
      <w:r>
        <w:rPr>
          <w:rFonts w:ascii="arial" w:eastAsia="arial" w:hAnsi="arial" w:cs="arial"/>
          <w:b w:val="0"/>
          <w:i w:val="0"/>
          <w:strike w:val="0"/>
          <w:noProof w:val="0"/>
          <w:color w:val="000000"/>
          <w:position w:val="0"/>
          <w:sz w:val="20"/>
          <w:u w:val="none"/>
          <w:vertAlign w:val="baseline"/>
        </w:rPr>
        <w:t xml:space="preserve">). When the two apply in tandem, review is 'doubly' so."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140" w:name="Bookmark_I6B70NDW2N1PMX0040000400"/>
      <w:bookmarkEnd w:id="140"/>
      <w:hyperlink r:id="rId32" w:history="1">
        <w:r>
          <w:rPr>
            <w:rFonts w:ascii="arial" w:eastAsia="arial" w:hAnsi="arial" w:cs="arial"/>
            <w:b w:val="0"/>
            <w:i/>
            <w:strike w:val="0"/>
            <w:noProof w:val="0"/>
            <w:color w:val="0077CC"/>
            <w:position w:val="0"/>
            <w:sz w:val="20"/>
            <w:u w:val="single"/>
            <w:vertAlign w:val="baseline"/>
          </w:rPr>
          <w:t>Knowles v. Mirzayance</w:t>
        </w:r>
      </w:hyperlink>
      <w:hyperlink r:id="rId32" w:history="1">
        <w:r>
          <w:rPr>
            <w:rFonts w:ascii="arial" w:eastAsia="arial" w:hAnsi="arial" w:cs="arial"/>
            <w:b w:val="0"/>
            <w:i/>
            <w:strike w:val="0"/>
            <w:noProof w:val="0"/>
            <w:color w:val="0077CC"/>
            <w:position w:val="0"/>
            <w:sz w:val="20"/>
            <w:u w:val="single"/>
            <w:vertAlign w:val="baseline"/>
          </w:rPr>
          <w:t>, 556 U.S. 111, 123, 129 S. Ct. 1411, 173 L. Ed. 2d 251 (2009)</w:t>
        </w:r>
      </w:hyperlink>
      <w:r>
        <w:rPr>
          <w:rFonts w:ascii="arial" w:eastAsia="arial" w:hAnsi="arial" w:cs="arial"/>
          <w:b w:val="0"/>
          <w:i w:val="0"/>
          <w:strike w:val="0"/>
          <w:noProof w:val="0"/>
          <w:color w:val="000000"/>
          <w:position w:val="0"/>
          <w:sz w:val="20"/>
          <w:u w:val="none"/>
          <w:vertAlign w:val="baseline"/>
        </w:rPr>
        <w:t xml:space="preserve">). </w:t>
      </w:r>
      <w:bookmarkStart w:id="141" w:name="Bookmark_I6B70NDX2HM6TY0020000400_2"/>
      <w:bookmarkEnd w:id="141"/>
      <w:r>
        <w:rPr>
          <w:rFonts w:ascii="arial" w:eastAsia="arial" w:hAnsi="arial" w:cs="arial"/>
          <w:b w:val="0"/>
          <w:i w:val="0"/>
          <w:strike w:val="0"/>
          <w:noProof w:val="0"/>
          <w:color w:val="000000"/>
          <w:position w:val="0"/>
          <w:sz w:val="20"/>
          <w:u w:val="none"/>
          <w:vertAlign w:val="baseline"/>
        </w:rPr>
        <w:t xml:space="preserve">"The question is whether there is any reasonable argument that counsel satisfied </w:t>
      </w:r>
      <w:bookmarkStart w:id="142" w:name="Bookmark_I6B70NDX2HM6TY0020000400_3"/>
      <w:bookmarkEnd w:id="142"/>
      <w:bookmarkStart w:id="143" w:name="Bookmark_I6B70NDX2HM6TY0010000400"/>
      <w:bookmarkEnd w:id="143"/>
      <w:hyperlink r:id="rId29"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xml:space="preserve">'s deferential standard." </w:t>
      </w:r>
      <w:r>
        <w:rPr>
          <w:rFonts w:ascii="arial" w:eastAsia="arial" w:hAnsi="arial" w:cs="arial"/>
          <w:b w:val="0"/>
          <w:i w:val="0"/>
          <w:strike w:val="0"/>
          <w:noProof w:val="0"/>
          <w:color w:val="000000"/>
          <w:position w:val="0"/>
          <w:sz w:val="20"/>
          <w:u w:val="single"/>
          <w:vertAlign w:val="baseline"/>
        </w:rPr>
        <w:t>Id.</w:t>
      </w:r>
    </w:p>
    <w:p>
      <w:pPr>
        <w:keepNext w:val="0"/>
        <w:spacing w:before="200" w:after="0" w:line="260" w:lineRule="atLeast"/>
        <w:ind w:left="0" w:right="0" w:firstLine="0"/>
        <w:jc w:val="both"/>
      </w:pPr>
      <w:bookmarkStart w:id="144" w:name="Bookmark_para_62"/>
      <w:bookmarkEnd w:id="144"/>
      <w:bookmarkStart w:id="145" w:name="Bookmark_I6B70NDX2HM6TY0040000400"/>
      <w:bookmarkEnd w:id="145"/>
      <w:bookmarkStart w:id="146" w:name="Bookmark_I6B70NDX28T4JR0010000400"/>
      <w:bookmarkEnd w:id="146"/>
      <w:r>
        <w:rPr>
          <w:rFonts w:ascii="arial" w:eastAsia="arial" w:hAnsi="arial" w:cs="arial"/>
          <w:b w:val="0"/>
          <w:i w:val="0"/>
          <w:strike w:val="0"/>
          <w:noProof w:val="0"/>
          <w:color w:val="000000"/>
          <w:position w:val="0"/>
          <w:sz w:val="20"/>
          <w:u w:val="none"/>
          <w:vertAlign w:val="baseline"/>
        </w:rPr>
        <w:t xml:space="preserve">In </w:t>
      </w:r>
      <w:bookmarkStart w:id="147" w:name="Bookmark_I6B70NDX2HM6TY0030000400"/>
      <w:bookmarkEnd w:id="147"/>
      <w:hyperlink r:id="rId26" w:history="1">
        <w:r>
          <w:rPr>
            <w:rFonts w:ascii="arial" w:eastAsia="arial" w:hAnsi="arial" w:cs="arial"/>
            <w:b w:val="0"/>
            <w:i/>
            <w:strike w:val="0"/>
            <w:noProof w:val="0"/>
            <w:color w:val="0077CC"/>
            <w:position w:val="0"/>
            <w:sz w:val="20"/>
            <w:u w:val="single"/>
            <w:vertAlign w:val="baseline"/>
          </w:rPr>
          <w:t>Sanchez</w:t>
        </w:r>
      </w:hyperlink>
      <w:r>
        <w:rPr>
          <w:rFonts w:ascii="arial" w:eastAsia="arial" w:hAnsi="arial" w:cs="arial"/>
          <w:b w:val="0"/>
          <w:i w:val="0"/>
          <w:strike w:val="0"/>
          <w:noProof w:val="0"/>
          <w:color w:val="000000"/>
          <w:position w:val="0"/>
          <w:sz w:val="20"/>
          <w:u w:val="none"/>
          <w:vertAlign w:val="baseline"/>
        </w:rPr>
        <w:t xml:space="preserve">, the California Supreme Court held that a gang expert may testify concerning his general knowledge, but may not relate case-specific facts, namely, "those relating to the particular events and participants alleged to have been involved in the case being tried," about which the expert does not have any independent or personal knowledge. </w:t>
      </w:r>
      <w:bookmarkStart w:id="148" w:name="Bookmark_I6B70NDX28T4JR0030000400"/>
      <w:bookmarkEnd w:id="148"/>
      <w:bookmarkStart w:id="149" w:name="Bookmark_I6B70NDX2HM6TY0050000400"/>
      <w:bookmarkEnd w:id="149"/>
      <w:hyperlink r:id="rId26" w:history="1">
        <w:r>
          <w:rPr>
            <w:rFonts w:ascii="arial" w:eastAsia="arial" w:hAnsi="arial" w:cs="arial"/>
            <w:b w:val="0"/>
            <w:i/>
            <w:strike w:val="0"/>
            <w:noProof w:val="0"/>
            <w:color w:val="0077CC"/>
            <w:position w:val="0"/>
            <w:sz w:val="20"/>
            <w:u w:val="single"/>
            <w:vertAlign w:val="baseline"/>
          </w:rPr>
          <w:t>Sanchez</w:t>
        </w:r>
      </w:hyperlink>
      <w:hyperlink r:id="rId26" w:history="1">
        <w:r>
          <w:rPr>
            <w:rFonts w:ascii="arial" w:eastAsia="arial" w:hAnsi="arial" w:cs="arial"/>
            <w:b w:val="0"/>
            <w:i/>
            <w:strike w:val="0"/>
            <w:noProof w:val="0"/>
            <w:color w:val="0077CC"/>
            <w:position w:val="0"/>
            <w:sz w:val="20"/>
            <w:u w:val="single"/>
            <w:vertAlign w:val="baseline"/>
          </w:rPr>
          <w:t>, 63 Cal. 4th at 676-77</w:t>
        </w:r>
      </w:hyperlink>
      <w:r>
        <w:rPr>
          <w:rFonts w:ascii="arial" w:eastAsia="arial" w:hAnsi="arial" w:cs="arial"/>
          <w:b w:val="0"/>
          <w:i w:val="0"/>
          <w:strike w:val="0"/>
          <w:noProof w:val="0"/>
          <w:color w:val="000000"/>
          <w:position w:val="0"/>
          <w:sz w:val="20"/>
          <w:u w:val="none"/>
          <w:vertAlign w:val="baseline"/>
        </w:rPr>
        <w:t xml:space="preserve">. </w:t>
      </w:r>
      <w:bookmarkStart w:id="150" w:name="Bookmark_I6B70NDX28T4JR0030000400_2"/>
      <w:bookmarkEnd w:id="150"/>
      <w:r>
        <w:rPr>
          <w:rFonts w:ascii="arial" w:eastAsia="arial" w:hAnsi="arial" w:cs="arial"/>
          <w:b w:val="0"/>
          <w:i w:val="0"/>
          <w:strike w:val="0"/>
          <w:noProof w:val="0"/>
          <w:color w:val="000000"/>
          <w:position w:val="0"/>
          <w:sz w:val="20"/>
          <w:u w:val="none"/>
          <w:vertAlign w:val="baseline"/>
        </w:rPr>
        <w:t>An expert cannot "relate as true case-specific facts asserted in hearsay statements, unless they are independently proven by competent evidence or are covered by a hearsay exception," and an expert's disclosure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of testimonial hearsay violates the </w:t>
      </w:r>
      <w:hyperlink r:id="rId20" w:history="1">
        <w:r>
          <w:rPr>
            <w:rFonts w:ascii="arial" w:eastAsia="arial" w:hAnsi="arial" w:cs="arial"/>
            <w:b w:val="0"/>
            <w:i/>
            <w:strike w:val="0"/>
            <w:noProof w:val="0"/>
            <w:color w:val="0077CC"/>
            <w:position w:val="0"/>
            <w:sz w:val="20"/>
            <w:u w:val="single"/>
            <w:vertAlign w:val="baseline"/>
          </w:rPr>
          <w:t>Confrontation Clause</w:t>
        </w:r>
      </w:hyperlink>
      <w:r>
        <w:rPr>
          <w:rFonts w:ascii="arial" w:eastAsia="arial" w:hAnsi="arial" w:cs="arial"/>
          <w:b w:val="0"/>
          <w:i w:val="0"/>
          <w:strike w:val="0"/>
          <w:noProof w:val="0"/>
          <w:color w:val="000000"/>
          <w:position w:val="0"/>
          <w:sz w:val="20"/>
          <w:u w:val="none"/>
          <w:vertAlign w:val="baseline"/>
        </w:rPr>
        <w:t xml:space="preserve"> unless there is a showing that the witness is unavailable and the defendant had a prior opportunity for cross-examination or forfeited that right. </w:t>
      </w:r>
      <w:bookmarkStart w:id="151" w:name="Bookmark_I6B70NDX28T4JR0020000400"/>
      <w:bookmarkEnd w:id="151"/>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686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52" w:name="Bookmark_I6B70NDX28T4JR0040000400"/>
      <w:bookmarkEnd w:id="152"/>
      <w:hyperlink r:id="rId26" w:history="1">
        <w:r>
          <w:rPr>
            <w:rFonts w:ascii="arial" w:eastAsia="arial" w:hAnsi="arial" w:cs="arial"/>
            <w:b w:val="0"/>
            <w:i/>
            <w:strike w:val="0"/>
            <w:noProof w:val="0"/>
            <w:color w:val="0077CC"/>
            <w:position w:val="0"/>
            <w:sz w:val="20"/>
            <w:u w:val="single"/>
            <w:vertAlign w:val="baseline"/>
          </w:rPr>
          <w:t>id.</w:t>
        </w:r>
      </w:hyperlink>
      <w:hyperlink r:id="rId26" w:history="1">
        <w:r>
          <w:rPr>
            <w:rFonts w:ascii="arial" w:eastAsia="arial" w:hAnsi="arial" w:cs="arial"/>
            <w:b w:val="0"/>
            <w:i/>
            <w:strike w:val="0"/>
            <w:noProof w:val="0"/>
            <w:color w:val="0077CC"/>
            <w:position w:val="0"/>
            <w:sz w:val="20"/>
            <w:u w:val="single"/>
            <w:vertAlign w:val="baseline"/>
          </w:rPr>
          <w:t xml:space="preserve"> at 670-71</w:t>
        </w:r>
      </w:hyperlink>
      <w:r>
        <w:rPr>
          <w:rFonts w:ascii="arial" w:eastAsia="arial" w:hAnsi="arial" w:cs="arial"/>
          <w:b w:val="0"/>
          <w:i w:val="0"/>
          <w:strike w:val="0"/>
          <w:noProof w:val="0"/>
          <w:color w:val="000000"/>
          <w:position w:val="0"/>
          <w:sz w:val="20"/>
          <w:u w:val="none"/>
          <w:vertAlign w:val="baseline"/>
        </w:rPr>
        <w:t xml:space="preserve"> ("We hold that the case-specific statements related by the prosecution expert concerning defendant's gang membership constituted inadmissible hearsay under California law. They were recited by the expert, who presented them as true statements of fact, without the requisite independent proof. Some of the hearsay statements were also testimonial and therefore should have been excluded under </w:t>
      </w:r>
      <w:r>
        <w:rPr>
          <w:rFonts w:ascii="arial" w:eastAsia="arial" w:hAnsi="arial" w:cs="arial"/>
          <w:b w:val="0"/>
          <w:i w:val="0"/>
          <w:strike w:val="0"/>
          <w:noProof w:val="0"/>
          <w:color w:val="000000"/>
          <w:position w:val="0"/>
          <w:sz w:val="20"/>
          <w:u w:val="single"/>
          <w:vertAlign w:val="baseline"/>
        </w:rPr>
        <w:t>Crawford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Analysis</w:t>
      </w:r>
    </w:p>
    <w:p>
      <w:pPr>
        <w:keepNext w:val="0"/>
        <w:spacing w:before="240" w:after="0" w:line="260" w:lineRule="atLeast"/>
        <w:ind w:left="0" w:right="0" w:firstLine="0"/>
        <w:jc w:val="both"/>
      </w:pPr>
      <w:bookmarkStart w:id="153" w:name="Bookmark_para_63"/>
      <w:bookmarkEnd w:id="153"/>
      <w:bookmarkStart w:id="154" w:name="Bookmark_I6B70NDX2SF8M70020000400"/>
      <w:bookmarkEnd w:id="154"/>
      <w:bookmarkStart w:id="155" w:name="Bookmark_I6B70NDX2SF8M70040000400"/>
      <w:bookmarkEnd w:id="155"/>
      <w:r>
        <w:rPr>
          <w:rFonts w:ascii="arial" w:eastAsia="arial" w:hAnsi="arial" w:cs="arial"/>
          <w:b w:val="0"/>
          <w:i w:val="0"/>
          <w:strike w:val="0"/>
          <w:noProof w:val="0"/>
          <w:color w:val="000000"/>
          <w:position w:val="0"/>
          <w:sz w:val="20"/>
          <w:u w:val="none"/>
          <w:vertAlign w:val="baseline"/>
        </w:rPr>
        <w:t xml:space="preserve">The Court of Appeal properly found that Petitioner's counsel's failure to object under </w:t>
      </w:r>
      <w:bookmarkStart w:id="156" w:name="Bookmark_I6B70NDX2SF8M70010000400"/>
      <w:bookmarkEnd w:id="156"/>
      <w:hyperlink r:id="rId26" w:history="1">
        <w:r>
          <w:rPr>
            <w:rFonts w:ascii="arial" w:eastAsia="arial" w:hAnsi="arial" w:cs="arial"/>
            <w:b w:val="0"/>
            <w:i/>
            <w:strike w:val="0"/>
            <w:noProof w:val="0"/>
            <w:color w:val="0077CC"/>
            <w:position w:val="0"/>
            <w:sz w:val="20"/>
            <w:u w:val="single"/>
            <w:vertAlign w:val="baseline"/>
          </w:rPr>
          <w:t>Sanchez</w:t>
        </w:r>
      </w:hyperlink>
      <w:r>
        <w:rPr>
          <w:rFonts w:ascii="arial" w:eastAsia="arial" w:hAnsi="arial" w:cs="arial"/>
          <w:b w:val="0"/>
          <w:i w:val="0"/>
          <w:strike w:val="0"/>
          <w:noProof w:val="0"/>
          <w:color w:val="000000"/>
          <w:position w:val="0"/>
          <w:sz w:val="20"/>
          <w:u w:val="none"/>
          <w:vertAlign w:val="baseline"/>
        </w:rPr>
        <w:t xml:space="preserve"> to Officer Bebon's testimony that he believed Petitioner was a 12th Street gang member based on information possibly obtained from other sources did not constitute "deficient performance." Petitioner's counsel reasonably could have concluded that making such an objection would have resulted in additional evidence about Petitioner's gang membership, beyond that which was already before the jury, including Petitioner's admission to Cerda that he was a Pomona 12th Street gang member (4 RT 2127), Petitioner's</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statement to Cerda that he committed multiple murders for the gang (2 CT 187-88, 229), and the testimony by Pomona Police Department Officer Jaime Martinez that Petitioner was a 12th Street gang member based on photographs and numerous contacts with Petitioner (3 RT 1905-06, 1911, 1913-14). </w:t>
      </w:r>
      <w:r>
        <w:rPr>
          <w:rFonts w:ascii="arial" w:eastAsia="arial" w:hAnsi="arial" w:cs="arial"/>
          <w:b w:val="0"/>
          <w:i w:val="0"/>
          <w:strike w:val="0"/>
          <w:noProof w:val="0"/>
          <w:color w:val="000000"/>
          <w:position w:val="0"/>
          <w:sz w:val="20"/>
          <w:u w:val="single"/>
          <w:vertAlign w:val="baseline"/>
        </w:rPr>
        <w:t xml:space="preserve">See </w:t>
      </w:r>
      <w:bookmarkStart w:id="157" w:name="Bookmark_I6B70NDX2SF8M70030000400"/>
      <w:bookmarkEnd w:id="157"/>
      <w:hyperlink r:id="rId33" w:history="1">
        <w:r>
          <w:rPr>
            <w:rFonts w:ascii="arial" w:eastAsia="arial" w:hAnsi="arial" w:cs="arial"/>
            <w:b w:val="0"/>
            <w:i/>
            <w:strike w:val="0"/>
            <w:noProof w:val="0"/>
            <w:color w:val="0077CC"/>
            <w:position w:val="0"/>
            <w:sz w:val="20"/>
            <w:u w:val="single"/>
            <w:vertAlign w:val="baseline"/>
          </w:rPr>
          <w:t>Campbell v. Wood</w:t>
        </w:r>
      </w:hyperlink>
      <w:hyperlink r:id="rId33" w:history="1">
        <w:r>
          <w:rPr>
            <w:rFonts w:ascii="arial" w:eastAsia="arial" w:hAnsi="arial" w:cs="arial"/>
            <w:b w:val="0"/>
            <w:i/>
            <w:strike w:val="0"/>
            <w:noProof w:val="0"/>
            <w:color w:val="0077CC"/>
            <w:position w:val="0"/>
            <w:sz w:val="20"/>
            <w:u w:val="single"/>
            <w:vertAlign w:val="baseline"/>
          </w:rPr>
          <w:t>, 18 F.3d 662, 673 (9th Cir. 1994)</w:t>
        </w:r>
      </w:hyperlink>
      <w:r>
        <w:rPr>
          <w:rFonts w:ascii="arial" w:eastAsia="arial" w:hAnsi="arial" w:cs="arial"/>
          <w:b w:val="0"/>
          <w:i w:val="0"/>
          <w:strike w:val="0"/>
          <w:noProof w:val="0"/>
          <w:color w:val="000000"/>
          <w:position w:val="0"/>
          <w:sz w:val="20"/>
          <w:u w:val="none"/>
          <w:vertAlign w:val="baseline"/>
        </w:rPr>
        <w:t xml:space="preserve"> ("We will neither second-guess counsel's decision, nor apply the fabled twenty-twenty vision of hindsight.").</w:t>
      </w:r>
    </w:p>
    <w:p>
      <w:pPr>
        <w:keepNext w:val="0"/>
        <w:spacing w:before="200" w:after="0" w:line="260" w:lineRule="atLeast"/>
        <w:ind w:left="0" w:right="0" w:firstLine="0"/>
        <w:jc w:val="both"/>
      </w:pPr>
      <w:bookmarkStart w:id="158" w:name="Bookmark_para_64"/>
      <w:bookmarkEnd w:id="158"/>
      <w:bookmarkStart w:id="159" w:name="Bookmark_I6B70NDX2D6MVT0010000400"/>
      <w:bookmarkEnd w:id="159"/>
      <w:r>
        <w:rPr>
          <w:rFonts w:ascii="arial" w:eastAsia="arial" w:hAnsi="arial" w:cs="arial"/>
          <w:b w:val="0"/>
          <w:i w:val="0"/>
          <w:strike w:val="0"/>
          <w:noProof w:val="0"/>
          <w:color w:val="000000"/>
          <w:position w:val="0"/>
          <w:sz w:val="20"/>
          <w:u w:val="none"/>
          <w:vertAlign w:val="baseline"/>
        </w:rPr>
        <w:t xml:space="preserve">Moreover, Petitioner has failed to show that his counsel's failure to object under </w:t>
      </w:r>
      <w:bookmarkStart w:id="160" w:name="Bookmark_I6B70NDX2SF8M70050000400"/>
      <w:bookmarkEnd w:id="160"/>
      <w:hyperlink r:id="rId26" w:history="1">
        <w:r>
          <w:rPr>
            <w:rFonts w:ascii="arial" w:eastAsia="arial" w:hAnsi="arial" w:cs="arial"/>
            <w:b w:val="0"/>
            <w:i/>
            <w:strike w:val="0"/>
            <w:noProof w:val="0"/>
            <w:color w:val="0077CC"/>
            <w:position w:val="0"/>
            <w:sz w:val="20"/>
            <w:u w:val="single"/>
            <w:vertAlign w:val="baseline"/>
          </w:rPr>
          <w:t>Sanchez</w:t>
        </w:r>
      </w:hyperlink>
      <w:r>
        <w:rPr>
          <w:rFonts w:ascii="arial" w:eastAsia="arial" w:hAnsi="arial" w:cs="arial"/>
          <w:b w:val="0"/>
          <w:i w:val="0"/>
          <w:strike w:val="0"/>
          <w:noProof w:val="0"/>
          <w:color w:val="000000"/>
          <w:position w:val="0"/>
          <w:sz w:val="20"/>
          <w:u w:val="none"/>
          <w:vertAlign w:val="baseline"/>
        </w:rPr>
        <w:t xml:space="preserve"> would have resulted in the requisite "prejudice." As found by the Court of Appeal,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10 at 15, the admission of Officer Bebon's hearsay testimony, whether in violation of state law or testimonial in nature, did not affect the outcome of the trial because of the other evidence of Petitioner's gang membership presented at trial, as discussed above.</w:t>
      </w:r>
    </w:p>
    <w:p>
      <w:pPr>
        <w:keepNext w:val="0"/>
        <w:spacing w:before="200" w:after="0" w:line="260" w:lineRule="atLeast"/>
        <w:ind w:left="0" w:right="0" w:firstLine="0"/>
        <w:jc w:val="both"/>
      </w:pPr>
      <w:bookmarkStart w:id="161" w:name="Bookmark_para_65"/>
      <w:bookmarkEnd w:id="161"/>
      <w:r>
        <w:rPr>
          <w:rFonts w:ascii="arial" w:eastAsia="arial" w:hAnsi="arial" w:cs="arial"/>
          <w:b w:val="0"/>
          <w:i w:val="0"/>
          <w:strike w:val="0"/>
          <w:noProof w:val="0"/>
          <w:color w:val="000000"/>
          <w:position w:val="0"/>
          <w:sz w:val="20"/>
          <w:u w:val="none"/>
          <w:vertAlign w:val="baseline"/>
        </w:rPr>
        <w:t>Habeas relief on this claim is not warranted.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C. </w:t>
      </w:r>
      <w:r>
        <w:rPr>
          <w:rFonts w:ascii="arial" w:eastAsia="arial" w:hAnsi="arial" w:cs="arial"/>
          <w:b/>
          <w:i w:val="0"/>
          <w:strike w:val="0"/>
          <w:noProof w:val="0"/>
          <w:color w:val="000000"/>
          <w:position w:val="0"/>
          <w:sz w:val="20"/>
          <w:u w:val="single"/>
          <w:vertAlign w:val="baseline"/>
        </w:rPr>
        <w:t>Admission of Evidence of Uncharged Murders</w:t>
      </w:r>
    </w:p>
    <w:p>
      <w:pPr>
        <w:keepNext w:val="0"/>
        <w:spacing w:before="200" w:after="0" w:line="260" w:lineRule="atLeast"/>
        <w:ind w:left="0" w:right="0" w:firstLine="0"/>
        <w:jc w:val="both"/>
      </w:pPr>
      <w:bookmarkStart w:id="162" w:name="Bookmark_para_66"/>
      <w:bookmarkEnd w:id="162"/>
      <w:r>
        <w:rPr>
          <w:rFonts w:ascii="arial" w:eastAsia="arial" w:hAnsi="arial" w:cs="arial"/>
          <w:b w:val="0"/>
          <w:i w:val="0"/>
          <w:strike w:val="0"/>
          <w:noProof w:val="0"/>
          <w:color w:val="000000"/>
          <w:position w:val="0"/>
          <w:sz w:val="20"/>
          <w:u w:val="none"/>
          <w:vertAlign w:val="baseline"/>
        </w:rPr>
        <w:t>Petitioner contends that the admission of his jailhouse statements to Cerda about committing eight murders in one year violated his federal constitutional rights to due process and a fair trial. According to Petitioner, the admission of Petitioner's statements about</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uncharged murders was prejudicial because it permitted the jury to find Petitioner guilty "not because he is believed guilty of the present charge, but because he has escaped []punishment from other offenses." Petition at 17-18.</w:t>
      </w:r>
    </w:p>
    <w:p>
      <w:pPr>
        <w:keepNext w:val="0"/>
        <w:spacing w:before="200" w:after="0" w:line="260" w:lineRule="atLeast"/>
        <w:ind w:left="0" w:right="0" w:firstLine="0"/>
        <w:jc w:val="both"/>
      </w:pPr>
      <w:bookmarkStart w:id="163" w:name="Bookmark_para_67"/>
      <w:bookmarkEnd w:id="163"/>
      <w:r>
        <w:rPr>
          <w:rFonts w:ascii="arial" w:eastAsia="arial" w:hAnsi="arial" w:cs="arial"/>
          <w:b w:val="0"/>
          <w:i w:val="0"/>
          <w:strike w:val="0"/>
          <w:noProof w:val="0"/>
          <w:color w:val="000000"/>
          <w:position w:val="0"/>
          <w:sz w:val="20"/>
          <w:u w:val="none"/>
          <w:vertAlign w:val="baseline"/>
        </w:rPr>
        <w:t>During conversations with Cerda on January 13, 2014, Petitioner repeatedly admitted to committing eight murders in 2013. Shortly after Petitioner said, "They're trying to get me for another one," 2 CT 167, Cerda asked, "You said you had eight?" to which Petitioner replied, "It's probably close to that." 2 CT 171. Later, after discussing details about the doughnut shop murder, 2 CT 184-87, Petitioner complained that "[e]very time something happens my name pops up." 2 CT 187. The following exchange then took place.</w:t>
      </w:r>
    </w:p>
    <w:p>
      <w:pPr>
        <w:keepNext w:val="0"/>
        <w:spacing w:after="0" w:line="260" w:lineRule="atLeast"/>
        <w:ind w:left="400" w:right="0" w:firstLine="0"/>
        <w:jc w:val="both"/>
      </w:pPr>
      <w:bookmarkStart w:id="164" w:name="Bookmark_para_68"/>
      <w:bookmarkEnd w:id="164"/>
      <w:r>
        <w:rPr>
          <w:rFonts w:ascii="arial" w:eastAsia="arial" w:hAnsi="arial" w:cs="arial"/>
          <w:b w:val="0"/>
          <w:i w:val="0"/>
          <w:strike w:val="0"/>
          <w:noProof w:val="0"/>
          <w:color w:val="000000"/>
          <w:position w:val="0"/>
          <w:sz w:val="20"/>
          <w:u w:val="none"/>
          <w:vertAlign w:val="baseline"/>
        </w:rPr>
        <w:t>CERDA: You say you had eight last year so, they'd probably be after you, you know what I mean? That's a lot of murders, dude.</w:t>
      </w:r>
    </w:p>
    <w:p>
      <w:pPr>
        <w:keepNext w:val="0"/>
        <w:spacing w:after="0" w:line="260" w:lineRule="atLeast"/>
        <w:ind w:left="400" w:right="0" w:firstLine="0"/>
        <w:jc w:val="both"/>
      </w:pPr>
      <w:bookmarkStart w:id="165" w:name="Bookmark_para_69"/>
      <w:bookmarkEnd w:id="165"/>
      <w:r>
        <w:rPr>
          <w:rFonts w:ascii="arial" w:eastAsia="arial" w:hAnsi="arial" w:cs="arial"/>
          <w:b w:val="0"/>
          <w:i w:val="0"/>
          <w:strike w:val="0"/>
          <w:noProof w:val="0"/>
          <w:color w:val="000000"/>
          <w:position w:val="0"/>
          <w:sz w:val="20"/>
          <w:u w:val="none"/>
          <w:vertAlign w:val="baseline"/>
        </w:rPr>
        <w:t>PETITIONER: Yeah.</w:t>
      </w:r>
    </w:p>
    <w:p>
      <w:pPr>
        <w:keepNext w:val="0"/>
        <w:spacing w:after="0" w:line="260" w:lineRule="atLeast"/>
        <w:ind w:left="400" w:right="0" w:firstLine="0"/>
        <w:jc w:val="both"/>
      </w:pPr>
      <w:bookmarkStart w:id="166" w:name="Bookmark_para_70"/>
      <w:bookmarkEnd w:id="166"/>
      <w:r>
        <w:rPr>
          <w:rFonts w:ascii="arial" w:eastAsia="arial" w:hAnsi="arial" w:cs="arial"/>
          <w:b w:val="0"/>
          <w:i w:val="0"/>
          <w:strike w:val="0"/>
          <w:noProof w:val="0"/>
          <w:color w:val="000000"/>
          <w:position w:val="0"/>
          <w:sz w:val="20"/>
          <w:u w:val="none"/>
          <w:vertAlign w:val="baseline"/>
        </w:rPr>
        <w:t>CERDA: For one year, you were out there, fucking active like a mother fucker.</w:t>
      </w:r>
    </w:p>
    <w:p>
      <w:pPr>
        <w:keepNext w:val="0"/>
        <w:spacing w:after="0" w:line="260" w:lineRule="atLeast"/>
        <w:ind w:left="400" w:right="0" w:firstLine="0"/>
        <w:jc w:val="both"/>
      </w:pPr>
      <w:bookmarkStart w:id="167" w:name="Bookmark_para_71"/>
      <w:bookmarkEnd w:id="167"/>
      <w:r>
        <w:rPr>
          <w:rFonts w:ascii="arial" w:eastAsia="arial" w:hAnsi="arial" w:cs="arial"/>
          <w:b w:val="0"/>
          <w:i w:val="0"/>
          <w:strike w:val="0"/>
          <w:noProof w:val="0"/>
          <w:color w:val="000000"/>
          <w:position w:val="0"/>
          <w:sz w:val="20"/>
          <w:u w:val="none"/>
          <w:vertAlign w:val="baseline"/>
        </w:rPr>
        <w:t>PETITIONER: I was young and in business.</w:t>
      </w:r>
    </w:p>
    <w:p>
      <w:pPr>
        <w:keepNext w:val="0"/>
        <w:spacing w:after="0" w:line="260" w:lineRule="atLeast"/>
        <w:ind w:left="400" w:right="0" w:firstLine="0"/>
        <w:jc w:val="both"/>
      </w:pPr>
      <w:bookmarkStart w:id="168" w:name="Bookmark_para_72"/>
      <w:bookmarkEnd w:id="168"/>
      <w:r>
        <w:rPr>
          <w:rFonts w:ascii="arial" w:eastAsia="arial" w:hAnsi="arial" w:cs="arial"/>
          <w:b w:val="0"/>
          <w:i w:val="0"/>
          <w:strike w:val="0"/>
          <w:noProof w:val="0"/>
          <w:color w:val="000000"/>
          <w:position w:val="0"/>
          <w:sz w:val="20"/>
          <w:u w:val="none"/>
          <w:vertAlign w:val="baseline"/>
        </w:rPr>
        <w:t>CERDA: What?</w:t>
      </w:r>
    </w:p>
    <w:p>
      <w:pPr>
        <w:keepNext w:val="0"/>
        <w:spacing w:after="0" w:line="260" w:lineRule="atLeast"/>
        <w:ind w:left="400" w:right="0" w:firstLine="0"/>
        <w:jc w:val="both"/>
      </w:pPr>
      <w:bookmarkStart w:id="169" w:name="Bookmark_para_73"/>
      <w:bookmarkEnd w:id="169"/>
      <w:r>
        <w:rPr>
          <w:rFonts w:ascii="arial" w:eastAsia="arial" w:hAnsi="arial" w:cs="arial"/>
          <w:b w:val="0"/>
          <w:i w:val="0"/>
          <w:strike w:val="0"/>
          <w:noProof w:val="0"/>
          <w:color w:val="000000"/>
          <w:position w:val="0"/>
          <w:sz w:val="20"/>
          <w:u w:val="none"/>
          <w:vertAlign w:val="baseline"/>
        </w:rPr>
        <w:t>PETITIONER: I said I was young and in business.</w:t>
      </w:r>
    </w:p>
    <w:p>
      <w:pPr>
        <w:keepNext w:val="0"/>
        <w:spacing w:after="0" w:line="260" w:lineRule="atLeast"/>
        <w:ind w:left="400" w:right="0" w:firstLine="0"/>
        <w:jc w:val="both"/>
      </w:pPr>
      <w:bookmarkStart w:id="170" w:name="Bookmark_para_74"/>
      <w:bookmarkEnd w:id="170"/>
      <w:r>
        <w:rPr>
          <w:rFonts w:ascii="arial" w:eastAsia="arial" w:hAnsi="arial" w:cs="arial"/>
          <w:b w:val="0"/>
          <w:i w:val="0"/>
          <w:strike w:val="0"/>
          <w:noProof w:val="0"/>
          <w:color w:val="000000"/>
          <w:position w:val="0"/>
          <w:sz w:val="20"/>
          <w:u w:val="none"/>
          <w:vertAlign w:val="baseline"/>
        </w:rPr>
        <w:t>CERDA: Yeah. Putting in work, huh?</w:t>
      </w:r>
    </w:p>
    <w:p>
      <w:pPr>
        <w:keepNext w:val="0"/>
        <w:spacing w:after="0" w:line="260" w:lineRule="atLeast"/>
        <w:ind w:left="400" w:right="0" w:firstLine="0"/>
        <w:jc w:val="both"/>
      </w:pPr>
      <w:bookmarkStart w:id="171" w:name="Bookmark_para_75"/>
      <w:bookmarkEnd w:id="171"/>
      <w:r>
        <w:rPr>
          <w:rFonts w:ascii="arial" w:eastAsia="arial" w:hAnsi="arial" w:cs="arial"/>
          <w:b w:val="0"/>
          <w:i w:val="0"/>
          <w:strike w:val="0"/>
          <w:noProof w:val="0"/>
          <w:color w:val="000000"/>
          <w:position w:val="0"/>
          <w:sz w:val="20"/>
          <w:u w:val="none"/>
          <w:vertAlign w:val="baseline"/>
        </w:rPr>
        <w:t>PETITIONER: [Unintelligible]</w:t>
      </w:r>
    </w:p>
    <w:p>
      <w:pPr>
        <w:keepNext w:val="0"/>
        <w:spacing w:after="0" w:line="260" w:lineRule="atLeast"/>
        <w:ind w:left="400" w:right="0" w:firstLine="0"/>
        <w:jc w:val="both"/>
      </w:pPr>
      <w:bookmarkStart w:id="172" w:name="Bookmark_para_76"/>
      <w:bookmarkEnd w:id="172"/>
      <w:r>
        <w:rPr>
          <w:rFonts w:ascii="arial" w:eastAsia="arial" w:hAnsi="arial" w:cs="arial"/>
          <w:b w:val="0"/>
          <w:i w:val="0"/>
          <w:strike w:val="0"/>
          <w:noProof w:val="0"/>
          <w:color w:val="000000"/>
          <w:position w:val="0"/>
          <w:sz w:val="20"/>
          <w:u w:val="none"/>
          <w:vertAlign w:val="baseline"/>
        </w:rPr>
        <w:t>CERDA: [Unintelligible]</w:t>
      </w:r>
    </w:p>
    <w:p>
      <w:pPr>
        <w:keepNext w:val="0"/>
        <w:spacing w:after="0" w:line="260" w:lineRule="atLeast"/>
        <w:ind w:left="400" w:right="0" w:firstLine="0"/>
        <w:jc w:val="both"/>
      </w:pPr>
      <w:bookmarkStart w:id="173" w:name="Bookmark_para_77"/>
      <w:bookmarkEnd w:id="173"/>
      <w:r>
        <w:rPr>
          <w:rFonts w:ascii="arial" w:eastAsia="arial" w:hAnsi="arial" w:cs="arial"/>
          <w:b w:val="0"/>
          <w:i w:val="0"/>
          <w:strike w:val="0"/>
          <w:noProof w:val="0"/>
          <w:color w:val="000000"/>
          <w:position w:val="0"/>
          <w:sz w:val="20"/>
          <w:u w:val="none"/>
          <w:vertAlign w:val="baseline"/>
        </w:rPr>
        <w:t>PETITIONER: Yes, sir.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CT 187-88. Subsequently,</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when Cerda asked Petitioner whether he had "another thirteen," Petitioner corrected him, saying it was "eight." 2 CT 219. Then, after discussing for how long Petitioner had been "gangbanging," Cerda commented, "Going strong. Going strong, huh, Eight murders under your belt in one year. I'd say that's strong, no?" Petitioner responded, "Hell, yeah. [Unintelligible] for life." 2 CT 229.</w:t>
      </w:r>
    </w:p>
    <w:p>
      <w:pPr>
        <w:keepNext w:val="0"/>
        <w:spacing w:before="240" w:after="0" w:line="260" w:lineRule="atLeast"/>
        <w:ind w:left="0" w:right="0" w:firstLine="0"/>
        <w:jc w:val="both"/>
      </w:pPr>
      <w:bookmarkStart w:id="174" w:name="Bookmark_para_78"/>
      <w:bookmarkEnd w:id="174"/>
      <w:r>
        <w:rPr>
          <w:rFonts w:ascii="arial" w:eastAsia="arial" w:hAnsi="arial" w:cs="arial"/>
          <w:b w:val="0"/>
          <w:i w:val="0"/>
          <w:strike w:val="0"/>
          <w:noProof w:val="0"/>
          <w:color w:val="000000"/>
          <w:position w:val="0"/>
          <w:sz w:val="20"/>
          <w:u w:val="none"/>
          <w:vertAlign w:val="baseline"/>
        </w:rPr>
        <w:t>Before trial, the trial court excluded Petitioner's admissions to the eight murders: "[T]he comment about eight murders is not coming in. That's character evidence. [Cerda's] not going to be allowed to opine or to say that [Petitioner] admitted to eight murders. I think that's incredibly prejudicial. . . . If defense counsel doesn't want that to come in I'm going to exclude it." 2 RT 22-23. But immediately before Cerda testified, the prosecutor requested that the court reconsider its ruling, arguing that the statements were not being introduced to show Petitioner's bad character, but rather to show that Petitioner admitted to committing the three charged murders: "He's admitting these murders as being part of the eight." 2 RT 2101-03. Petitioner's counsel argued that the evidence in two of the three charged</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murders was circumstantial, and that the prosecutor was "trying to back door character." 2 RT 2105. Applying </w:t>
      </w:r>
      <w:hyperlink r:id="rId34" w:history="1">
        <w:r>
          <w:rPr>
            <w:rFonts w:ascii="arial" w:eastAsia="arial" w:hAnsi="arial" w:cs="arial"/>
            <w:b w:val="0"/>
            <w:i/>
            <w:strike w:val="0"/>
            <w:noProof w:val="0"/>
            <w:color w:val="0077CC"/>
            <w:position w:val="0"/>
            <w:sz w:val="20"/>
            <w:u w:val="single"/>
            <w:vertAlign w:val="baseline"/>
          </w:rPr>
          <w:t>Cal. Evid. Code § 352</w:t>
        </w:r>
      </w:hyperlink>
      <w:r>
        <w:rPr>
          <w:rFonts w:ascii="arial" w:eastAsia="arial" w:hAnsi="arial" w:cs="arial"/>
          <w:b w:val="0"/>
          <w:i w:val="0"/>
          <w:strike w:val="0"/>
          <w:noProof w:val="0"/>
          <w:color w:val="000000"/>
          <w:position w:val="0"/>
          <w:sz w:val="20"/>
          <w:u w:val="none"/>
          <w:vertAlign w:val="baseline"/>
        </w:rPr>
        <w:t>, the trial court reconsidered, and allowed the four statements described above to be admitted:</w:t>
      </w:r>
    </w:p>
    <w:p>
      <w:pPr>
        <w:keepNext w:val="0"/>
        <w:spacing w:after="0" w:line="260" w:lineRule="atLeast"/>
        <w:ind w:left="400" w:right="0" w:firstLine="0"/>
        <w:jc w:val="both"/>
      </w:pPr>
      <w:bookmarkStart w:id="175" w:name="Bookmark_para_79"/>
      <w:bookmarkEnd w:id="175"/>
      <w:r>
        <w:rPr>
          <w:rFonts w:ascii="arial" w:eastAsia="arial" w:hAnsi="arial" w:cs="arial"/>
          <w:b w:val="0"/>
          <w:i w:val="0"/>
          <w:strike w:val="0"/>
          <w:noProof w:val="0"/>
          <w:color w:val="000000"/>
          <w:position w:val="0"/>
          <w:sz w:val="20"/>
          <w:u w:val="none"/>
          <w:vertAlign w:val="baseline"/>
        </w:rPr>
        <w:t>The thing about this context is that I think that when you put all of these statements in context what it does do is it supports the motive that the People are putting forth here. [¶] So I think that having revisited the analysis of what's more prejudicial that probative, while I will concede that this statement that he at least tepidly acknowledges having committed eight murders. I think under these circumstances that the probative value of this maybe even in terms of the gang and putting in work, which is something we've heard about, I suspect we'll hear about more, in this case the considerable probative value outweighs the considerable prejudice.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 RT 2105-06;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4 RT 2106-08 (admitting all four statements based on the finding that their probative value outweighed their considerable prejudice).</w:t>
      </w:r>
    </w:p>
    <w:p>
      <w:pPr>
        <w:keepNext w:val="0"/>
        <w:spacing w:before="200" w:after="0" w:line="260" w:lineRule="atLeast"/>
        <w:ind w:left="0" w:right="0" w:firstLine="0"/>
        <w:jc w:val="both"/>
      </w:pPr>
      <w:bookmarkStart w:id="176" w:name="Bookmark_para_80"/>
      <w:bookmarkEnd w:id="176"/>
      <w:r>
        <w:rPr>
          <w:rFonts w:ascii="arial" w:eastAsia="arial" w:hAnsi="arial" w:cs="arial"/>
          <w:b w:val="0"/>
          <w:i w:val="0"/>
          <w:strike w:val="0"/>
          <w:noProof w:val="0"/>
          <w:color w:val="000000"/>
          <w:position w:val="0"/>
          <w:sz w:val="20"/>
          <w:u w:val="none"/>
          <w:vertAlign w:val="baseline"/>
        </w:rPr>
        <w:t xml:space="preserve">The Court of Appeal concluded that the trial court did not abuse its discretion in admitting Petitioner's statements under </w:t>
      </w:r>
      <w:hyperlink r:id="rId35" w:history="1">
        <w:r>
          <w:rPr>
            <w:rFonts w:ascii="arial" w:eastAsia="arial" w:hAnsi="arial" w:cs="arial"/>
            <w:b w:val="0"/>
            <w:i/>
            <w:strike w:val="0"/>
            <w:noProof w:val="0"/>
            <w:color w:val="0077CC"/>
            <w:position w:val="0"/>
            <w:sz w:val="20"/>
            <w:u w:val="single"/>
            <w:vertAlign w:val="baseline"/>
          </w:rPr>
          <w:t>Cal. Evid. Code §§ 1101</w:t>
        </w:r>
      </w:hyperlink>
      <w:r>
        <w:rPr>
          <w:rFonts w:ascii="arial" w:eastAsia="arial" w:hAnsi="arial" w:cs="arial"/>
          <w:b w:val="0"/>
          <w:i w:val="0"/>
          <w:strike w:val="0"/>
          <w:noProof w:val="0"/>
          <w:color w:val="000000"/>
          <w:position w:val="0"/>
          <w:sz w:val="20"/>
          <w:u w:val="none"/>
          <w:vertAlign w:val="baseline"/>
        </w:rPr>
        <w:t xml:space="preserve"> and </w:t>
      </w:r>
      <w:hyperlink r:id="rId34" w:history="1">
        <w:r>
          <w:rPr>
            <w:rFonts w:ascii="arial" w:eastAsia="arial" w:hAnsi="arial" w:cs="arial"/>
            <w:b w:val="0"/>
            <w:i/>
            <w:strike w:val="0"/>
            <w:noProof w:val="0"/>
            <w:color w:val="0077CC"/>
            <w:position w:val="0"/>
            <w:sz w:val="20"/>
            <w:u w:val="single"/>
            <w:vertAlign w:val="baseline"/>
          </w:rPr>
          <w:t>352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10 at 8-12. Additionally, the Court of Appeal</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found that any error in the admission of Petitioner's statements was harmless.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10-11.</w:t>
      </w:r>
    </w:p>
    <w:p>
      <w:pPr>
        <w:keepNext w:val="0"/>
        <w:spacing w:before="240" w:after="0" w:line="260" w:lineRule="atLeast"/>
        <w:ind w:left="0" w:right="0" w:firstLine="0"/>
        <w:jc w:val="both"/>
      </w:pPr>
      <w:bookmarkStart w:id="177" w:name="Bookmark_para_81"/>
      <w:bookmarkEnd w:id="177"/>
      <w:bookmarkStart w:id="178" w:name="Bookmark_I6B70NDX2D6MVT0030000400"/>
      <w:bookmarkEnd w:id="178"/>
      <w:r>
        <w:rPr>
          <w:rFonts w:ascii="arial" w:eastAsia="arial" w:hAnsi="arial" w:cs="arial"/>
          <w:b w:val="0"/>
          <w:i w:val="0"/>
          <w:strike w:val="0"/>
          <w:noProof w:val="0"/>
          <w:color w:val="000000"/>
          <w:position w:val="0"/>
          <w:sz w:val="20"/>
          <w:u w:val="none"/>
          <w:vertAlign w:val="baseline"/>
        </w:rPr>
        <w:t xml:space="preserve">To the extent that Petitioner's is alleging that the trial court improperly admitted evidence of prior uncharged murders under </w:t>
      </w:r>
      <w:hyperlink r:id="rId35" w:history="1">
        <w:r>
          <w:rPr>
            <w:rFonts w:ascii="arial" w:eastAsia="arial" w:hAnsi="arial" w:cs="arial"/>
            <w:b w:val="0"/>
            <w:i/>
            <w:strike w:val="0"/>
            <w:noProof w:val="0"/>
            <w:color w:val="0077CC"/>
            <w:position w:val="0"/>
            <w:sz w:val="20"/>
            <w:u w:val="single"/>
            <w:vertAlign w:val="baseline"/>
          </w:rPr>
          <w:t>Cal. Evid. Code §§ 1101(b)</w:t>
        </w:r>
      </w:hyperlink>
      <w:r>
        <w:rPr>
          <w:rFonts w:ascii="arial" w:eastAsia="arial" w:hAnsi="arial" w:cs="arial"/>
          <w:b w:val="0"/>
          <w:i w:val="0"/>
          <w:strike w:val="0"/>
          <w:noProof w:val="0"/>
          <w:color w:val="000000"/>
          <w:position w:val="0"/>
          <w:sz w:val="20"/>
          <w:u w:val="none"/>
          <w:vertAlign w:val="baseline"/>
        </w:rPr>
        <w:t xml:space="preserve"> and </w:t>
      </w:r>
      <w:hyperlink r:id="rId34" w:history="1">
        <w:r>
          <w:rPr>
            <w:rFonts w:ascii="arial" w:eastAsia="arial" w:hAnsi="arial" w:cs="arial"/>
            <w:b w:val="0"/>
            <w:i/>
            <w:strike w:val="0"/>
            <w:noProof w:val="0"/>
            <w:color w:val="0077CC"/>
            <w:position w:val="0"/>
            <w:sz w:val="20"/>
            <w:u w:val="single"/>
            <w:vertAlign w:val="baseline"/>
          </w:rPr>
          <w:t>352</w:t>
        </w:r>
      </w:hyperlink>
      <w:r>
        <w:rPr>
          <w:rFonts w:ascii="arial" w:eastAsia="arial" w:hAnsi="arial" w:cs="arial"/>
          <w:b w:val="0"/>
          <w:i w:val="0"/>
          <w:strike w:val="0"/>
          <w:noProof w:val="0"/>
          <w:color w:val="000000"/>
          <w:position w:val="0"/>
          <w:sz w:val="20"/>
          <w:u w:val="none"/>
          <w:vertAlign w:val="baseline"/>
        </w:rPr>
        <w:t xml:space="preserve">, such a claim involves a question of state law not cognizable on federal habeas review. </w:t>
      </w:r>
      <w:r>
        <w:rPr>
          <w:rFonts w:ascii="arial" w:eastAsia="arial" w:hAnsi="arial" w:cs="arial"/>
          <w:b w:val="0"/>
          <w:i w:val="0"/>
          <w:strike w:val="0"/>
          <w:noProof w:val="0"/>
          <w:color w:val="000000"/>
          <w:position w:val="0"/>
          <w:sz w:val="20"/>
          <w:u w:val="single"/>
          <w:vertAlign w:val="baseline"/>
        </w:rPr>
        <w:t xml:space="preserve">See </w:t>
      </w:r>
      <w:bookmarkStart w:id="179" w:name="Bookmark_I6B70NDX2D6MVT0020000400"/>
      <w:bookmarkEnd w:id="179"/>
      <w:hyperlink r:id="rId36" w:history="1">
        <w:r>
          <w:rPr>
            <w:rFonts w:ascii="arial" w:eastAsia="arial" w:hAnsi="arial" w:cs="arial"/>
            <w:b w:val="0"/>
            <w:i/>
            <w:strike w:val="0"/>
            <w:noProof w:val="0"/>
            <w:color w:val="0077CC"/>
            <w:position w:val="0"/>
            <w:sz w:val="20"/>
            <w:u w:val="single"/>
            <w:vertAlign w:val="baseline"/>
          </w:rPr>
          <w:t>Estelle v. McGuire</w:t>
        </w:r>
      </w:hyperlink>
      <w:hyperlink r:id="rId36" w:history="1">
        <w:r>
          <w:rPr>
            <w:rFonts w:ascii="arial" w:eastAsia="arial" w:hAnsi="arial" w:cs="arial"/>
            <w:b w:val="0"/>
            <w:i/>
            <w:strike w:val="0"/>
            <w:noProof w:val="0"/>
            <w:color w:val="0077CC"/>
            <w:position w:val="0"/>
            <w:sz w:val="20"/>
            <w:u w:val="single"/>
            <w:vertAlign w:val="baseline"/>
          </w:rPr>
          <w:t>, 502 U.S. 62, 67-68, 112 S. Ct. 475, 116 L. Ed. 2d 385 (1991)</w:t>
        </w:r>
      </w:hyperlink>
      <w:r>
        <w:rPr>
          <w:rFonts w:ascii="arial" w:eastAsia="arial" w:hAnsi="arial" w:cs="arial"/>
          <w:b w:val="0"/>
          <w:i w:val="0"/>
          <w:strike w:val="0"/>
          <w:noProof w:val="0"/>
          <w:color w:val="000000"/>
          <w:position w:val="0"/>
          <w:sz w:val="20"/>
          <w:u w:val="none"/>
          <w:vertAlign w:val="baseline"/>
        </w:rPr>
        <w:t xml:space="preserve">; </w:t>
      </w:r>
      <w:bookmarkStart w:id="180" w:name="Bookmark_I6B70NDX2D6MVT0040000400"/>
      <w:bookmarkEnd w:id="180"/>
      <w:hyperlink r:id="rId37" w:history="1">
        <w:r>
          <w:rPr>
            <w:rFonts w:ascii="arial" w:eastAsia="arial" w:hAnsi="arial" w:cs="arial"/>
            <w:b w:val="0"/>
            <w:i/>
            <w:strike w:val="0"/>
            <w:noProof w:val="0"/>
            <w:color w:val="0077CC"/>
            <w:position w:val="0"/>
            <w:sz w:val="20"/>
            <w:u w:val="single"/>
            <w:vertAlign w:val="baseline"/>
          </w:rPr>
          <w:t>Park v. California</w:t>
        </w:r>
      </w:hyperlink>
      <w:hyperlink r:id="rId37" w:history="1">
        <w:r>
          <w:rPr>
            <w:rFonts w:ascii="arial" w:eastAsia="arial" w:hAnsi="arial" w:cs="arial"/>
            <w:b w:val="0"/>
            <w:i/>
            <w:strike w:val="0"/>
            <w:noProof w:val="0"/>
            <w:color w:val="0077CC"/>
            <w:position w:val="0"/>
            <w:sz w:val="20"/>
            <w:u w:val="single"/>
            <w:vertAlign w:val="baseline"/>
          </w:rPr>
          <w:t>, 202 F.3d 1146, 1154 (9th Cir.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81" w:name="Bookmark_para_82"/>
      <w:bookmarkEnd w:id="181"/>
      <w:bookmarkStart w:id="182" w:name="Bookmark_I6B70NDX2HM6V60020000400"/>
      <w:bookmarkEnd w:id="182"/>
      <w:bookmarkStart w:id="183" w:name="Bookmark_I6B70NDX2HM6V90050000400"/>
      <w:bookmarkEnd w:id="183"/>
      <w:r>
        <w:rPr>
          <w:rFonts w:ascii="arial" w:eastAsia="arial" w:hAnsi="arial" w:cs="arial"/>
          <w:b w:val="0"/>
          <w:i w:val="0"/>
          <w:strike w:val="0"/>
          <w:noProof w:val="0"/>
          <w:color w:val="000000"/>
          <w:position w:val="0"/>
          <w:sz w:val="20"/>
          <w:u w:val="none"/>
          <w:vertAlign w:val="baseline"/>
        </w:rPr>
        <w:t xml:space="preserve">Under federal law, "[a]dmission of evidence violates due process '[o]nly if there are </w:t>
      </w:r>
      <w:r>
        <w:rPr>
          <w:rFonts w:ascii="arial" w:eastAsia="arial" w:hAnsi="arial" w:cs="arial"/>
          <w:b w:val="0"/>
          <w:i w:val="0"/>
          <w:strike w:val="0"/>
          <w:noProof w:val="0"/>
          <w:color w:val="000000"/>
          <w:position w:val="0"/>
          <w:sz w:val="20"/>
          <w:u w:val="single"/>
          <w:vertAlign w:val="baseline"/>
        </w:rPr>
        <w:t>no</w:t>
      </w:r>
      <w:r>
        <w:rPr>
          <w:rFonts w:ascii="arial" w:eastAsia="arial" w:hAnsi="arial" w:cs="arial"/>
          <w:b w:val="0"/>
          <w:i w:val="0"/>
          <w:strike w:val="0"/>
          <w:noProof w:val="0"/>
          <w:color w:val="000000"/>
          <w:position w:val="0"/>
          <w:sz w:val="20"/>
          <w:u w:val="none"/>
          <w:vertAlign w:val="baseline"/>
        </w:rPr>
        <w:t xml:space="preserve"> permissible inferences the jury may draw' from it." </w:t>
      </w:r>
      <w:bookmarkStart w:id="184" w:name="Bookmark_I6B70NDX2HM6V60010000400"/>
      <w:bookmarkEnd w:id="184"/>
      <w:hyperlink r:id="rId38" w:history="1">
        <w:r>
          <w:rPr>
            <w:rFonts w:ascii="arial" w:eastAsia="arial" w:hAnsi="arial" w:cs="arial"/>
            <w:b w:val="0"/>
            <w:i/>
            <w:strike w:val="0"/>
            <w:noProof w:val="0"/>
            <w:color w:val="0077CC"/>
            <w:position w:val="0"/>
            <w:sz w:val="20"/>
            <w:u w:val="single"/>
            <w:vertAlign w:val="baseline"/>
          </w:rPr>
          <w:t>Boyde v. Brown</w:t>
        </w:r>
      </w:hyperlink>
      <w:hyperlink r:id="rId38" w:history="1">
        <w:r>
          <w:rPr>
            <w:rFonts w:ascii="arial" w:eastAsia="arial" w:hAnsi="arial" w:cs="arial"/>
            <w:b w:val="0"/>
            <w:i/>
            <w:strike w:val="0"/>
            <w:noProof w:val="0"/>
            <w:color w:val="0077CC"/>
            <w:position w:val="0"/>
            <w:sz w:val="20"/>
            <w:u w:val="single"/>
            <w:vertAlign w:val="baseline"/>
          </w:rPr>
          <w:t>, 404 F.3d 1159, 1172 (9th Cir. 2005)</w:t>
        </w:r>
      </w:hyperlink>
      <w:r>
        <w:rPr>
          <w:rFonts w:ascii="arial" w:eastAsia="arial" w:hAnsi="arial" w:cs="arial"/>
          <w:b w:val="0"/>
          <w:i w:val="0"/>
          <w:strike w:val="0"/>
          <w:noProof w:val="0"/>
          <w:color w:val="000000"/>
          <w:position w:val="0"/>
          <w:sz w:val="20"/>
          <w:u w:val="none"/>
          <w:vertAlign w:val="baseline"/>
        </w:rPr>
        <w:t xml:space="preserve"> (quoting </w:t>
      </w:r>
      <w:bookmarkStart w:id="185" w:name="Bookmark_I6B70NDX2HM6V60030000400"/>
      <w:bookmarkEnd w:id="185"/>
      <w:hyperlink r:id="rId39" w:history="1">
        <w:r>
          <w:rPr>
            <w:rFonts w:ascii="arial" w:eastAsia="arial" w:hAnsi="arial" w:cs="arial"/>
            <w:b w:val="0"/>
            <w:i/>
            <w:strike w:val="0"/>
            <w:noProof w:val="0"/>
            <w:color w:val="0077CC"/>
            <w:position w:val="0"/>
            <w:sz w:val="20"/>
            <w:u w:val="single"/>
            <w:vertAlign w:val="baseline"/>
          </w:rPr>
          <w:t>Jammal v. Van de Kamp</w:t>
        </w:r>
      </w:hyperlink>
      <w:hyperlink r:id="rId39" w:history="1">
        <w:r>
          <w:rPr>
            <w:rFonts w:ascii="arial" w:eastAsia="arial" w:hAnsi="arial" w:cs="arial"/>
            <w:b w:val="0"/>
            <w:i/>
            <w:strike w:val="0"/>
            <w:noProof w:val="0"/>
            <w:color w:val="0077CC"/>
            <w:position w:val="0"/>
            <w:sz w:val="20"/>
            <w:u w:val="single"/>
            <w:vertAlign w:val="baseline"/>
          </w:rPr>
          <w:t>, 926 F.2d 918, 920 (9th Cir.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86" w:name="Bookmark_I6B70NDX2HM6V60050000400"/>
      <w:bookmarkEnd w:id="186"/>
      <w:hyperlink r:id="rId40" w:history="1">
        <w:r>
          <w:rPr>
            <w:rFonts w:ascii="arial" w:eastAsia="arial" w:hAnsi="arial" w:cs="arial"/>
            <w:b w:val="0"/>
            <w:i/>
            <w:strike w:val="0"/>
            <w:noProof w:val="0"/>
            <w:color w:val="0077CC"/>
            <w:position w:val="0"/>
            <w:sz w:val="20"/>
            <w:u w:val="single"/>
            <w:vertAlign w:val="baseline"/>
          </w:rPr>
          <w:t>Johnson v. Sublett</w:t>
        </w:r>
      </w:hyperlink>
      <w:hyperlink r:id="rId40" w:history="1">
        <w:r>
          <w:rPr>
            <w:rFonts w:ascii="arial" w:eastAsia="arial" w:hAnsi="arial" w:cs="arial"/>
            <w:b w:val="0"/>
            <w:i/>
            <w:strike w:val="0"/>
            <w:noProof w:val="0"/>
            <w:color w:val="0077CC"/>
            <w:position w:val="0"/>
            <w:sz w:val="20"/>
            <w:u w:val="single"/>
            <w:vertAlign w:val="baseline"/>
          </w:rPr>
          <w:t>, 63 F.3d 926, 930 (9th Cir. 1995)</w:t>
        </w:r>
      </w:hyperlink>
      <w:r>
        <w:rPr>
          <w:rFonts w:ascii="arial" w:eastAsia="arial" w:hAnsi="arial" w:cs="arial"/>
          <w:b w:val="0"/>
          <w:i w:val="0"/>
          <w:strike w:val="0"/>
          <w:noProof w:val="0"/>
          <w:color w:val="000000"/>
          <w:position w:val="0"/>
          <w:sz w:val="20"/>
          <w:u w:val="none"/>
          <w:vertAlign w:val="baseline"/>
        </w:rPr>
        <w:t xml:space="preserve"> ("The admission of evidence does not provide a basis for habeas relief unless it rendered the trial fundamentally unfair in violation of due process." (citing </w:t>
      </w:r>
      <w:bookmarkStart w:id="187" w:name="Bookmark_I6B70NDX2HM6V90020000400"/>
      <w:bookmarkEnd w:id="187"/>
      <w:hyperlink r:id="rId36" w:history="1">
        <w:r>
          <w:rPr>
            <w:rFonts w:ascii="arial" w:eastAsia="arial" w:hAnsi="arial" w:cs="arial"/>
            <w:b w:val="0"/>
            <w:i/>
            <w:strike w:val="0"/>
            <w:noProof w:val="0"/>
            <w:color w:val="0077CC"/>
            <w:position w:val="0"/>
            <w:sz w:val="20"/>
            <w:u w:val="single"/>
            <w:vertAlign w:val="baseline"/>
          </w:rPr>
          <w:t>Estelle</w:t>
        </w:r>
      </w:hyperlink>
      <w:hyperlink r:id="rId36" w:history="1">
        <w:r>
          <w:rPr>
            <w:rFonts w:ascii="arial" w:eastAsia="arial" w:hAnsi="arial" w:cs="arial"/>
            <w:b w:val="0"/>
            <w:i/>
            <w:strike w:val="0"/>
            <w:noProof w:val="0"/>
            <w:color w:val="0077CC"/>
            <w:position w:val="0"/>
            <w:sz w:val="20"/>
            <w:u w:val="single"/>
            <w:vertAlign w:val="baseline"/>
          </w:rPr>
          <w:t>, 502 U.S. at 77</w:t>
        </w:r>
      </w:hyperlink>
      <w:r>
        <w:rPr>
          <w:rFonts w:ascii="arial" w:eastAsia="arial" w:hAnsi="arial" w:cs="arial"/>
          <w:b w:val="0"/>
          <w:i w:val="0"/>
          <w:strike w:val="0"/>
          <w:noProof w:val="0"/>
          <w:color w:val="000000"/>
          <w:position w:val="0"/>
          <w:sz w:val="20"/>
          <w:u w:val="none"/>
          <w:vertAlign w:val="baseline"/>
        </w:rPr>
        <w:t xml:space="preserve">)). Petitioner "bears a heavy burden in showing a due process violation based on an evidentiary decision." </w:t>
      </w:r>
      <w:bookmarkStart w:id="188" w:name="Bookmark_I6B70NDX2HM6V90040000400"/>
      <w:bookmarkEnd w:id="188"/>
      <w:hyperlink r:id="rId38" w:history="1">
        <w:r>
          <w:rPr>
            <w:rFonts w:ascii="arial" w:eastAsia="arial" w:hAnsi="arial" w:cs="arial"/>
            <w:b w:val="0"/>
            <w:i/>
            <w:strike w:val="0"/>
            <w:noProof w:val="0"/>
            <w:color w:val="0077CC"/>
            <w:position w:val="0"/>
            <w:sz w:val="20"/>
            <w:u w:val="single"/>
            <w:vertAlign w:val="baseline"/>
          </w:rPr>
          <w:t>Boyd</w:t>
        </w:r>
      </w:hyperlink>
      <w:hyperlink r:id="rId38" w:history="1">
        <w:r>
          <w:rPr>
            <w:rFonts w:ascii="arial" w:eastAsia="arial" w:hAnsi="arial" w:cs="arial"/>
            <w:b w:val="0"/>
            <w:i/>
            <w:strike w:val="0"/>
            <w:noProof w:val="0"/>
            <w:color w:val="0077CC"/>
            <w:position w:val="0"/>
            <w:sz w:val="20"/>
            <w:u w:val="single"/>
            <w:vertAlign w:val="baseline"/>
          </w:rPr>
          <w:t>, 404 F.3d at 1172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89" w:name="Bookmark_para_83"/>
      <w:bookmarkEnd w:id="189"/>
      <w:r>
        <w:rPr>
          <w:rFonts w:ascii="arial" w:eastAsia="arial" w:hAnsi="arial" w:cs="arial"/>
          <w:b w:val="0"/>
          <w:i w:val="0"/>
          <w:strike w:val="0"/>
          <w:noProof w:val="0"/>
          <w:color w:val="000000"/>
          <w:position w:val="0"/>
          <w:sz w:val="20"/>
          <w:u w:val="none"/>
          <w:vertAlign w:val="baseline"/>
        </w:rPr>
        <w:t>Here, Petitioner's admissions were relevant to establish elements of the criminal street gang allegation, namely, that the murders were committed for the benefit of the gang and with the specific intent to promote or further the gang members' criminal conduct. Petitioner's admissions about committing multiple (eight) murders in 2013 and about "putting in work" were consistent with Officer Bebon's testimony that younger gang members "put in work"</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(including shooting) for the neighborhood, as well as to prove their loyalty to the gang and to gain respect (2 RT 1242-43), that in 2013 there was a spike in the "black wars brown wars" in which Hispanic and African-American gang members shot each other in the streets (2 RT 1252), and that hypothetical murders and attempted murders by 12th Street gang members against black gang members were committed for the benefit of the 12th Street gang, in order to drive the black gang members out of the area (5 RT 2723-25). Therefore, the admission of such evidence did not violate Petitioner's right to due process.</w:t>
      </w:r>
    </w:p>
    <w:p>
      <w:pPr>
        <w:keepNext w:val="0"/>
        <w:spacing w:before="240" w:after="0" w:line="260" w:lineRule="atLeast"/>
        <w:ind w:left="0" w:right="0" w:firstLine="0"/>
        <w:jc w:val="both"/>
      </w:pPr>
      <w:bookmarkStart w:id="190" w:name="Bookmark_para_84"/>
      <w:bookmarkEnd w:id="190"/>
      <w:bookmarkStart w:id="191" w:name="Bookmark_I6B70NDY2N1PND0020000400"/>
      <w:bookmarkEnd w:id="191"/>
      <w:bookmarkStart w:id="192" w:name="Bookmark_I6B70NDY2N1PND0040000400"/>
      <w:bookmarkEnd w:id="192"/>
      <w:r>
        <w:rPr>
          <w:rFonts w:ascii="arial" w:eastAsia="arial" w:hAnsi="arial" w:cs="arial"/>
          <w:b w:val="0"/>
          <w:i w:val="0"/>
          <w:strike w:val="0"/>
          <w:noProof w:val="0"/>
          <w:color w:val="000000"/>
          <w:position w:val="0"/>
          <w:sz w:val="20"/>
          <w:u w:val="none"/>
          <w:vertAlign w:val="baseline"/>
        </w:rPr>
        <w:t xml:space="preserve">Furthermore, Petitioner fails to cite clearly established federal law that admission into evidence of a prior uncharged offense under </w:t>
      </w:r>
      <w:hyperlink r:id="rId35" w:history="1">
        <w:r>
          <w:rPr>
            <w:rFonts w:ascii="arial" w:eastAsia="arial" w:hAnsi="arial" w:cs="arial"/>
            <w:b w:val="0"/>
            <w:i/>
            <w:strike w:val="0"/>
            <w:noProof w:val="0"/>
            <w:color w:val="0077CC"/>
            <w:position w:val="0"/>
            <w:sz w:val="20"/>
            <w:u w:val="single"/>
            <w:vertAlign w:val="baseline"/>
          </w:rPr>
          <w:t>Cal. Evid. Code § 1101(b)</w:t>
        </w:r>
      </w:hyperlink>
      <w:r>
        <w:rPr>
          <w:rFonts w:ascii="arial" w:eastAsia="arial" w:hAnsi="arial" w:cs="arial"/>
          <w:b w:val="0"/>
          <w:i w:val="0"/>
          <w:strike w:val="0"/>
          <w:noProof w:val="0"/>
          <w:color w:val="000000"/>
          <w:position w:val="0"/>
          <w:sz w:val="20"/>
          <w:u w:val="none"/>
          <w:vertAlign w:val="baseline"/>
        </w:rPr>
        <w:t xml:space="preserve"> violates a defendant's right to due process. </w:t>
      </w:r>
      <w:bookmarkStart w:id="193" w:name="Bookmark_I6B70NDY2HM6VD0010000400"/>
      <w:bookmarkEnd w:id="193"/>
      <w:r>
        <w:rPr>
          <w:rFonts w:ascii="arial" w:eastAsia="arial" w:hAnsi="arial" w:cs="arial"/>
          <w:b w:val="0"/>
          <w:i w:val="0"/>
          <w:strike w:val="0"/>
          <w:noProof w:val="0"/>
          <w:color w:val="000000"/>
          <w:position w:val="0"/>
          <w:sz w:val="20"/>
          <w:u w:val="single"/>
          <w:vertAlign w:val="baseline"/>
        </w:rPr>
        <w:t xml:space="preserve">See </w:t>
      </w:r>
      <w:bookmarkStart w:id="194" w:name="Bookmark_I6B70NDY2N1PND0010000400"/>
      <w:bookmarkEnd w:id="194"/>
      <w:hyperlink r:id="rId41" w:history="1">
        <w:r>
          <w:rPr>
            <w:rFonts w:ascii="arial" w:eastAsia="arial" w:hAnsi="arial" w:cs="arial"/>
            <w:b w:val="0"/>
            <w:i/>
            <w:strike w:val="0"/>
            <w:noProof w:val="0"/>
            <w:color w:val="0077CC"/>
            <w:position w:val="0"/>
            <w:sz w:val="20"/>
            <w:u w:val="single"/>
            <w:vertAlign w:val="baseline"/>
          </w:rPr>
          <w:t>Holley v. Yarborough</w:t>
        </w:r>
      </w:hyperlink>
      <w:hyperlink r:id="rId41" w:history="1">
        <w:r>
          <w:rPr>
            <w:rFonts w:ascii="arial" w:eastAsia="arial" w:hAnsi="arial" w:cs="arial"/>
            <w:b w:val="0"/>
            <w:i/>
            <w:strike w:val="0"/>
            <w:noProof w:val="0"/>
            <w:color w:val="0077CC"/>
            <w:position w:val="0"/>
            <w:sz w:val="20"/>
            <w:u w:val="single"/>
            <w:vertAlign w:val="baseline"/>
          </w:rPr>
          <w:t>, 568 F.3d 1091, 1101 (9th Cir. 2009)</w:t>
        </w:r>
      </w:hyperlink>
      <w:r>
        <w:rPr>
          <w:rFonts w:ascii="arial" w:eastAsia="arial" w:hAnsi="arial" w:cs="arial"/>
          <w:b w:val="0"/>
          <w:i w:val="0"/>
          <w:strike w:val="0"/>
          <w:noProof w:val="0"/>
          <w:color w:val="000000"/>
          <w:position w:val="0"/>
          <w:sz w:val="20"/>
          <w:u w:val="none"/>
          <w:vertAlign w:val="baseline"/>
        </w:rPr>
        <w:t xml:space="preserve"> ("The Supreme Court has made very few rulings regarding the admission of evidence as a violation of due process. [The Supreme Court] has not yet made a clear ruling that admission of irrelevant or overtly prejudicial evidence constitutes a due process violation sufficient to warrant issuance of the writ."); </w:t>
      </w:r>
      <w:r>
        <w:rPr>
          <w:rFonts w:ascii="arial" w:eastAsia="arial" w:hAnsi="arial" w:cs="arial"/>
          <w:b w:val="0"/>
          <w:i w:val="0"/>
          <w:strike w:val="0"/>
          <w:noProof w:val="0"/>
          <w:color w:val="000000"/>
          <w:position w:val="0"/>
          <w:sz w:val="20"/>
          <w:u w:val="single"/>
          <w:vertAlign w:val="baseline"/>
        </w:rPr>
        <w:t xml:space="preserve">see also </w:t>
      </w:r>
      <w:bookmarkStart w:id="195" w:name="Bookmark_I6B70NDY2N1PND0030000400"/>
      <w:bookmarkEnd w:id="195"/>
      <w:hyperlink r:id="rId42" w:history="1">
        <w:r>
          <w:rPr>
            <w:rFonts w:ascii="arial" w:eastAsia="arial" w:hAnsi="arial" w:cs="arial"/>
            <w:b w:val="0"/>
            <w:i/>
            <w:strike w:val="0"/>
            <w:noProof w:val="0"/>
            <w:color w:val="0077CC"/>
            <w:position w:val="0"/>
            <w:sz w:val="20"/>
            <w:u w:val="single"/>
            <w:vertAlign w:val="baseline"/>
          </w:rPr>
          <w:t>Tabares v. Madden</w:t>
        </w:r>
      </w:hyperlink>
      <w:hyperlink r:id="rId42" w:history="1">
        <w:r>
          <w:rPr>
            <w:rFonts w:ascii="arial" w:eastAsia="arial" w:hAnsi="arial" w:cs="arial"/>
            <w:b w:val="0"/>
            <w:i/>
            <w:strike w:val="0"/>
            <w:noProof w:val="0"/>
            <w:color w:val="0077CC"/>
            <w:position w:val="0"/>
            <w:sz w:val="20"/>
            <w:u w:val="single"/>
            <w:vertAlign w:val="baseline"/>
          </w:rPr>
          <w:t>, 2022 U.S. Dist. LEXIS 127812, 2022 WL 2132663, at *9 (C.D. Cal. Jan. 13, 2022)</w:t>
        </w:r>
      </w:hyperlink>
      <w:r>
        <w:rPr>
          <w:rFonts w:ascii="arial" w:eastAsia="arial" w:hAnsi="arial" w:cs="arial"/>
          <w:b w:val="0"/>
          <w:i w:val="0"/>
          <w:strike w:val="0"/>
          <w:noProof w:val="0"/>
          <w:color w:val="000000"/>
          <w:position w:val="0"/>
          <w:sz w:val="20"/>
          <w:u w:val="none"/>
          <w:vertAlign w:val="baseline"/>
        </w:rPr>
        <w:t xml:space="preserve"> (". [T]here is no clearly established Supreme Court precedent holding that the admission</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of prior acts evidence pursuant to </w:t>
      </w:r>
      <w:hyperlink r:id="rId35" w:history="1">
        <w:r>
          <w:rPr>
            <w:rFonts w:ascii="arial" w:eastAsia="arial" w:hAnsi="arial" w:cs="arial"/>
            <w:b w:val="0"/>
            <w:i/>
            <w:strike w:val="0"/>
            <w:noProof w:val="0"/>
            <w:color w:val="0077CC"/>
            <w:position w:val="0"/>
            <w:sz w:val="20"/>
            <w:u w:val="single"/>
            <w:vertAlign w:val="baseline"/>
          </w:rPr>
          <w:t>California Evidence Code § 1101(b)</w:t>
        </w:r>
      </w:hyperlink>
      <w:r>
        <w:rPr>
          <w:rFonts w:ascii="arial" w:eastAsia="arial" w:hAnsi="arial" w:cs="arial"/>
          <w:b w:val="0"/>
          <w:i w:val="0"/>
          <w:strike w:val="0"/>
          <w:noProof w:val="0"/>
          <w:color w:val="000000"/>
          <w:position w:val="0"/>
          <w:sz w:val="20"/>
          <w:u w:val="none"/>
          <w:vertAlign w:val="baseline"/>
        </w:rPr>
        <w:t xml:space="preserve">, or any statute similar to it, is unconstitutional."). </w:t>
      </w:r>
      <w:bookmarkStart w:id="196" w:name="Bookmark_I6B70NDY2HM6VD0010000400_2"/>
      <w:bookmarkEnd w:id="196"/>
      <w:r>
        <w:rPr>
          <w:rFonts w:ascii="arial" w:eastAsia="arial" w:hAnsi="arial" w:cs="arial"/>
          <w:b w:val="0"/>
          <w:i w:val="0"/>
          <w:strike w:val="0"/>
          <w:noProof w:val="0"/>
          <w:color w:val="000000"/>
          <w:position w:val="0"/>
          <w:sz w:val="20"/>
          <w:u w:val="none"/>
          <w:vertAlign w:val="baseline"/>
        </w:rPr>
        <w:t xml:space="preserve">"Absent such 'clearly established Federal law,' [the Court] cannot conclude that the state court's ruling was an 'unreasonable application.'" </w:t>
      </w:r>
      <w:bookmarkStart w:id="197" w:name="Bookmark_I6B70NDY2N1PND0050000400"/>
      <w:bookmarkEnd w:id="197"/>
      <w:hyperlink r:id="rId41" w:history="1">
        <w:r>
          <w:rPr>
            <w:rFonts w:ascii="arial" w:eastAsia="arial" w:hAnsi="arial" w:cs="arial"/>
            <w:b w:val="0"/>
            <w:i/>
            <w:strike w:val="0"/>
            <w:noProof w:val="0"/>
            <w:color w:val="0077CC"/>
            <w:position w:val="0"/>
            <w:sz w:val="20"/>
            <w:u w:val="single"/>
            <w:vertAlign w:val="baseline"/>
          </w:rPr>
          <w:t>Holley</w:t>
        </w:r>
      </w:hyperlink>
      <w:hyperlink r:id="rId41" w:history="1">
        <w:r>
          <w:rPr>
            <w:rFonts w:ascii="arial" w:eastAsia="arial" w:hAnsi="arial" w:cs="arial"/>
            <w:b w:val="0"/>
            <w:i/>
            <w:strike w:val="0"/>
            <w:noProof w:val="0"/>
            <w:color w:val="0077CC"/>
            <w:position w:val="0"/>
            <w:sz w:val="20"/>
            <w:u w:val="single"/>
            <w:vertAlign w:val="baseline"/>
          </w:rPr>
          <w:t>, 568 F.3d at 1101</w:t>
        </w:r>
      </w:hyperlink>
      <w:r>
        <w:rPr>
          <w:rFonts w:ascii="arial" w:eastAsia="arial" w:hAnsi="arial" w:cs="arial"/>
          <w:b w:val="0"/>
          <w:i w:val="0"/>
          <w:strike w:val="0"/>
          <w:noProof w:val="0"/>
          <w:color w:val="000000"/>
          <w:position w:val="0"/>
          <w:sz w:val="20"/>
          <w:u w:val="none"/>
          <w:vertAlign w:val="baseline"/>
        </w:rPr>
        <w:t xml:space="preserve"> (quoting </w:t>
      </w:r>
      <w:bookmarkStart w:id="198" w:name="Bookmark_I6B70NDY2HM6VD0020000400"/>
      <w:bookmarkEnd w:id="198"/>
      <w:hyperlink r:id="rId43" w:history="1">
        <w:r>
          <w:rPr>
            <w:rFonts w:ascii="arial" w:eastAsia="arial" w:hAnsi="arial" w:cs="arial"/>
            <w:b w:val="0"/>
            <w:i/>
            <w:strike w:val="0"/>
            <w:noProof w:val="0"/>
            <w:color w:val="0077CC"/>
            <w:position w:val="0"/>
            <w:sz w:val="20"/>
            <w:u w:val="single"/>
            <w:vertAlign w:val="baseline"/>
          </w:rPr>
          <w:t>Carey v. Musladin</w:t>
        </w:r>
      </w:hyperlink>
      <w:hyperlink r:id="rId43" w:history="1">
        <w:r>
          <w:rPr>
            <w:rFonts w:ascii="arial" w:eastAsia="arial" w:hAnsi="arial" w:cs="arial"/>
            <w:b w:val="0"/>
            <w:i/>
            <w:strike w:val="0"/>
            <w:noProof w:val="0"/>
            <w:color w:val="0077CC"/>
            <w:position w:val="0"/>
            <w:sz w:val="20"/>
            <w:u w:val="single"/>
            <w:vertAlign w:val="baseline"/>
          </w:rPr>
          <w:t>, 549 U.S. 70, 77, 127 S. Ct. 649, 166 L. Ed. 2d 482 (2006)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99" w:name="Bookmark_para_85"/>
      <w:bookmarkEnd w:id="199"/>
      <w:r>
        <w:rPr>
          <w:rFonts w:ascii="arial" w:eastAsia="arial" w:hAnsi="arial" w:cs="arial"/>
          <w:b w:val="0"/>
          <w:i w:val="0"/>
          <w:strike w:val="0"/>
          <w:noProof w:val="0"/>
          <w:color w:val="000000"/>
          <w:position w:val="0"/>
          <w:sz w:val="20"/>
          <w:u w:val="none"/>
          <w:vertAlign w:val="baseline"/>
        </w:rPr>
        <w:t>Petitioner is not entitled to habeas relief on this evidentiary error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D. </w:t>
      </w:r>
      <w:r>
        <w:rPr>
          <w:rFonts w:ascii="arial" w:eastAsia="arial" w:hAnsi="arial" w:cs="arial"/>
          <w:b/>
          <w:i w:val="0"/>
          <w:strike w:val="0"/>
          <w:noProof w:val="0"/>
          <w:color w:val="000000"/>
          <w:position w:val="0"/>
          <w:sz w:val="20"/>
          <w:u w:val="single"/>
          <w:vertAlign w:val="baseline"/>
        </w:rPr>
        <w:t>Instructional Error</w:t>
      </w:r>
    </w:p>
    <w:p>
      <w:pPr>
        <w:keepNext w:val="0"/>
        <w:spacing w:before="200" w:after="0" w:line="260" w:lineRule="atLeast"/>
        <w:ind w:left="0" w:right="0" w:firstLine="0"/>
        <w:jc w:val="both"/>
      </w:pPr>
      <w:bookmarkStart w:id="200" w:name="Bookmark_para_86"/>
      <w:bookmarkEnd w:id="200"/>
      <w:r>
        <w:rPr>
          <w:rFonts w:ascii="arial" w:eastAsia="arial" w:hAnsi="arial" w:cs="arial"/>
          <w:b w:val="0"/>
          <w:i w:val="0"/>
          <w:strike w:val="0"/>
          <w:noProof w:val="0"/>
          <w:color w:val="000000"/>
          <w:position w:val="0"/>
          <w:sz w:val="20"/>
          <w:u w:val="none"/>
          <w:vertAlign w:val="baseline"/>
        </w:rPr>
        <w:t xml:space="preserve">When discussing jury instructions with the parties, the trial court stated it believed that CALCRIM No. 226, the witness credibility instruction, was appropriate: "I think that with Mr. Cerda we have both felony conviction and admission of conduct that would reflect on his believability." 5 RT 2765. Petitioner's counsel did not state she had any additions or corrections to CALCRIM No. 226.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 RT 2765. The trial court later asked Petitioner's counsel if there were any additional instructions she wanted to include; Petitioner's counsel did not state there was anything missing from CALCRIM No. 226.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 RT 2771-73. Soon thereafter, the trial court instructed the jurors with CALCRIM No. 226.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 RT 2790-93; 2 CT 281-82.</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203" w:name="Bookmark_para_88"/>
      <w:bookmarkEnd w:id="203"/>
      <w:r>
        <w:rPr>
          <w:rFonts w:ascii="arial" w:eastAsia="arial" w:hAnsi="arial" w:cs="arial"/>
          <w:b w:val="0"/>
          <w:i w:val="0"/>
          <w:strike w:val="0"/>
          <w:noProof w:val="0"/>
          <w:color w:val="000000"/>
          <w:position w:val="0"/>
          <w:sz w:val="20"/>
          <w:u w:val="none"/>
          <w:vertAlign w:val="baseline"/>
        </w:rPr>
        <w:t xml:space="preserve">Petitioner contends that his federal constitutional rights to due process and a fair trial were violated by the trial court's failure to </w:t>
      </w:r>
      <w:r>
        <w:rPr>
          <w:rFonts w:ascii="arial" w:eastAsia="arial" w:hAnsi="arial" w:cs="arial"/>
          <w:b w:val="0"/>
          <w:i w:val="0"/>
          <w:strike w:val="0"/>
          <w:noProof w:val="0"/>
          <w:color w:val="000000"/>
          <w:position w:val="0"/>
          <w:sz w:val="20"/>
          <w:u w:val="single"/>
          <w:vertAlign w:val="baseline"/>
        </w:rPr>
        <w:t>sua sponte</w:t>
      </w:r>
      <w:r>
        <w:rPr>
          <w:rFonts w:ascii="arial" w:eastAsia="arial" w:hAnsi="arial" w:cs="arial"/>
          <w:b w:val="0"/>
          <w:i w:val="0"/>
          <w:strike w:val="0"/>
          <w:noProof w:val="0"/>
          <w:color w:val="000000"/>
          <w:position w:val="0"/>
          <w:sz w:val="20"/>
          <w:u w:val="none"/>
          <w:vertAlign w:val="baseline"/>
        </w:rPr>
        <w:t xml:space="preserve"> instruct the jury with another factor bearing on Cerda's credibility, specifically, "Was the witness promised immunity or leniency in exchange for his or her testimony?" Petitioner claims that "[t]he fact that Cerda was facing the possibility of new criminal charges based on an arrest that occurred just prior to the start of trial arguably gave him even more reason to testify favorably on behalf of the prosecution" and that "[a] reasonable juror . . . could have concluded that Cerda testified on behalf of the prosecution in exchange for leniency." According to Petitioner, "[t]he absence of the immunity/leniency factor from the court's version of CALCRIM [No.] 226 arguably affected the jury's determination as to Cerda's credibility." Petition at 19-20.</w:t>
      </w:r>
    </w:p>
    <w:p>
      <w:pPr>
        <w:keepNext w:val="0"/>
        <w:spacing w:before="200" w:after="0" w:line="260" w:lineRule="atLeast"/>
        <w:ind w:left="0" w:right="0" w:firstLine="0"/>
        <w:jc w:val="both"/>
      </w:pPr>
      <w:bookmarkStart w:id="204" w:name="Bookmark_para_89"/>
      <w:bookmarkEnd w:id="204"/>
      <w:r>
        <w:rPr>
          <w:rFonts w:ascii="arial" w:eastAsia="arial" w:hAnsi="arial" w:cs="arial"/>
          <w:b w:val="0"/>
          <w:i w:val="0"/>
          <w:strike w:val="0"/>
          <w:noProof w:val="0"/>
          <w:color w:val="000000"/>
          <w:position w:val="0"/>
          <w:sz w:val="20"/>
          <w:u w:val="none"/>
          <w:vertAlign w:val="baseline"/>
        </w:rPr>
        <w:t xml:space="preserve">The Court of Appeal initially found that Petitioner's instructional error claim was forfeited based on Petitioner's failure to object or propose the additional language. </w:t>
      </w:r>
      <w:bookmarkStart w:id="205" w:name="Bookmark_I6B70NDY2HM6VD0050000400"/>
      <w:bookmarkEnd w:id="205"/>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LD 10 at 17-18. The Court of Appeal also found that, under California law, the trial</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court did not have a duty to </w:t>
      </w:r>
      <w:r>
        <w:rPr>
          <w:rFonts w:ascii="arial" w:eastAsia="arial" w:hAnsi="arial" w:cs="arial"/>
          <w:b w:val="0"/>
          <w:i w:val="0"/>
          <w:strike w:val="0"/>
          <w:noProof w:val="0"/>
          <w:color w:val="000000"/>
          <w:position w:val="0"/>
          <w:sz w:val="20"/>
          <w:u w:val="single"/>
          <w:vertAlign w:val="baseline"/>
        </w:rPr>
        <w:t>sua sponte</w:t>
      </w:r>
      <w:r>
        <w:rPr>
          <w:rFonts w:ascii="arial" w:eastAsia="arial" w:hAnsi="arial" w:cs="arial"/>
          <w:b w:val="0"/>
          <w:i w:val="0"/>
          <w:strike w:val="0"/>
          <w:noProof w:val="0"/>
          <w:color w:val="000000"/>
          <w:position w:val="0"/>
          <w:sz w:val="20"/>
          <w:u w:val="none"/>
          <w:vertAlign w:val="baseline"/>
        </w:rPr>
        <w:t xml:space="preserve"> instruct the jury with the proposed additional language. </w:t>
      </w:r>
      <w:r>
        <w:rPr>
          <w:rFonts w:ascii="arial" w:eastAsia="arial" w:hAnsi="arial" w:cs="arial"/>
          <w:b w:val="0"/>
          <w:i w:val="0"/>
          <w:strike w:val="0"/>
          <w:noProof w:val="0"/>
          <w:color w:val="000000"/>
          <w:position w:val="0"/>
          <w:sz w:val="20"/>
          <w:u w:val="single"/>
          <w:vertAlign w:val="baseline"/>
        </w:rPr>
        <w:t xml:space="preserve">See </w:t>
      </w:r>
      <w:bookmarkStart w:id="206" w:name="Bookmark_I6B70NDY2HM6VD0040000400"/>
      <w:bookmarkEnd w:id="206"/>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18</w:t>
        </w:r>
      </w:hyperlink>
      <w:r>
        <w:rPr>
          <w:rFonts w:ascii="arial" w:eastAsia="arial" w:hAnsi="arial" w:cs="arial"/>
          <w:b w:val="0"/>
          <w:i w:val="0"/>
          <w:strike w:val="0"/>
          <w:noProof w:val="0"/>
          <w:color w:val="000000"/>
          <w:position w:val="0"/>
          <w:sz w:val="20"/>
          <w:u w:val="none"/>
          <w:vertAlign w:val="baseline"/>
        </w:rPr>
        <w:t>. Finally, the Court of Appeal found that, considering another instruction given to the jurors by the trial court - CALCRIM No. 336</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 the trial court did not err in failing to instruct the jury with the proposed additional language. </w:t>
      </w:r>
      <w:r>
        <w:rPr>
          <w:rFonts w:ascii="arial" w:eastAsia="arial" w:hAnsi="arial" w:cs="arial"/>
          <w:b w:val="0"/>
          <w:i w:val="0"/>
          <w:strike w:val="0"/>
          <w:noProof w:val="0"/>
          <w:color w:val="000000"/>
          <w:position w:val="0"/>
          <w:sz w:val="20"/>
          <w:u w:val="single"/>
          <w:vertAlign w:val="baseline"/>
        </w:rPr>
        <w:t>See id.</w:t>
      </w:r>
      <w:r>
        <w:rPr>
          <w:rFonts w:ascii="arial" w:eastAsia="arial" w:hAnsi="arial" w:cs="arial"/>
          <w:b w:val="0"/>
          <w:i w:val="0"/>
          <w:strike w:val="0"/>
          <w:noProof w:val="0"/>
          <w:color w:val="000000"/>
          <w:position w:val="0"/>
          <w:sz w:val="20"/>
          <w:u w:val="none"/>
          <w:vertAlign w:val="baseline"/>
        </w:rPr>
        <w:t xml:space="preserve"> at 18.</w:t>
      </w:r>
    </w:p>
    <w:p>
      <w:pPr>
        <w:keepNext w:val="0"/>
        <w:spacing w:before="240" w:after="0" w:line="260" w:lineRule="atLeast"/>
        <w:ind w:left="0" w:right="0" w:firstLine="0"/>
        <w:jc w:val="both"/>
      </w:pPr>
      <w:bookmarkStart w:id="210" w:name="Bookmark_para_91"/>
      <w:bookmarkEnd w:id="210"/>
      <w:bookmarkStart w:id="211" w:name="Bookmark_I6B70NDY28T4K80020000400"/>
      <w:bookmarkEnd w:id="211"/>
      <w:r>
        <w:rPr>
          <w:rFonts w:ascii="arial" w:eastAsia="arial" w:hAnsi="arial" w:cs="arial"/>
          <w:b w:val="0"/>
          <w:i w:val="0"/>
          <w:strike w:val="0"/>
          <w:noProof w:val="0"/>
          <w:color w:val="000000"/>
          <w:position w:val="0"/>
          <w:sz w:val="20"/>
          <w:u w:val="none"/>
          <w:vertAlign w:val="baseline"/>
        </w:rPr>
        <w:t xml:space="preserve">The issue of whether a jury instruction violates state law generally is not a federal question or a proper subject for habeas corpus relief. </w:t>
      </w:r>
      <w:bookmarkStart w:id="212" w:name="Bookmark_I6B70NDY28T4K80040000400"/>
      <w:bookmarkEnd w:id="212"/>
      <w:r>
        <w:rPr>
          <w:rFonts w:ascii="arial" w:eastAsia="arial" w:hAnsi="arial" w:cs="arial"/>
          <w:b w:val="0"/>
          <w:i w:val="0"/>
          <w:strike w:val="0"/>
          <w:noProof w:val="0"/>
          <w:color w:val="000000"/>
          <w:position w:val="0"/>
          <w:sz w:val="20"/>
          <w:u w:val="single"/>
          <w:vertAlign w:val="baseline"/>
        </w:rPr>
        <w:t xml:space="preserve">See </w:t>
      </w:r>
      <w:bookmarkStart w:id="213" w:name="Bookmark_I6B70NDY28T4K80010000400"/>
      <w:bookmarkEnd w:id="213"/>
      <w:hyperlink r:id="rId36" w:history="1">
        <w:r>
          <w:rPr>
            <w:rFonts w:ascii="arial" w:eastAsia="arial" w:hAnsi="arial" w:cs="arial"/>
            <w:b w:val="0"/>
            <w:i/>
            <w:strike w:val="0"/>
            <w:noProof w:val="0"/>
            <w:color w:val="0077CC"/>
            <w:position w:val="0"/>
            <w:sz w:val="20"/>
            <w:u w:val="single"/>
            <w:vertAlign w:val="baseline"/>
          </w:rPr>
          <w:t>Estelle</w:t>
        </w:r>
      </w:hyperlink>
      <w:hyperlink r:id="rId36" w:history="1">
        <w:r>
          <w:rPr>
            <w:rFonts w:ascii="arial" w:eastAsia="arial" w:hAnsi="arial" w:cs="arial"/>
            <w:b w:val="0"/>
            <w:i/>
            <w:strike w:val="0"/>
            <w:noProof w:val="0"/>
            <w:color w:val="0077CC"/>
            <w:position w:val="0"/>
            <w:sz w:val="20"/>
            <w:u w:val="single"/>
            <w:vertAlign w:val="baseline"/>
          </w:rPr>
          <w:t>, 502 U.S. at 71-72</w:t>
        </w:r>
      </w:hyperlink>
      <w:r>
        <w:rPr>
          <w:rFonts w:ascii="arial" w:eastAsia="arial" w:hAnsi="arial" w:cs="arial"/>
          <w:b w:val="0"/>
          <w:i w:val="0"/>
          <w:strike w:val="0"/>
          <w:noProof w:val="0"/>
          <w:color w:val="000000"/>
          <w:position w:val="0"/>
          <w:sz w:val="20"/>
          <w:u w:val="none"/>
          <w:vertAlign w:val="baseline"/>
        </w:rPr>
        <w:t xml:space="preserve">. </w:t>
      </w:r>
      <w:bookmarkStart w:id="214" w:name="Bookmark_I6B70NDY2SF8MR0010000400"/>
      <w:bookmarkEnd w:id="214"/>
      <w:r>
        <w:rPr>
          <w:rFonts w:ascii="arial" w:eastAsia="arial" w:hAnsi="arial" w:cs="arial"/>
          <w:b w:val="0"/>
          <w:i w:val="0"/>
          <w:strike w:val="0"/>
          <w:noProof w:val="0"/>
          <w:color w:val="000000"/>
          <w:position w:val="0"/>
          <w:sz w:val="20"/>
          <w:u w:val="none"/>
          <w:vertAlign w:val="baseline"/>
        </w:rPr>
        <w:t xml:space="preserve">To show a due process violation, Petitioner must show that the ailing instruction by itself so infected the entire trial that the resulting conviction was fundamentally unfair. </w:t>
      </w:r>
      <w:bookmarkStart w:id="215" w:name="Bookmark_I6B70NDY2SF8MR0010000400_2"/>
      <w:bookmarkEnd w:id="215"/>
      <w:bookmarkStart w:id="216" w:name="Bookmark_I6B70NDY28T4K80040000400_2"/>
      <w:bookmarkEnd w:id="216"/>
      <w:bookmarkStart w:id="217" w:name="Bookmark_I6B70NDY28T4K80030000400"/>
      <w:bookmarkEnd w:id="217"/>
      <w:hyperlink r:id="rId36" w:history="1">
        <w:r>
          <w:rPr>
            <w:rFonts w:ascii="arial" w:eastAsia="arial" w:hAnsi="arial" w:cs="arial"/>
            <w:b w:val="0"/>
            <w:i/>
            <w:strike w:val="0"/>
            <w:noProof w:val="0"/>
            <w:color w:val="0077CC"/>
            <w:position w:val="0"/>
            <w:sz w:val="20"/>
            <w:u w:val="single"/>
            <w:vertAlign w:val="baseline"/>
          </w:rPr>
          <w:t>Id.</w:t>
        </w:r>
      </w:hyperlink>
      <w:hyperlink r:id="rId36" w:history="1">
        <w:r>
          <w:rPr>
            <w:rFonts w:ascii="arial" w:eastAsia="arial" w:hAnsi="arial" w:cs="arial"/>
            <w:b w:val="0"/>
            <w:i/>
            <w:strike w:val="0"/>
            <w:noProof w:val="0"/>
            <w:color w:val="0077CC"/>
            <w:position w:val="0"/>
            <w:sz w:val="20"/>
            <w:u w:val="single"/>
            <w:vertAlign w:val="baseline"/>
          </w:rPr>
          <w:t xml:space="preserve"> at 72</w:t>
        </w:r>
      </w:hyperlink>
      <w:r>
        <w:rPr>
          <w:rFonts w:ascii="arial" w:eastAsia="arial" w:hAnsi="arial" w:cs="arial"/>
          <w:b w:val="0"/>
          <w:i w:val="0"/>
          <w:strike w:val="0"/>
          <w:noProof w:val="0"/>
          <w:color w:val="000000"/>
          <w:position w:val="0"/>
          <w:sz w:val="20"/>
          <w:u w:val="none"/>
          <w:vertAlign w:val="baseline"/>
        </w:rPr>
        <w:t xml:space="preserve">. </w:t>
      </w:r>
      <w:bookmarkStart w:id="218" w:name="Bookmark_I6B70NDY2SF8MR0030000400"/>
      <w:bookmarkEnd w:id="218"/>
      <w:r>
        <w:rPr>
          <w:rFonts w:ascii="arial" w:eastAsia="arial" w:hAnsi="arial" w:cs="arial"/>
          <w:b w:val="0"/>
          <w:i w:val="0"/>
          <w:strike w:val="0"/>
          <w:noProof w:val="0"/>
          <w:color w:val="000000"/>
          <w:position w:val="0"/>
          <w:sz w:val="20"/>
          <w:u w:val="none"/>
          <w:vertAlign w:val="baseline"/>
        </w:rPr>
        <w:t xml:space="preserve">The "instruction 'may not be judged in artificial isolation,' but must be considered in the context of the instructions as a whole and the trial record."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219" w:name="Bookmark_I6B70NDY28T4K80050000400"/>
      <w:bookmarkEnd w:id="219"/>
      <w:hyperlink r:id="rId44" w:history="1">
        <w:r>
          <w:rPr>
            <w:rFonts w:ascii="arial" w:eastAsia="arial" w:hAnsi="arial" w:cs="arial"/>
            <w:b w:val="0"/>
            <w:i/>
            <w:strike w:val="0"/>
            <w:noProof w:val="0"/>
            <w:color w:val="0077CC"/>
            <w:position w:val="0"/>
            <w:sz w:val="20"/>
            <w:u w:val="single"/>
            <w:vertAlign w:val="baseline"/>
          </w:rPr>
          <w:t>Cupp v. Naughten</w:t>
        </w:r>
      </w:hyperlink>
      <w:hyperlink r:id="rId44" w:history="1">
        <w:r>
          <w:rPr>
            <w:rFonts w:ascii="arial" w:eastAsia="arial" w:hAnsi="arial" w:cs="arial"/>
            <w:b w:val="0"/>
            <w:i/>
            <w:strike w:val="0"/>
            <w:noProof w:val="0"/>
            <w:color w:val="0077CC"/>
            <w:position w:val="0"/>
            <w:sz w:val="20"/>
            <w:u w:val="single"/>
            <w:vertAlign w:val="baseline"/>
          </w:rPr>
          <w:t>, 414 U.S. 141, 147, 94 S. Ct. 396, 38 L. Ed. 2d 368 (1973)</w:t>
        </w:r>
      </w:hyperlink>
      <w:r>
        <w:rPr>
          <w:rFonts w:ascii="arial" w:eastAsia="arial" w:hAnsi="arial" w:cs="arial"/>
          <w:b w:val="0"/>
          <w:i w:val="0"/>
          <w:strike w:val="0"/>
          <w:noProof w:val="0"/>
          <w:color w:val="000000"/>
          <w:position w:val="0"/>
          <w:sz w:val="20"/>
          <w:u w:val="none"/>
          <w:vertAlign w:val="baseline"/>
        </w:rPr>
        <w:t xml:space="preserve">). </w:t>
      </w:r>
      <w:bookmarkStart w:id="220" w:name="Bookmark_I6B70NDY2SF8MR0030000400_2"/>
      <w:bookmarkEnd w:id="220"/>
      <w:bookmarkStart w:id="221" w:name="Bookmark_I6B70NF028T4KF0020000400"/>
      <w:bookmarkEnd w:id="221"/>
      <w:r>
        <w:rPr>
          <w:rFonts w:ascii="arial" w:eastAsia="arial" w:hAnsi="arial" w:cs="arial"/>
          <w:b w:val="0"/>
          <w:i w:val="0"/>
          <w:strike w:val="0"/>
          <w:noProof w:val="0"/>
          <w:color w:val="000000"/>
          <w:position w:val="0"/>
          <w:sz w:val="20"/>
          <w:u w:val="none"/>
          <w:vertAlign w:val="baseline"/>
        </w:rPr>
        <w:t xml:space="preserve">Petitioner also must show actual prejudice from the error, i.e., that the error had a substantial and injurious effect or influence in determining the jury's verdict, before the court may grant federal habeas relief. </w:t>
      </w:r>
      <w:bookmarkStart w:id="222" w:name="Bookmark_I6B70NDY2SF8MR0020000400"/>
      <w:bookmarkEnd w:id="222"/>
      <w:hyperlink r:id="rId45" w:history="1">
        <w:r>
          <w:rPr>
            <w:rFonts w:ascii="arial" w:eastAsia="arial" w:hAnsi="arial" w:cs="arial"/>
            <w:b w:val="0"/>
            <w:i/>
            <w:strike w:val="0"/>
            <w:noProof w:val="0"/>
            <w:color w:val="0077CC"/>
            <w:position w:val="0"/>
            <w:sz w:val="20"/>
            <w:u w:val="single"/>
            <w:vertAlign w:val="baseline"/>
          </w:rPr>
          <w:t>Calderon v. Coleman</w:t>
        </w:r>
      </w:hyperlink>
      <w:hyperlink r:id="rId45" w:history="1">
        <w:r>
          <w:rPr>
            <w:rFonts w:ascii="arial" w:eastAsia="arial" w:hAnsi="arial" w:cs="arial"/>
            <w:b w:val="0"/>
            <w:i/>
            <w:strike w:val="0"/>
            <w:noProof w:val="0"/>
            <w:color w:val="0077CC"/>
            <w:position w:val="0"/>
            <w:sz w:val="20"/>
            <w:u w:val="single"/>
            <w:vertAlign w:val="baseline"/>
          </w:rPr>
          <w:t>, 525 U.S. 141, 145-46, 119 S. Ct. 500, 142 L. Ed. 2d 521 (1998)</w:t>
        </w:r>
      </w:hyperlink>
      <w:r>
        <w:rPr>
          <w:rFonts w:ascii="arial" w:eastAsia="arial" w:hAnsi="arial" w:cs="arial"/>
          <w:b w:val="0"/>
          <w:i w:val="0"/>
          <w:strike w:val="0"/>
          <w:noProof w:val="0"/>
          <w:color w:val="000000"/>
          <w:position w:val="0"/>
          <w:sz w:val="20"/>
          <w:u w:val="none"/>
          <w:vertAlign w:val="baseline"/>
        </w:rPr>
        <w:t xml:space="preserve"> (citing </w:t>
      </w:r>
      <w:bookmarkStart w:id="223" w:name="Bookmark_I6B70NDY2SF8MR0040000400"/>
      <w:bookmarkEnd w:id="223"/>
      <w:hyperlink r:id="rId46" w:history="1">
        <w:r>
          <w:rPr>
            <w:rFonts w:ascii="arial" w:eastAsia="arial" w:hAnsi="arial" w:cs="arial"/>
            <w:b w:val="0"/>
            <w:i/>
            <w:strike w:val="0"/>
            <w:noProof w:val="0"/>
            <w:color w:val="0077CC"/>
            <w:position w:val="0"/>
            <w:sz w:val="20"/>
            <w:u w:val="single"/>
            <w:vertAlign w:val="baseline"/>
          </w:rPr>
          <w:t>Brecht v. Abrahamson</w:t>
        </w:r>
      </w:hyperlink>
      <w:hyperlink r:id="rId46" w:history="1">
        <w:r>
          <w:rPr>
            <w:rFonts w:ascii="arial" w:eastAsia="arial" w:hAnsi="arial" w:cs="arial"/>
            <w:b w:val="0"/>
            <w:i/>
            <w:strike w:val="0"/>
            <w:noProof w:val="0"/>
            <w:color w:val="0077CC"/>
            <w:position w:val="0"/>
            <w:sz w:val="20"/>
            <w:u w:val="single"/>
            <w:vertAlign w:val="baseline"/>
          </w:rPr>
          <w:t>, 507 U.S. 619, 637, 113 S. Ct. 1710, 123 L. Ed. 2d 353 (1993)</w:t>
        </w:r>
      </w:hyperlink>
      <w:r>
        <w:rPr>
          <w:rFonts w:ascii="arial" w:eastAsia="arial" w:hAnsi="arial" w:cs="arial"/>
          <w:b w:val="0"/>
          <w:i w:val="0"/>
          <w:strike w:val="0"/>
          <w:noProof w:val="0"/>
          <w:color w:val="000000"/>
          <w:position w:val="0"/>
          <w:sz w:val="20"/>
          <w:u w:val="none"/>
          <w:vertAlign w:val="baseline"/>
        </w:rPr>
        <w:t xml:space="preserve">). </w:t>
      </w:r>
      <w:bookmarkStart w:id="224" w:name="Bookmark_I6B70NF028T4KF0020000400_2"/>
      <w:bookmarkEnd w:id="224"/>
      <w:r>
        <w:rPr>
          <w:rFonts w:ascii="arial" w:eastAsia="arial" w:hAnsi="arial" w:cs="arial"/>
          <w:b w:val="0"/>
          <w:i w:val="0"/>
          <w:strike w:val="0"/>
          <w:noProof w:val="0"/>
          <w:color w:val="000000"/>
          <w:position w:val="0"/>
          <w:sz w:val="20"/>
          <w:u w:val="none"/>
          <w:vertAlign w:val="baseline"/>
        </w:rPr>
        <w:t xml:space="preserve">The omission of an instruction is less likely to be prejudicial than a misstatement of the law. </w:t>
      </w:r>
      <w:r>
        <w:rPr>
          <w:rFonts w:ascii="arial" w:eastAsia="arial" w:hAnsi="arial" w:cs="arial"/>
          <w:b w:val="0"/>
          <w:i w:val="0"/>
          <w:strike w:val="0"/>
          <w:noProof w:val="0"/>
          <w:color w:val="000000"/>
          <w:position w:val="0"/>
          <w:sz w:val="20"/>
          <w:u w:val="single"/>
          <w:vertAlign w:val="baseline"/>
        </w:rPr>
        <w:t xml:space="preserve">See </w:t>
      </w:r>
      <w:bookmarkStart w:id="225" w:name="Bookmark_I6B70NF028T4KF0010000400"/>
      <w:bookmarkEnd w:id="225"/>
      <w:hyperlink r:id="rId47" w:history="1">
        <w:r>
          <w:rPr>
            <w:rFonts w:ascii="arial" w:eastAsia="arial" w:hAnsi="arial" w:cs="arial"/>
            <w:b w:val="0"/>
            <w:i/>
            <w:strike w:val="0"/>
            <w:noProof w:val="0"/>
            <w:color w:val="0077CC"/>
            <w:position w:val="0"/>
            <w:sz w:val="20"/>
            <w:u w:val="single"/>
            <w:vertAlign w:val="baseline"/>
          </w:rPr>
          <w:t>Walker v. Endell</w:t>
        </w:r>
      </w:hyperlink>
      <w:hyperlink r:id="rId47" w:history="1">
        <w:r>
          <w:rPr>
            <w:rFonts w:ascii="arial" w:eastAsia="arial" w:hAnsi="arial" w:cs="arial"/>
            <w:b w:val="0"/>
            <w:i/>
            <w:strike w:val="0"/>
            <w:noProof w:val="0"/>
            <w:color w:val="0077CC"/>
            <w:position w:val="0"/>
            <w:sz w:val="20"/>
            <w:u w:val="single"/>
            <w:vertAlign w:val="baseline"/>
          </w:rPr>
          <w:t>, 850 F.2d 470, 475-76 (9th Cir. 1987)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6" w:name="Bookmark_para_92"/>
      <w:bookmarkEnd w:id="226"/>
      <w:r>
        <w:rPr>
          <w:rFonts w:ascii="arial" w:eastAsia="arial" w:hAnsi="arial" w:cs="arial"/>
          <w:b w:val="0"/>
          <w:i w:val="0"/>
          <w:strike w:val="0"/>
          <w:noProof w:val="0"/>
          <w:color w:val="000000"/>
          <w:position w:val="0"/>
          <w:sz w:val="20"/>
          <w:u w:val="none"/>
          <w:vertAlign w:val="baseline"/>
        </w:rPr>
        <w:t>Here, even without the proposed additional language ("Was the witness promised immunity or leniency in exchange for his or her testimony?"), the jurors could still consider whether Cerda testified at Petitioner's trial in exchange for leniency. As the Court of Appeal noted, the trial court instructed the jurors to evaluate Cerda's credibility</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considering "anything that reasonably tends to prove or disprove the truth or accuracy of that testimony" (5 RT 2791 [CALCRIM No. 266]) and "the extent to which [Cerda's testimony] may have been influenced by the receipt of or expectation of any benefits" (5 RT 2801 [CALCRIM No. 336]). During closing argument, Petitioner's counsel extensively argued that Cerda was not a credible witness because he testified under use immunity and had gotten beneficial treatment in his other criminal cases.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5 RT 2855-59, 2863-70, 2874, 2877. Evaluating the instruction in the context of the instructions as a whole and the entire trial record, the Court finds that the trial court's CALCRIM No. 226 instruction, without the proposed additional language, did not so infect the entire trial that Petitioner's resulting conviction was fundamentally unfair. Habeas relief is accordingly not warranted on this claim.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227" w:name="Bookmark_para_93"/>
      <w:bookmarkEnd w:id="227"/>
      <w:r>
        <w:rPr>
          <w:rFonts w:ascii="arial" w:eastAsia="arial" w:hAnsi="arial" w:cs="arial"/>
          <w:b w:val="0"/>
          <w:i w:val="0"/>
          <w:strike w:val="0"/>
          <w:noProof w:val="0"/>
          <w:color w:val="000000"/>
          <w:position w:val="0"/>
          <w:sz w:val="20"/>
          <w:u w:val="none"/>
          <w:vertAlign w:val="baseline"/>
        </w:rPr>
        <w:t>IT IS THEREFORE RECOMMENDED that the District Judge issue an Order: (1) accepting this Report and Recommendation; and (2) directing that judgment be entered denying the Petition and dismissing this action with prejudice.</w:t>
      </w:r>
    </w:p>
    <w:p>
      <w:pPr>
        <w:keepNext w:val="0"/>
        <w:spacing w:before="200" w:after="0" w:line="260" w:lineRule="atLeast"/>
        <w:ind w:left="0" w:right="0" w:firstLine="0"/>
        <w:jc w:val="both"/>
      </w:pPr>
      <w:bookmarkStart w:id="228" w:name="Bookmark_para_94"/>
      <w:bookmarkEnd w:id="228"/>
      <w:r>
        <w:rPr>
          <w:rFonts w:ascii="arial" w:eastAsia="arial" w:hAnsi="arial" w:cs="arial"/>
          <w:b w:val="0"/>
          <w:i w:val="0"/>
          <w:strike w:val="0"/>
          <w:noProof w:val="0"/>
          <w:color w:val="000000"/>
          <w:position w:val="0"/>
          <w:sz w:val="20"/>
          <w:u w:val="none"/>
          <w:vertAlign w:val="baseline"/>
        </w:rPr>
        <w:t>Date: October 27, 2023</w:t>
      </w:r>
    </w:p>
    <w:p>
      <w:pPr>
        <w:keepNext w:val="0"/>
        <w:spacing w:before="200" w:after="0" w:line="260" w:lineRule="atLeast"/>
        <w:ind w:left="0" w:right="0" w:firstLine="0"/>
        <w:jc w:val="both"/>
      </w:pPr>
      <w:bookmarkStart w:id="229" w:name="Bookmark_para_95"/>
      <w:bookmarkEnd w:id="229"/>
      <w:r>
        <w:rPr>
          <w:rFonts w:ascii="arial" w:eastAsia="arial" w:hAnsi="arial" w:cs="arial"/>
          <w:b w:val="0"/>
          <w:i w:val="0"/>
          <w:strike w:val="0"/>
          <w:noProof w:val="0"/>
          <w:color w:val="000000"/>
          <w:position w:val="0"/>
          <w:sz w:val="20"/>
          <w:u w:val="none"/>
          <w:vertAlign w:val="baseline"/>
        </w:rPr>
        <w:t>/s/ Douglas F. McCormick</w:t>
      </w:r>
    </w:p>
    <w:p>
      <w:pPr>
        <w:keepNext w:val="0"/>
        <w:spacing w:before="200" w:after="0" w:line="260" w:lineRule="atLeast"/>
        <w:ind w:left="0" w:right="0" w:firstLine="0"/>
        <w:jc w:val="both"/>
      </w:pPr>
      <w:bookmarkStart w:id="230" w:name="Bookmark_para_96"/>
      <w:bookmarkEnd w:id="230"/>
      <w:r>
        <w:rPr>
          <w:rFonts w:ascii="arial" w:eastAsia="arial" w:hAnsi="arial" w:cs="arial"/>
          <w:b w:val="0"/>
          <w:i w:val="0"/>
          <w:strike w:val="0"/>
          <w:noProof w:val="0"/>
          <w:color w:val="000000"/>
          <w:position w:val="0"/>
          <w:sz w:val="20"/>
          <w:u w:val="none"/>
          <w:vertAlign w:val="baseline"/>
        </w:rPr>
        <w:t>DOUGLAS F. McCORMICK</w:t>
      </w:r>
    </w:p>
    <w:p>
      <w:pPr>
        <w:keepNext w:val="0"/>
        <w:spacing w:before="200" w:after="0" w:line="260" w:lineRule="atLeast"/>
        <w:ind w:left="0" w:right="0" w:firstLine="0"/>
        <w:jc w:val="both"/>
      </w:pPr>
      <w:bookmarkStart w:id="231" w:name="Bookmark_para_97"/>
      <w:bookmarkEnd w:id="231"/>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1" w:name="Bookmark_fnpara_1"/>
      <w:bookmarkEnd w:id="11"/>
      <w:r>
        <w:rPr>
          <w:rFonts w:ascii="arial" w:eastAsia="arial" w:hAnsi="arial" w:cs="arial"/>
          <w:b w:val="0"/>
          <w:i w:val="0"/>
          <w:strike w:val="0"/>
          <w:noProof w:val="0"/>
          <w:color w:val="000000"/>
          <w:position w:val="0"/>
          <w:sz w:val="18"/>
          <w:u w:val="none"/>
          <w:vertAlign w:val="baseline"/>
        </w:rPr>
        <w:t>With the exception of the Clerk's Transcript and the Reporter's Transcript, all page citations to electronically-filed documents use the CM/ECF pagination.</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4" w:name="Bookmark_fnpara_2"/>
      <w:bookmarkEnd w:id="14"/>
      <w:r>
        <w:rPr>
          <w:rFonts w:ascii="arial" w:eastAsia="arial" w:hAnsi="arial" w:cs="arial"/>
          <w:b w:val="0"/>
          <w:i w:val="0"/>
          <w:strike w:val="0"/>
          <w:noProof w:val="0"/>
          <w:color w:val="000000"/>
          <w:position w:val="0"/>
          <w:sz w:val="18"/>
          <w:u w:val="none"/>
          <w:vertAlign w:val="baseline"/>
        </w:rPr>
        <w:t xml:space="preserve">In a proceeding outside the jury's presence, Petitioner also admitted a prior prison term allegation.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1 CT 140; 5 RT 2762-63.</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201" w:name="Bookmark_fnpara_3"/>
      <w:bookmarkEnd w:id="201"/>
      <w:r>
        <w:rPr>
          <w:rFonts w:ascii="arial" w:eastAsia="arial" w:hAnsi="arial" w:cs="arial"/>
          <w:b w:val="0"/>
          <w:i w:val="0"/>
          <w:strike w:val="0"/>
          <w:noProof w:val="0"/>
          <w:color w:val="000000"/>
          <w:position w:val="0"/>
          <w:sz w:val="18"/>
          <w:u w:val="none"/>
          <w:vertAlign w:val="baseline"/>
        </w:rPr>
        <w:t>The trial court instructed the jurors as follows:</w:t>
      </w:r>
    </w:p>
    <w:p>
      <w:pPr>
        <w:keepNext w:val="0"/>
        <w:spacing w:before="200" w:after="0" w:line="240" w:lineRule="atLeast"/>
        <w:ind w:left="400" w:right="0" w:firstLine="0"/>
        <w:jc w:val="both"/>
      </w:pPr>
      <w:bookmarkStart w:id="202" w:name="Bookmark_para_87"/>
      <w:bookmarkEnd w:id="202"/>
      <w:r>
        <w:rPr>
          <w:rFonts w:ascii="arial" w:eastAsia="arial" w:hAnsi="arial" w:cs="arial"/>
          <w:b w:val="0"/>
          <w:i w:val="0"/>
          <w:strike w:val="0"/>
          <w:noProof w:val="0"/>
          <w:color w:val="000000"/>
          <w:position w:val="0"/>
          <w:sz w:val="18"/>
          <w:u w:val="none"/>
          <w:vertAlign w:val="baseline"/>
        </w:rPr>
        <w:t>You alone must judge the credibility or believability of the witnesses. In deciding whether testimony is true and accurate use your common sense and experience. [¶] The testimony of each</w:t>
      </w:r>
      <w:r>
        <w:rPr>
          <w:rFonts w:ascii="arial" w:eastAsia="arial" w:hAnsi="arial" w:cs="arial"/>
          <w:b/>
          <w:i w:val="0"/>
          <w:strike w:val="0"/>
          <w:noProof w:val="0"/>
          <w:color w:val="000000"/>
          <w:position w:val="0"/>
          <w:sz w:val="18"/>
          <w:u w:val="none"/>
          <w:vertAlign w:val="baseline"/>
        </w:rPr>
        <w:t> [*32] </w:t>
      </w:r>
      <w:r>
        <w:rPr>
          <w:rFonts w:ascii="arial" w:eastAsia="arial" w:hAnsi="arial" w:cs="arial"/>
          <w:b w:val="0"/>
          <w:i w:val="0"/>
          <w:strike w:val="0"/>
          <w:noProof w:val="0"/>
          <w:color w:val="000000"/>
          <w:position w:val="0"/>
          <w:sz w:val="18"/>
          <w:u w:val="none"/>
          <w:vertAlign w:val="baseline"/>
        </w:rPr>
        <w:t xml:space="preserve"> witness must be judged by the same standards. You must set aside any bias or prejudice you may have including any based on the witness's disability gender, race, religion, ethnicity, sexual orientation, gender identity, age, national origin or socioeconomic status. [¶] You may believe all, part or none of any witness's testimony. [¶] Consider the testimony of each witness and decide how much of it you believe. [¶] In evaluating the witness's testimony you may consider anything that reasonably tends to prove or disprove the truth or accuracy of that testimony. [¶] Among the factors that you may consider are how well could the witness see, hear or otherwise perceive the things about which the witness testified? [¶] How well was the witness able to remember and describe what happened. [¶] What was the witness's behavior while testifying? [¶] Did the witness understand the questions and answer them directly? [¶] Was the witness's testimony influenced by a factor such as bias or prejudice, a personal relationship with someone involved in the case or a personal interest in how the case is decided? [¶] What was the witness's attitude about the case or about testifying? [¶] Did the witness</w:t>
      </w:r>
      <w:r>
        <w:rPr>
          <w:rFonts w:ascii="arial" w:eastAsia="arial" w:hAnsi="arial" w:cs="arial"/>
          <w:b/>
          <w:i w:val="0"/>
          <w:strike w:val="0"/>
          <w:noProof w:val="0"/>
          <w:color w:val="000000"/>
          <w:position w:val="0"/>
          <w:sz w:val="18"/>
          <w:u w:val="none"/>
          <w:vertAlign w:val="baseline"/>
        </w:rPr>
        <w:t> [*33] </w:t>
      </w:r>
      <w:r>
        <w:rPr>
          <w:rFonts w:ascii="arial" w:eastAsia="arial" w:hAnsi="arial" w:cs="arial"/>
          <w:b w:val="0"/>
          <w:i w:val="0"/>
          <w:strike w:val="0"/>
          <w:noProof w:val="0"/>
          <w:color w:val="000000"/>
          <w:position w:val="0"/>
          <w:sz w:val="18"/>
          <w:u w:val="none"/>
          <w:vertAlign w:val="baseline"/>
        </w:rPr>
        <w:t xml:space="preserve"> make a statement in the past that is consistent or inconsistent with his or her testimony? [¶] How reasonable is the testimony when you consider all the other evidence in the case? [¶] Did any other evidence prove or disprove any fact about which the witness testified? [¶] Did the witness admit to be untruthful? [¶] Has the witness been convicted of a felony? [¶] Has the witness engaged in other conduct that reflects on his or her believability? [¶] Do not automatically reject testimony just because of inconsistencies or conflicts. Consider whether the differences are important or not. [¶] People sometimes honestly forget things or make mistakes about what they remember. [¶] Also, two people may witness the same event yet see or hear it differently. [¶] If you do not believe a witness's testimony that he or she no longer remembers something, that testimony is inconstant with the witness's earlier statement on that subject. [¶] If you decide that a witness deliberately lied about something significant in this case you should consider not believing anything that witness says. [¶] Or if you think the witness lied about some things but told the truth about others you may simply accept</w:t>
      </w:r>
      <w:r>
        <w:rPr>
          <w:rFonts w:ascii="arial" w:eastAsia="arial" w:hAnsi="arial" w:cs="arial"/>
          <w:b/>
          <w:i w:val="0"/>
          <w:strike w:val="0"/>
          <w:noProof w:val="0"/>
          <w:color w:val="000000"/>
          <w:position w:val="0"/>
          <w:sz w:val="18"/>
          <w:u w:val="none"/>
          <w:vertAlign w:val="baseline"/>
        </w:rPr>
        <w:t> [*34] </w:t>
      </w:r>
      <w:r>
        <w:rPr>
          <w:rFonts w:ascii="arial" w:eastAsia="arial" w:hAnsi="arial" w:cs="arial"/>
          <w:b w:val="0"/>
          <w:i w:val="0"/>
          <w:strike w:val="0"/>
          <w:noProof w:val="0"/>
          <w:color w:val="000000"/>
          <w:position w:val="0"/>
          <w:sz w:val="18"/>
          <w:u w:val="none"/>
          <w:vertAlign w:val="baseline"/>
        </w:rPr>
        <w:t xml:space="preserve"> the part that you think is true and ignore the rest.</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07" w:name="Bookmark_fnpara_4"/>
      <w:bookmarkEnd w:id="207"/>
      <w:r>
        <w:rPr>
          <w:rFonts w:ascii="arial" w:eastAsia="arial" w:hAnsi="arial" w:cs="arial"/>
          <w:b w:val="0"/>
          <w:i w:val="0"/>
          <w:strike w:val="0"/>
          <w:noProof w:val="0"/>
          <w:color w:val="000000"/>
          <w:position w:val="0"/>
          <w:sz w:val="18"/>
          <w:u w:val="none"/>
          <w:vertAlign w:val="baseline"/>
        </w:rPr>
        <w:t>The trial court instructed the jurors with CALCRIM No. 336, as follows:</w:t>
      </w:r>
    </w:p>
    <w:p>
      <w:pPr>
        <w:keepNext w:val="0"/>
        <w:spacing w:before="200" w:after="0" w:line="240" w:lineRule="atLeast"/>
        <w:ind w:left="400" w:right="0" w:firstLine="0"/>
        <w:jc w:val="both"/>
      </w:pPr>
      <w:bookmarkStart w:id="208" w:name="Bookmark_para_90"/>
      <w:bookmarkEnd w:id="208"/>
      <w:r>
        <w:rPr>
          <w:rFonts w:ascii="arial" w:eastAsia="arial" w:hAnsi="arial" w:cs="arial"/>
          <w:b w:val="0"/>
          <w:i w:val="0"/>
          <w:strike w:val="0"/>
          <w:noProof w:val="0"/>
          <w:color w:val="000000"/>
          <w:position w:val="0"/>
          <w:sz w:val="18"/>
          <w:u w:val="none"/>
          <w:vertAlign w:val="baseline"/>
        </w:rPr>
        <w:t>View the testimony [of] an in-custody informant against the defendant with caution and close security. [¶] In evaluating such testimony you should consider the extent to which it may have been influenced by the receipt of or expectation of any benefits. [¶] This does not mean that you may arbitrarily disregard such testimony, but you should give it the weight to which you find it to be entitled in the light of all the evidence in the case. [¶] . . . [¶] You may use the testimony of an in-custody informant only if, first, the testimony is supported by other evidence that you believe; [¶] Second, . . . that supporting evidence is independent of the testimony, and; [¶] Third, that supporting evidence connects the defendant to the commission of the crimes or to the special circumstance or special allegation. [¶] . . . [¶] . . . [¶] . . . [¶] . . . [¶] Brandon</w:t>
      </w:r>
      <w:r>
        <w:rPr>
          <w:rFonts w:ascii="arial" w:eastAsia="arial" w:hAnsi="arial" w:cs="arial"/>
          <w:b/>
          <w:i w:val="0"/>
          <w:strike w:val="0"/>
          <w:noProof w:val="0"/>
          <w:color w:val="000000"/>
          <w:position w:val="0"/>
          <w:sz w:val="18"/>
          <w:u w:val="none"/>
          <w:vertAlign w:val="baseline"/>
        </w:rPr>
        <w:t> [*36] </w:t>
      </w:r>
      <w:r>
        <w:rPr>
          <w:rFonts w:ascii="arial" w:eastAsia="arial" w:hAnsi="arial" w:cs="arial"/>
          <w:b w:val="0"/>
          <w:i w:val="0"/>
          <w:strike w:val="0"/>
          <w:noProof w:val="0"/>
          <w:color w:val="000000"/>
          <w:position w:val="0"/>
          <w:sz w:val="18"/>
          <w:u w:val="none"/>
          <w:vertAlign w:val="baseline"/>
        </w:rPr>
        <w:t xml:space="preserve"> Cerda is an in-custody informant.</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5 RT 2800-03; 2 CT 264.</w:t>
      </w:r>
    </w:p>
    <w:p>
      <w:pPr>
        <w:keepNext w:val="0"/>
        <w:spacing w:before="200" w:after="0" w:line="240" w:lineRule="atLeast"/>
        <w:ind w:left="0" w:right="0" w:firstLine="0"/>
        <w:jc w:val="both"/>
      </w:pPr>
      <w:bookmarkStart w:id="209" w:name="Bookmark_fnpara_5"/>
      <w:bookmarkEnd w:id="209"/>
      <w:r>
        <w:rPr>
          <w:rFonts w:ascii="arial" w:eastAsia="arial" w:hAnsi="arial" w:cs="arial"/>
          <w:b w:val="0"/>
          <w:i w:val="0"/>
          <w:strike w:val="0"/>
          <w:noProof w:val="0"/>
          <w:color w:val="000000"/>
          <w:position w:val="0"/>
          <w:sz w:val="18"/>
          <w:u w:val="none"/>
          <w:vertAlign w:val="baseline"/>
        </w:rPr>
        <w:t xml:space="preserve">The Court of Appeal found that independent evidence (presumably, the recordings) supported Cerda's testimony. </w:t>
      </w:r>
      <w:r>
        <w:rPr>
          <w:rFonts w:ascii="arial" w:eastAsia="arial" w:hAnsi="arial" w:cs="arial"/>
          <w:b w:val="0"/>
          <w:i w:val="0"/>
          <w:strike w:val="0"/>
          <w:noProof w:val="0"/>
          <w:color w:val="000000"/>
          <w:position w:val="0"/>
          <w:sz w:val="18"/>
          <w:u w:val="single"/>
          <w:vertAlign w:val="baseline"/>
        </w:rPr>
        <w:t>See</w:t>
      </w:r>
      <w:r>
        <w:rPr>
          <w:rFonts w:ascii="arial" w:eastAsia="arial" w:hAnsi="arial" w:cs="arial"/>
          <w:b w:val="0"/>
          <w:i w:val="0"/>
          <w:strike w:val="0"/>
          <w:noProof w:val="0"/>
          <w:color w:val="000000"/>
          <w:position w:val="0"/>
          <w:sz w:val="18"/>
          <w:u w:val="none"/>
          <w:vertAlign w:val="baseline"/>
        </w:rPr>
        <w:t xml:space="preserve"> LD 10 at 18.</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Magaña v. Moore, 2023 U.S. Dist. LEXIS 233962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C0P-TKG3-RV5H-B0X2-00000-00&amp;context=1519360" TargetMode="External" /><Relationship Id="rId11" Type="http://schemas.openxmlformats.org/officeDocument/2006/relationships/hyperlink" Target="https://advance.lexis.com/api/document?collection=statutes-legislation&amp;id=urn:contentItem:8SG9-5HW2-D6RV-H0BK-00000-00&amp;context=1519360" TargetMode="External" /><Relationship Id="rId12" Type="http://schemas.openxmlformats.org/officeDocument/2006/relationships/hyperlink" Target="https://advance.lexis.com/api/document?collection=cases&amp;id=urn:contentItem:3WRB-BW90-00KR-F3M2-00000-00&amp;context=1519360" TargetMode="External" /><Relationship Id="rId13" Type="http://schemas.openxmlformats.org/officeDocument/2006/relationships/hyperlink" Target="https://advance.lexis.com/api/document?collection=cases&amp;id=urn:contentItem:5VKK-2501-F8SS-63S4-00000-00&amp;context=1519360" TargetMode="External" /><Relationship Id="rId14" Type="http://schemas.openxmlformats.org/officeDocument/2006/relationships/hyperlink" Target="https://advance.lexis.com/api/document?collection=cases&amp;id=urn:contentItem:3S4X-DRF0-003B-S48T-00000-00&amp;context=1519360" TargetMode="External" /><Relationship Id="rId15" Type="http://schemas.openxmlformats.org/officeDocument/2006/relationships/hyperlink" Target="https://advance.lexis.com/api/document?collection=statutes-legislation&amp;id=urn:contentItem:8SG9-5HW2-D6RV-H0VH-00000-00&amp;context=1519360" TargetMode="External" /><Relationship Id="rId16" Type="http://schemas.openxmlformats.org/officeDocument/2006/relationships/hyperlink" Target="https://advance.lexis.com/api/document?collection=cases&amp;id=urn:contentItem:402J-SJ20-004C-001S-00000-00&amp;context=1519360" TargetMode="External" /><Relationship Id="rId17" Type="http://schemas.openxmlformats.org/officeDocument/2006/relationships/hyperlink" Target="https://advance.lexis.com/api/document?collection=cases&amp;id=urn:contentItem:5S47-KT61-F04K-F0W9-00000-00&amp;context=1519360" TargetMode="External" /><Relationship Id="rId18" Type="http://schemas.openxmlformats.org/officeDocument/2006/relationships/hyperlink" Target="https://advance.lexis.com/api/document?collection=cases&amp;id=urn:contentItem:54WX-64M1-F04B-P16W-00000-00&amp;context=1519360" TargetMode="External" /><Relationship Id="rId19" Type="http://schemas.openxmlformats.org/officeDocument/2006/relationships/hyperlink" Target="https://advance.lexis.com/api/document?collection=cases&amp;id=urn:contentItem:3S4X-CDX0-003B-S3X6-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4F2-D6RV-H37N-00000-00&amp;context=1519360" TargetMode="External" /><Relationship Id="rId21" Type="http://schemas.openxmlformats.org/officeDocument/2006/relationships/hyperlink" Target="https://advance.lexis.com/api/document?collection=cases&amp;id=urn:contentItem:3S4X-9480-0039-N2DB-00000-00&amp;context=1519360" TargetMode="External" /><Relationship Id="rId22" Type="http://schemas.openxmlformats.org/officeDocument/2006/relationships/hyperlink" Target="https://advance.lexis.com/api/document?collection=cases&amp;id=urn:contentItem:3S4X-7KR0-0039-N4TG-00000-00&amp;context=1519360" TargetMode="External" /><Relationship Id="rId23" Type="http://schemas.openxmlformats.org/officeDocument/2006/relationships/hyperlink" Target="https://advance.lexis.com/api/document?collection=cases&amp;id=urn:contentItem:3RV5-D4J0-003B-R4HG-00000-00&amp;context=1519360" TargetMode="External" /><Relationship Id="rId24" Type="http://schemas.openxmlformats.org/officeDocument/2006/relationships/hyperlink" Target="https://advance.lexis.com/api/document?collection=cases&amp;id=urn:contentItem:4W5N-WCG0-TXFX-122J-00000-00&amp;context=1519360" TargetMode="External" /><Relationship Id="rId25" Type="http://schemas.openxmlformats.org/officeDocument/2006/relationships/hyperlink" Target="https://advance.lexis.com/api/document?collection=cases&amp;id=urn:contentItem:592J-2WR1-F04K-V02C-00000-00&amp;context=1519360" TargetMode="External" /><Relationship Id="rId26" Type="http://schemas.openxmlformats.org/officeDocument/2006/relationships/hyperlink" Target="https://advance.lexis.com/api/document?collection=cases&amp;id=urn:contentItem:5K4C-6B41-F04B-P1W7-00000-00&amp;context=1519360" TargetMode="External" /><Relationship Id="rId27" Type="http://schemas.openxmlformats.org/officeDocument/2006/relationships/hyperlink" Target="https://advance.lexis.com/api/document?collection=statutes-legislation&amp;id=urn:contentItem:63Y4-GDJ3-CH1B-T1B0-00000-00&amp;context=1519360" TargetMode="External" /><Relationship Id="rId28" Type="http://schemas.openxmlformats.org/officeDocument/2006/relationships/hyperlink" Target="https://advance.lexis.com/api/document?collection=cases&amp;id=urn:contentItem:48WB-YBW0-0039-455N-00000-00&amp;context=1519360" TargetMode="External" /><Relationship Id="rId29" Type="http://schemas.openxmlformats.org/officeDocument/2006/relationships/hyperlink" Target="https://advance.lexis.com/api/document?collection=cases&amp;id=urn:contentItem:3S4X-3FN0-003B-S3T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207-4RS1-F04K-F12M-00000-00&amp;context=1519360" TargetMode="External" /><Relationship Id="rId31" Type="http://schemas.openxmlformats.org/officeDocument/2006/relationships/hyperlink" Target="https://advance.lexis.com/api/document?collection=cases&amp;id=urn:contentItem:3S65-HY00-003B-R16P-00000-00&amp;context=1519360" TargetMode="External" /><Relationship Id="rId32" Type="http://schemas.openxmlformats.org/officeDocument/2006/relationships/hyperlink" Target="https://advance.lexis.com/api/document?collection=cases&amp;id=urn:contentItem:4VX6-6010-TXFX-11X9-00000-00&amp;context=1519360" TargetMode="External" /><Relationship Id="rId33" Type="http://schemas.openxmlformats.org/officeDocument/2006/relationships/hyperlink" Target="https://advance.lexis.com/api/document?collection=cases&amp;id=urn:contentItem:3S4X-8PK0-003B-P1F3-00000-00&amp;context=1519360" TargetMode="External" /><Relationship Id="rId34" Type="http://schemas.openxmlformats.org/officeDocument/2006/relationships/hyperlink" Target="https://advance.lexis.com/api/document?collection=statutes-legislation&amp;id=urn:contentItem:5J6R-FB01-66B9-80GT-00000-00&amp;context=1519360" TargetMode="External" /><Relationship Id="rId35" Type="http://schemas.openxmlformats.org/officeDocument/2006/relationships/hyperlink" Target="https://advance.lexis.com/api/document?collection=statutes-legislation&amp;id=urn:contentItem:5J6R-FBN1-66B9-8126-00000-00&amp;context=1519360" TargetMode="External" /><Relationship Id="rId36" Type="http://schemas.openxmlformats.org/officeDocument/2006/relationships/hyperlink" Target="https://advance.lexis.com/api/document?collection=cases&amp;id=urn:contentItem:3S54-5FM0-003B-R3SC-00000-00&amp;context=1519360" TargetMode="External" /><Relationship Id="rId37" Type="http://schemas.openxmlformats.org/officeDocument/2006/relationships/hyperlink" Target="https://advance.lexis.com/api/document?collection=cases&amp;id=urn:contentItem:3YCV-8D20-0038-X3B5-00000-00&amp;context=1519360" TargetMode="External" /><Relationship Id="rId38" Type="http://schemas.openxmlformats.org/officeDocument/2006/relationships/hyperlink" Target="https://advance.lexis.com/api/document?collection=cases&amp;id=urn:contentItem:4G0N-B640-0038-X40P-00000-00&amp;context=1519360" TargetMode="External" /><Relationship Id="rId39" Type="http://schemas.openxmlformats.org/officeDocument/2006/relationships/hyperlink" Target="https://advance.lexis.com/api/document?collection=cases&amp;id=urn:contentItem:3S4X-FWC0-008H-V1BW-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3S4X-C9H0-001T-D0XR-00000-00&amp;context=1519360" TargetMode="External" /><Relationship Id="rId41" Type="http://schemas.openxmlformats.org/officeDocument/2006/relationships/hyperlink" Target="https://advance.lexis.com/api/document?collection=cases&amp;id=urn:contentItem:4WJ4-BS90-TXFX-D25D-00000-00&amp;context=1519360" TargetMode="External" /><Relationship Id="rId42" Type="http://schemas.openxmlformats.org/officeDocument/2006/relationships/hyperlink" Target="https://advance.lexis.com/api/document?collection=cases&amp;id=urn:contentItem:65YS-4101-DXHD-G0N6-00000-00&amp;context=1519360" TargetMode="External" /><Relationship Id="rId43" Type="http://schemas.openxmlformats.org/officeDocument/2006/relationships/hyperlink" Target="https://advance.lexis.com/api/document?collection=cases&amp;id=urn:contentItem:4MJB-0860-004C-0028-00000-00&amp;context=1519360" TargetMode="External" /><Relationship Id="rId44" Type="http://schemas.openxmlformats.org/officeDocument/2006/relationships/hyperlink" Target="https://advance.lexis.com/api/document?collection=cases&amp;id=urn:contentItem:3S4X-CG30-003B-S53Y-00000-00&amp;context=1519360" TargetMode="External" /><Relationship Id="rId45" Type="http://schemas.openxmlformats.org/officeDocument/2006/relationships/hyperlink" Target="https://advance.lexis.com/api/document?collection=cases&amp;id=urn:contentItem:3V9V-Y4P0-004C-1005-00000-00&amp;context=1519360" TargetMode="External" /><Relationship Id="rId46" Type="http://schemas.openxmlformats.org/officeDocument/2006/relationships/hyperlink" Target="https://advance.lexis.com/api/document?collection=cases&amp;id=urn:contentItem:3RGS-NNX0-003B-R004-00000-00&amp;context=1519360" TargetMode="External" /><Relationship Id="rId47" Type="http://schemas.openxmlformats.org/officeDocument/2006/relationships/hyperlink" Target="https://advance.lexis.com/api/document?collection=cases&amp;id=urn:contentItem:3S4X-7220-001B-K2M5-00000-00&amp;context=1519360"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B65-6WM3-RSC9-V4X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Magaña v. Moore, 2023 U.S. Dist. LEXIS 233962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104</vt:lpwstr>
  </property>
  <property fmtid="{D5CDD505-2E9C-101B-9397-08002B2CF9AE}" pid="3" name="LADocCount">
    <vt:lpwstr>1</vt:lpwstr>
  </property>
  <property fmtid="{D5CDD505-2E9C-101B-9397-08002B2CF9AE}" pid="4" name="LADocumentID:104">
    <vt:lpwstr>Doc::urn:hlct:5|contextualFeaturePermID::1519360</vt:lpwstr>
  </property>
  <property fmtid="{D5CDD505-2E9C-101B-9397-08002B2CF9AE}" pid="5" name="UserPermID">
    <vt:lpwstr>urn:user:PA186186283</vt:lpwstr>
  </property>
</Properties>
</file>