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Malachowski v. United States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Texas, Abilene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2023, Decided; February 9,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1:20-CV-00190-BU</w:t>
      </w:r>
    </w:p>
    <w:p>
      <w:pPr>
        <w:keepNext w:val="0"/>
        <w:spacing w:after="0" w:line="240" w:lineRule="atLeast"/>
        <w:ind w:right="0"/>
        <w:jc w:val="both"/>
      </w:pPr>
      <w:bookmarkStart w:id="0" w:name="Bookmark_10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74628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3119680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MARCEL MALACHOWSKI, Institutional ID No. 15287-052, Plaintiff, v. UNITED STATES OF AMERICA, et al.,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Appeal dismissed by </w:t>
      </w:r>
      <w:hyperlink r:id="rId10" w:history="1">
        <w:r>
          <w:rPr>
            <w:rFonts w:ascii="arial" w:eastAsia="arial" w:hAnsi="arial" w:cs="arial"/>
            <w:b w:val="0"/>
            <w:i/>
            <w:strike w:val="0"/>
            <w:noProof w:val="0"/>
            <w:color w:val="0077CC"/>
            <w:position w:val="0"/>
            <w:sz w:val="20"/>
            <w:u w:val="single"/>
            <w:vertAlign w:val="baseline"/>
          </w:rPr>
          <w:t>Malachowski v. United States, 2023 U.S. App. LEXIS 24014, 2023 WL 7180611 (5th Cir. Tex., Sept. 11,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Magistrate's recommendation at </w:t>
      </w:r>
      <w:hyperlink r:id="rId11" w:history="1">
        <w:r>
          <w:rPr>
            <w:rFonts w:ascii="arial" w:eastAsia="arial" w:hAnsi="arial" w:cs="arial"/>
            <w:b w:val="0"/>
            <w:i/>
            <w:strike w:val="0"/>
            <w:noProof w:val="0"/>
            <w:color w:val="0077CC"/>
            <w:position w:val="0"/>
            <w:sz w:val="20"/>
            <w:u w:val="single"/>
            <w:vertAlign w:val="baseline"/>
          </w:rPr>
          <w:t>Malachowski v. United States, 2024 U.S. Dist. LEXIS 27462 (N.D. Tex., Jan. 22, 2024)</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failure to state a claim, employees, deliberate indifference, prison, medical need, negligence claim, retaliation, amended complaint, time-barred, statute of limitations, frivolous, inmates, medical care, injuries, medical treatment, construe, alleges, brings, medical professional, factual allegations, cause of action, failure-to-protect, complains, symptoms, pleaded, courts, federal employee, federal official, recommendation, contractor</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Marcel Malachowski, Plaintiff, Pro se, Hinton, OK.</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JOHN R. PARKER,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JOHN R. PARKER</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4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Pro se plaintiff Marcel Malachowski is a prisoner with the Federal Bureau of Prisons (BOP). He filed this civil action on September 14, 2020 (Dkt. No. 1), and later filed his Second Amended Complaint on January 8, 2021 (Dkt. No. 14), alleging claims under </w:t>
      </w:r>
      <w:hyperlink r:id="rId12" w:history="1">
        <w:r>
          <w:rPr>
            <w:rFonts w:ascii="arial" w:eastAsia="arial" w:hAnsi="arial" w:cs="arial"/>
            <w:b w:val="0"/>
            <w:i/>
            <w:strike w:val="0"/>
            <w:noProof w:val="0"/>
            <w:color w:val="0077CC"/>
            <w:position w:val="0"/>
            <w:sz w:val="20"/>
            <w:u w:val="single"/>
            <w:vertAlign w:val="baseline"/>
          </w:rPr>
          <w:t>Bivens v. Six Unknown Federal Narcotics Agents</w:t>
        </w:r>
      </w:hyperlink>
      <w:hyperlink r:id="rId12" w:history="1">
        <w:r>
          <w:rPr>
            <w:rFonts w:ascii="arial" w:eastAsia="arial" w:hAnsi="arial" w:cs="arial"/>
            <w:b w:val="0"/>
            <w:i/>
            <w:strike w:val="0"/>
            <w:noProof w:val="0"/>
            <w:color w:val="0077CC"/>
            <w:position w:val="0"/>
            <w:sz w:val="20"/>
            <w:u w:val="single"/>
            <w:vertAlign w:val="baseline"/>
          </w:rPr>
          <w:t>, 403 U.S. 388, 91 S. Ct. 1999, 29 L. Ed. 2d 619 (1971)</w:t>
        </w:r>
      </w:hyperlink>
      <w:r>
        <w:rPr>
          <w:rFonts w:ascii="arial" w:eastAsia="arial" w:hAnsi="arial" w:cs="arial"/>
          <w:b w:val="0"/>
          <w:i w:val="0"/>
          <w:strike w:val="0"/>
          <w:noProof w:val="0"/>
          <w:color w:val="000000"/>
          <w:position w:val="0"/>
          <w:sz w:val="20"/>
          <w:u w:val="none"/>
          <w:vertAlign w:val="baseline"/>
        </w:rPr>
        <w:t>, and the Federal Tort Claims Act (FTCA).</w:t>
      </w:r>
    </w:p>
    <w:p>
      <w:pPr>
        <w:keepNext w:val="0"/>
        <w:spacing w:before="24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Because Malachowski, an inmate, brings his suit against government officials, his Second Amended Complaint is subject to preliminary screening under </w:t>
      </w:r>
      <w:hyperlink r:id="rId13" w:history="1">
        <w:r>
          <w:rPr>
            <w:rFonts w:ascii="arial" w:eastAsia="arial" w:hAnsi="arial" w:cs="arial"/>
            <w:b w:val="0"/>
            <w:i/>
            <w:strike w:val="0"/>
            <w:noProof w:val="0"/>
            <w:color w:val="0077CC"/>
            <w:position w:val="0"/>
            <w:sz w:val="20"/>
            <w:u w:val="single"/>
            <w:vertAlign w:val="baseline"/>
          </w:rPr>
          <w:t>28 U.S.C. § 1915A</w:t>
        </w:r>
      </w:hyperlink>
      <w:r>
        <w:rPr>
          <w:rFonts w:ascii="arial" w:eastAsia="arial" w:hAnsi="arial" w:cs="arial"/>
          <w:b w:val="0"/>
          <w:i w:val="0"/>
          <w:strike w:val="0"/>
          <w:noProof w:val="0"/>
          <w:color w:val="000000"/>
          <w:position w:val="0"/>
          <w:sz w:val="20"/>
          <w:u w:val="none"/>
          <w:vertAlign w:val="baseline"/>
        </w:rPr>
        <w:t>. The case was transferred to the undersigned to conduct the preliminary screening required by that statute. Dkt. No. 22. Malachowski later consented to the undersigned exercising the full jurisdiction of this Court. Dkt. No. 25. The Court ordered Malachowski to complete a Questionnaire to clarify his claims (Dkt. No. 27), which he did on January 31, 2022 (Dkt. No. 28).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 PRELIMINARY SCREENING STANDARDS</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A court must dismiss a complaint filed by a prisoner against a government entity or employee if the court determines the complaint is frivolous or malicious, fails to state a claim upon which relief may be granted, or seeks monetary</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relief from a defendant who is immune from such relief. </w:t>
      </w:r>
      <w:hyperlink r:id="rId13" w:history="1">
        <w:r>
          <w:rPr>
            <w:rFonts w:ascii="arial" w:eastAsia="arial" w:hAnsi="arial" w:cs="arial"/>
            <w:b w:val="0"/>
            <w:i/>
            <w:strike w:val="0"/>
            <w:noProof w:val="0"/>
            <w:color w:val="0077CC"/>
            <w:position w:val="0"/>
            <w:sz w:val="20"/>
            <w:u w:val="single"/>
            <w:vertAlign w:val="baseline"/>
          </w:rPr>
          <w:t>§ 1915A(b)</w:t>
        </w:r>
      </w:hyperlink>
      <w:r>
        <w:rPr>
          <w:rFonts w:ascii="arial" w:eastAsia="arial" w:hAnsi="arial" w:cs="arial"/>
          <w:b w:val="0"/>
          <w:i w:val="0"/>
          <w:strike w:val="0"/>
          <w:noProof w:val="0"/>
          <w:color w:val="000000"/>
          <w:position w:val="0"/>
          <w:sz w:val="20"/>
          <w:u w:val="none"/>
          <w:vertAlign w:val="baseline"/>
        </w:rPr>
        <w:t xml:space="preserve"> (applying section to any suit by a prisoner against certain governmental entities, regardless of whether the prisoner is proceeding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A frivolous complaint lacks any arguable basis, either in fact or in law, for the wrong alleged. </w:t>
      </w:r>
      <w:hyperlink r:id="rId14" w:history="1">
        <w:r>
          <w:rPr>
            <w:rFonts w:ascii="arial" w:eastAsia="arial" w:hAnsi="arial" w:cs="arial"/>
            <w:b w:val="0"/>
            <w:i/>
            <w:strike w:val="0"/>
            <w:noProof w:val="0"/>
            <w:color w:val="0077CC"/>
            <w:position w:val="0"/>
            <w:sz w:val="20"/>
            <w:u w:val="single"/>
            <w:vertAlign w:val="baseline"/>
          </w:rPr>
          <w:t>Neitzke v. Williams</w:t>
        </w:r>
      </w:hyperlink>
      <w:hyperlink r:id="rId14" w:history="1">
        <w:r>
          <w:rPr>
            <w:rFonts w:ascii="arial" w:eastAsia="arial" w:hAnsi="arial" w:cs="arial"/>
            <w:b w:val="0"/>
            <w:i/>
            <w:strike w:val="0"/>
            <w:noProof w:val="0"/>
            <w:color w:val="0077CC"/>
            <w:position w:val="0"/>
            <w:sz w:val="20"/>
            <w:u w:val="single"/>
            <w:vertAlign w:val="baseline"/>
          </w:rPr>
          <w:t>, 490 U.S. 319, 325, 109 S. Ct. 1827, 104 L. Ed. 2d 338 (1989)</w:t>
        </w:r>
      </w:hyperlink>
      <w:r>
        <w:rPr>
          <w:rFonts w:ascii="arial" w:eastAsia="arial" w:hAnsi="arial" w:cs="arial"/>
          <w:b w:val="0"/>
          <w:i w:val="0"/>
          <w:strike w:val="0"/>
          <w:noProof w:val="0"/>
          <w:color w:val="000000"/>
          <w:position w:val="0"/>
          <w:sz w:val="20"/>
          <w:u w:val="none"/>
          <w:vertAlign w:val="baseline"/>
        </w:rPr>
        <w:t xml:space="preserve">. A complaint lacks an arguable basis in fact if it rests upon clearly baseless factual contentions, and similarly lacks an arguable basis in law if it contains indisputably meritless legal theories. </w:t>
      </w:r>
      <w:r>
        <w:rPr>
          <w:rFonts w:ascii="arial" w:eastAsia="arial" w:hAnsi="arial" w:cs="arial"/>
          <w:b w:val="0"/>
          <w:i/>
          <w:strike w:val="0"/>
          <w:noProof w:val="0"/>
          <w:color w:val="000000"/>
          <w:position w:val="0"/>
          <w:sz w:val="20"/>
          <w:u w:val="none"/>
          <w:vertAlign w:val="baseline"/>
        </w:rPr>
        <w:t xml:space="preserve">See </w:t>
      </w:r>
      <w:hyperlink r:id="rId14" w:history="1">
        <w:r>
          <w:rPr>
            <w:rFonts w:ascii="arial" w:eastAsia="arial" w:hAnsi="arial" w:cs="arial"/>
            <w:b w:val="0"/>
            <w:i/>
            <w:strike w:val="0"/>
            <w:noProof w:val="0"/>
            <w:color w:val="0077CC"/>
            <w:position w:val="0"/>
            <w:sz w:val="20"/>
            <w:u w:val="single"/>
            <w:vertAlign w:val="baseline"/>
          </w:rPr>
          <w:t>id.</w:t>
        </w:r>
      </w:hyperlink>
      <w:hyperlink r:id="rId14" w:history="1">
        <w:r>
          <w:rPr>
            <w:rFonts w:ascii="arial" w:eastAsia="arial" w:hAnsi="arial" w:cs="arial"/>
            <w:b w:val="0"/>
            <w:i/>
            <w:strike w:val="0"/>
            <w:noProof w:val="0"/>
            <w:color w:val="0077CC"/>
            <w:position w:val="0"/>
            <w:sz w:val="20"/>
            <w:u w:val="single"/>
            <w:vertAlign w:val="baseline"/>
          </w:rPr>
          <w:t xml:space="preserve"> at 327</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Geiger v. Jowers</w:t>
        </w:r>
      </w:hyperlink>
      <w:hyperlink r:id="rId15" w:history="1">
        <w:r>
          <w:rPr>
            <w:rFonts w:ascii="arial" w:eastAsia="arial" w:hAnsi="arial" w:cs="arial"/>
            <w:b w:val="0"/>
            <w:i/>
            <w:strike w:val="0"/>
            <w:noProof w:val="0"/>
            <w:color w:val="0077CC"/>
            <w:position w:val="0"/>
            <w:sz w:val="20"/>
            <w:u w:val="single"/>
            <w:vertAlign w:val="baseline"/>
          </w:rPr>
          <w:t>, 404 F.3d 371, 373 (5th Cir. 2005)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 xml:space="preserve">Dismissal for failure to state a claim—whether under Section 1915(e)(2)(B)(ii), </w:t>
      </w:r>
      <w:hyperlink r:id="rId13" w:history="1">
        <w:r>
          <w:rPr>
            <w:rFonts w:ascii="arial" w:eastAsia="arial" w:hAnsi="arial" w:cs="arial"/>
            <w:b w:val="0"/>
            <w:i/>
            <w:strike w:val="0"/>
            <w:noProof w:val="0"/>
            <w:color w:val="0077CC"/>
            <w:position w:val="0"/>
            <w:sz w:val="20"/>
            <w:u w:val="single"/>
            <w:vertAlign w:val="baseline"/>
          </w:rPr>
          <w:t>Section 1915A(b)(1)</w:t>
        </w:r>
      </w:hyperlink>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—"turns on the sufficiency of the 'factual allegations' in the complaint." </w:t>
      </w:r>
      <w:hyperlink r:id="rId16" w:history="1">
        <w:r>
          <w:rPr>
            <w:rFonts w:ascii="arial" w:eastAsia="arial" w:hAnsi="arial" w:cs="arial"/>
            <w:b w:val="0"/>
            <w:i/>
            <w:strike w:val="0"/>
            <w:noProof w:val="0"/>
            <w:color w:val="0077CC"/>
            <w:position w:val="0"/>
            <w:sz w:val="20"/>
            <w:u w:val="single"/>
            <w:vertAlign w:val="baseline"/>
          </w:rPr>
          <w:t>Smith v. Bank of Am., N.A.</w:t>
        </w:r>
      </w:hyperlink>
      <w:hyperlink r:id="rId16" w:history="1">
        <w:r>
          <w:rPr>
            <w:rFonts w:ascii="arial" w:eastAsia="arial" w:hAnsi="arial" w:cs="arial"/>
            <w:b w:val="0"/>
            <w:i/>
            <w:strike w:val="0"/>
            <w:noProof w:val="0"/>
            <w:color w:val="0077CC"/>
            <w:position w:val="0"/>
            <w:sz w:val="20"/>
            <w:u w:val="single"/>
            <w:vertAlign w:val="baseline"/>
          </w:rPr>
          <w:t>, 615 F. App'x 830, 833 (5th Cir. 2015)</w:t>
        </w:r>
      </w:hyperlink>
      <w:r>
        <w:rPr>
          <w:rFonts w:ascii="arial" w:eastAsia="arial" w:hAnsi="arial" w:cs="arial"/>
          <w:b w:val="0"/>
          <w:i w:val="0"/>
          <w:strike w:val="0"/>
          <w:noProof w:val="0"/>
          <w:color w:val="000000"/>
          <w:position w:val="0"/>
          <w:sz w:val="20"/>
          <w:u w:val="none"/>
          <w:vertAlign w:val="baseline"/>
        </w:rPr>
        <w:t xml:space="preserve"> (per curiam) (quoting </w:t>
      </w:r>
      <w:hyperlink r:id="rId17" w:history="1">
        <w:r>
          <w:rPr>
            <w:rFonts w:ascii="arial" w:eastAsia="arial" w:hAnsi="arial" w:cs="arial"/>
            <w:b w:val="0"/>
            <w:i/>
            <w:strike w:val="0"/>
            <w:noProof w:val="0"/>
            <w:color w:val="0077CC"/>
            <w:position w:val="0"/>
            <w:sz w:val="20"/>
            <w:u w:val="single"/>
            <w:vertAlign w:val="baseline"/>
          </w:rPr>
          <w:t>Johnson v. City of Shelby</w:t>
        </w:r>
      </w:hyperlink>
      <w:hyperlink r:id="rId17" w:history="1">
        <w:r>
          <w:rPr>
            <w:rFonts w:ascii="arial" w:eastAsia="arial" w:hAnsi="arial" w:cs="arial"/>
            <w:b w:val="0"/>
            <w:i/>
            <w:strike w:val="0"/>
            <w:noProof w:val="0"/>
            <w:color w:val="0077CC"/>
            <w:position w:val="0"/>
            <w:sz w:val="20"/>
            <w:u w:val="single"/>
            <w:vertAlign w:val="baseline"/>
          </w:rPr>
          <w:t>, 574 U.S. 10, 12, 135 S. Ct. 346, 190 L. Ed. 2d 309 (2014)</w:t>
        </w:r>
      </w:hyperlink>
      <w:r>
        <w:rPr>
          <w:rFonts w:ascii="arial" w:eastAsia="arial" w:hAnsi="arial" w:cs="arial"/>
          <w:b w:val="0"/>
          <w:i w:val="0"/>
          <w:strike w:val="0"/>
          <w:noProof w:val="0"/>
          <w:color w:val="000000"/>
          <w:position w:val="0"/>
          <w:sz w:val="20"/>
          <w:u w:val="none"/>
          <w:vertAlign w:val="baseline"/>
        </w:rPr>
        <w:t xml:space="preserve"> (per curiam)). Thus, if a plaintiff "plead[s] facts sufficient to show" that the claims asserted have "substantive plausibility" by stating "simply, concisely, and directly events" that they contend entitle them to relief, the claims should not be dismissed merely because the plaintiff fails to articulate the proper legal theory that otherwise makes those facts actionable in court. </w:t>
      </w:r>
      <w:hyperlink r:id="rId17" w:history="1">
        <w:r>
          <w:rPr>
            <w:rFonts w:ascii="arial" w:eastAsia="arial" w:hAnsi="arial" w:cs="arial"/>
            <w:b w:val="0"/>
            <w:i/>
            <w:strike w:val="0"/>
            <w:noProof w:val="0"/>
            <w:color w:val="0077CC"/>
            <w:position w:val="0"/>
            <w:sz w:val="20"/>
            <w:u w:val="single"/>
            <w:vertAlign w:val="baseline"/>
          </w:rPr>
          <w:t>Johnson</w:t>
        </w:r>
      </w:hyperlink>
      <w:hyperlink r:id="rId17" w:history="1">
        <w:r>
          <w:rPr>
            <w:rFonts w:ascii="arial" w:eastAsia="arial" w:hAnsi="arial" w:cs="arial"/>
            <w:b w:val="0"/>
            <w:i/>
            <w:strike w:val="0"/>
            <w:noProof w:val="0"/>
            <w:color w:val="0077CC"/>
            <w:position w:val="0"/>
            <w:sz w:val="20"/>
            <w:u w:val="single"/>
            <w:vertAlign w:val="baseline"/>
          </w:rPr>
          <w:t>, 574 U.S. at 11-12</w:t>
        </w:r>
      </w:hyperlink>
      <w:r>
        <w:rPr>
          <w:rFonts w:ascii="arial" w:eastAsia="arial" w:hAnsi="arial" w:cs="arial"/>
          <w:b w:val="0"/>
          <w:i w:val="0"/>
          <w:strike w:val="0"/>
          <w:noProof w:val="0"/>
          <w:color w:val="000000"/>
          <w:position w:val="0"/>
          <w:sz w:val="20"/>
          <w:u w:val="none"/>
          <w:vertAlign w:val="baseline"/>
        </w:rPr>
        <w:t xml:space="preserve"> (citing </w:t>
      </w:r>
      <w:hyperlink r:id="rId18" w:history="1">
        <w:r>
          <w:rPr>
            <w:rFonts w:ascii="arial" w:eastAsia="arial" w:hAnsi="arial" w:cs="arial"/>
            <w:b w:val="0"/>
            <w:i/>
            <w:strike w:val="0"/>
            <w:noProof w:val="0"/>
            <w:color w:val="0077CC"/>
            <w:position w:val="0"/>
            <w:sz w:val="20"/>
            <w:u w:val="single"/>
            <w:vertAlign w:val="baseline"/>
          </w:rPr>
          <w:t>Fed. R. Civ. P.</w:t>
        </w:r>
      </w:hyperlink>
      <w:hyperlink r:id="rId18" w:history="1">
        <w:r>
          <w:rPr>
            <w:rFonts w:ascii="arial" w:eastAsia="arial" w:hAnsi="arial" w:cs="arial"/>
            <w:b w:val="0"/>
            <w:i/>
            <w:strike w:val="0"/>
            <w:noProof w:val="0"/>
            <w:color w:val="0077CC"/>
            <w:position w:val="0"/>
            <w:sz w:val="20"/>
            <w:u w:val="single"/>
            <w:vertAlign w:val="baseline"/>
          </w:rPr>
          <w:t xml:space="preserve"> 8(a)(2)-(3)</w:t>
        </w:r>
      </w:hyperlink>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(d)(1)</w:t>
        </w:r>
      </w:hyperlink>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 xml:space="preserve">Courts accept </w:t>
      </w:r>
      <w:r>
        <w:rPr>
          <w:rFonts w:ascii="arial" w:eastAsia="arial" w:hAnsi="arial" w:cs="arial"/>
          <w:b w:val="0"/>
          <w:i/>
          <w:strike w:val="0"/>
          <w:noProof w:val="0"/>
          <w:color w:val="000000"/>
          <w:position w:val="0"/>
          <w:sz w:val="20"/>
          <w:u w:val="none"/>
          <w:vertAlign w:val="baseline"/>
        </w:rPr>
        <w:t>well-pleaded</w:t>
      </w:r>
      <w:r>
        <w:rPr>
          <w:rFonts w:ascii="arial" w:eastAsia="arial" w:hAnsi="arial" w:cs="arial"/>
          <w:b w:val="0"/>
          <w:i w:val="0"/>
          <w:strike w:val="0"/>
          <w:noProof w:val="0"/>
          <w:color w:val="000000"/>
          <w:position w:val="0"/>
          <w:sz w:val="20"/>
          <w:u w:val="none"/>
          <w:vertAlign w:val="baseline"/>
        </w:rPr>
        <w:t xml:space="preserve"> factual allegations as true. </w:t>
      </w:r>
      <w:hyperlink r:id="rId19" w:history="1">
        <w:r>
          <w:rPr>
            <w:rFonts w:ascii="arial" w:eastAsia="arial" w:hAnsi="arial" w:cs="arial"/>
            <w:b w:val="0"/>
            <w:i/>
            <w:strike w:val="0"/>
            <w:noProof w:val="0"/>
            <w:color w:val="0077CC"/>
            <w:position w:val="0"/>
            <w:sz w:val="20"/>
            <w:u w:val="single"/>
            <w:vertAlign w:val="baseline"/>
          </w:rPr>
          <w:t>Chhim v. Univ. of Tex. at Austin</w:t>
        </w:r>
      </w:hyperlink>
      <w:hyperlink r:id="rId19" w:history="1">
        <w:r>
          <w:rPr>
            <w:rFonts w:ascii="arial" w:eastAsia="arial" w:hAnsi="arial" w:cs="arial"/>
            <w:b w:val="0"/>
            <w:i/>
            <w:strike w:val="0"/>
            <w:noProof w:val="0"/>
            <w:color w:val="0077CC"/>
            <w:position w:val="0"/>
            <w:sz w:val="20"/>
            <w:u w:val="single"/>
            <w:vertAlign w:val="baseline"/>
          </w:rPr>
          <w:t>, 836 F.3d 467, 469 (5th Cir. 2016)</w:t>
        </w:r>
      </w:hyperlink>
      <w:r>
        <w:rPr>
          <w:rFonts w:ascii="arial" w:eastAsia="arial" w:hAnsi="arial" w:cs="arial"/>
          <w:b w:val="0"/>
          <w:i w:val="0"/>
          <w:strike w:val="0"/>
          <w:noProof w:val="0"/>
          <w:color w:val="000000"/>
          <w:position w:val="0"/>
          <w:sz w:val="20"/>
          <w:u w:val="none"/>
          <w:vertAlign w:val="baseline"/>
        </w:rPr>
        <w:t xml:space="preserve"> (emphasis added). This means the factual allegations, while not required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to be detailed, must amount to more than mere labels, conclusions, or a statement of the legal elements of a claim. </w:t>
      </w:r>
      <w:hyperlink r:id="rId20" w:history="1">
        <w:r>
          <w:rPr>
            <w:rFonts w:ascii="arial" w:eastAsia="arial" w:hAnsi="arial" w:cs="arial"/>
            <w:b w:val="0"/>
            <w:i/>
            <w:strike w:val="0"/>
            <w:noProof w:val="0"/>
            <w:color w:val="0077CC"/>
            <w:position w:val="0"/>
            <w:sz w:val="20"/>
            <w:u w:val="single"/>
            <w:vertAlign w:val="baseline"/>
          </w:rPr>
          <w:t>Ashcroft v. Iqbal</w:t>
        </w:r>
      </w:hyperlink>
      <w:hyperlink r:id="rId20"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 xml:space="preserve"> (citing </w:t>
      </w:r>
      <w:hyperlink r:id="rId21" w:history="1">
        <w:r>
          <w:rPr>
            <w:rFonts w:ascii="arial" w:eastAsia="arial" w:hAnsi="arial" w:cs="arial"/>
            <w:b w:val="0"/>
            <w:i/>
            <w:strike w:val="0"/>
            <w:noProof w:val="0"/>
            <w:color w:val="0077CC"/>
            <w:position w:val="0"/>
            <w:sz w:val="20"/>
            <w:u w:val="single"/>
            <w:vertAlign w:val="baseline"/>
          </w:rPr>
          <w:t>Bell Atl. Corp. v. Twombly</w:t>
        </w:r>
      </w:hyperlink>
      <w:hyperlink r:id="rId21" w:history="1">
        <w:r>
          <w:rPr>
            <w:rFonts w:ascii="arial" w:eastAsia="arial" w:hAnsi="arial" w:cs="arial"/>
            <w:b w:val="0"/>
            <w:i/>
            <w:strike w:val="0"/>
            <w:noProof w:val="0"/>
            <w:color w:val="0077CC"/>
            <w:position w:val="0"/>
            <w:sz w:val="20"/>
            <w:u w:val="single"/>
            <w:vertAlign w:val="baseline"/>
          </w:rPr>
          <w:t>, 550 U.S. 544, 555, 127 S. Ct. 1955, 167 L. Ed. 2d 929 (2007)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19" w:history="1">
        <w:r>
          <w:rPr>
            <w:rFonts w:ascii="arial" w:eastAsia="arial" w:hAnsi="arial" w:cs="arial"/>
            <w:b w:val="0"/>
            <w:i/>
            <w:strike w:val="0"/>
            <w:noProof w:val="0"/>
            <w:color w:val="0077CC"/>
            <w:position w:val="0"/>
            <w:sz w:val="20"/>
            <w:u w:val="single"/>
            <w:vertAlign w:val="baseline"/>
          </w:rPr>
          <w:t>Chhim</w:t>
        </w:r>
      </w:hyperlink>
      <w:hyperlink r:id="rId19" w:history="1">
        <w:r>
          <w:rPr>
            <w:rFonts w:ascii="arial" w:eastAsia="arial" w:hAnsi="arial" w:cs="arial"/>
            <w:b w:val="0"/>
            <w:i/>
            <w:strike w:val="0"/>
            <w:noProof w:val="0"/>
            <w:color w:val="0077CC"/>
            <w:position w:val="0"/>
            <w:sz w:val="20"/>
            <w:u w:val="single"/>
            <w:vertAlign w:val="baseline"/>
          </w:rPr>
          <w:t>, 836 F.3d at 469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 xml:space="preserve">For claims to be substantively plausible, a plaintiff need not establish that the pleaded facts probably occurred as alleged, but the facts must allow the court "to infer more than the mere possibility of misconduct." </w:t>
      </w:r>
      <w:hyperlink r:id="rId22" w:history="1">
        <w:r>
          <w:rPr>
            <w:rFonts w:ascii="arial" w:eastAsia="arial" w:hAnsi="arial" w:cs="arial"/>
            <w:b w:val="0"/>
            <w:i/>
            <w:strike w:val="0"/>
            <w:noProof w:val="0"/>
            <w:color w:val="0077CC"/>
            <w:position w:val="0"/>
            <w:sz w:val="20"/>
            <w:u w:val="single"/>
            <w:vertAlign w:val="baseline"/>
          </w:rPr>
          <w:t>Harold H. Huggins Realty, Inc. v. FNC, Inc.</w:t>
        </w:r>
      </w:hyperlink>
      <w:hyperlink r:id="rId22" w:history="1">
        <w:r>
          <w:rPr>
            <w:rFonts w:ascii="arial" w:eastAsia="arial" w:hAnsi="arial" w:cs="arial"/>
            <w:b w:val="0"/>
            <w:i/>
            <w:strike w:val="0"/>
            <w:noProof w:val="0"/>
            <w:color w:val="0077CC"/>
            <w:position w:val="0"/>
            <w:sz w:val="20"/>
            <w:u w:val="single"/>
            <w:vertAlign w:val="baseline"/>
          </w:rPr>
          <w:t>, 634 F.3d 787, 796 (5th Cir. 2011)</w:t>
        </w:r>
      </w:hyperlink>
      <w:r>
        <w:rPr>
          <w:rFonts w:ascii="arial" w:eastAsia="arial" w:hAnsi="arial" w:cs="arial"/>
          <w:b w:val="0"/>
          <w:i w:val="0"/>
          <w:strike w:val="0"/>
          <w:noProof w:val="0"/>
          <w:color w:val="000000"/>
          <w:position w:val="0"/>
          <w:sz w:val="20"/>
          <w:u w:val="none"/>
          <w:vertAlign w:val="baseline"/>
        </w:rPr>
        <w:t xml:space="preserve"> (quoting </w:t>
      </w:r>
      <w:hyperlink r:id="rId20" w:history="1">
        <w:r>
          <w:rPr>
            <w:rFonts w:ascii="arial" w:eastAsia="arial" w:hAnsi="arial" w:cs="arial"/>
            <w:b w:val="0"/>
            <w:i/>
            <w:strike w:val="0"/>
            <w:noProof w:val="0"/>
            <w:color w:val="0077CC"/>
            <w:position w:val="0"/>
            <w:sz w:val="20"/>
            <w:u w:val="single"/>
            <w:vertAlign w:val="baseline"/>
          </w:rPr>
          <w:t>Iqbal</w:t>
        </w:r>
      </w:hyperlink>
      <w:hyperlink r:id="rId20" w:history="1">
        <w:r>
          <w:rPr>
            <w:rFonts w:ascii="arial" w:eastAsia="arial" w:hAnsi="arial" w:cs="arial"/>
            <w:b w:val="0"/>
            <w:i/>
            <w:strike w:val="0"/>
            <w:noProof w:val="0"/>
            <w:color w:val="0077CC"/>
            <w:position w:val="0"/>
            <w:sz w:val="20"/>
            <w:u w:val="single"/>
            <w:vertAlign w:val="baseline"/>
          </w:rPr>
          <w:t>, 556 U.S. at 678-79</w:t>
        </w:r>
      </w:hyperlink>
      <w:r>
        <w:rPr>
          <w:rFonts w:ascii="arial" w:eastAsia="arial" w:hAnsi="arial" w:cs="arial"/>
          <w:b w:val="0"/>
          <w:i w:val="0"/>
          <w:strike w:val="0"/>
          <w:noProof w:val="0"/>
          <w:color w:val="000000"/>
          <w:position w:val="0"/>
          <w:sz w:val="20"/>
          <w:u w:val="none"/>
          <w:vertAlign w:val="baseline"/>
        </w:rPr>
        <w:t xml:space="preserve">). Even pro se plaintiffs must plead facts that raise the right to relief above a speculative level. </w:t>
      </w:r>
      <w:hyperlink r:id="rId19" w:history="1">
        <w:r>
          <w:rPr>
            <w:rFonts w:ascii="arial" w:eastAsia="arial" w:hAnsi="arial" w:cs="arial"/>
            <w:b w:val="0"/>
            <w:i/>
            <w:strike w:val="0"/>
            <w:noProof w:val="0"/>
            <w:color w:val="0077CC"/>
            <w:position w:val="0"/>
            <w:sz w:val="20"/>
            <w:u w:val="single"/>
            <w:vertAlign w:val="baseline"/>
          </w:rPr>
          <w:t>Chhim</w:t>
        </w:r>
      </w:hyperlink>
      <w:hyperlink r:id="rId19" w:history="1">
        <w:r>
          <w:rPr>
            <w:rFonts w:ascii="arial" w:eastAsia="arial" w:hAnsi="arial" w:cs="arial"/>
            <w:b w:val="0"/>
            <w:i/>
            <w:strike w:val="0"/>
            <w:noProof w:val="0"/>
            <w:color w:val="0077CC"/>
            <w:position w:val="0"/>
            <w:sz w:val="20"/>
            <w:u w:val="single"/>
            <w:vertAlign w:val="baseline"/>
          </w:rPr>
          <w:t>, 836 F.3d at 469</w:t>
        </w:r>
      </w:hyperlink>
      <w:r>
        <w:rPr>
          <w:rFonts w:ascii="arial" w:eastAsia="arial" w:hAnsi="arial" w:cs="arial"/>
          <w:b w:val="0"/>
          <w:i w:val="0"/>
          <w:strike w:val="0"/>
          <w:noProof w:val="0"/>
          <w:color w:val="000000"/>
          <w:position w:val="0"/>
          <w:sz w:val="20"/>
          <w:u w:val="none"/>
          <w:vertAlign w:val="baseline"/>
        </w:rPr>
        <w:t xml:space="preserve"> (citing </w:t>
      </w:r>
      <w:hyperlink r:id="rId23" w:history="1">
        <w:r>
          <w:rPr>
            <w:rFonts w:ascii="arial" w:eastAsia="arial" w:hAnsi="arial" w:cs="arial"/>
            <w:b w:val="0"/>
            <w:i/>
            <w:strike w:val="0"/>
            <w:noProof w:val="0"/>
            <w:color w:val="0077CC"/>
            <w:position w:val="0"/>
            <w:sz w:val="20"/>
            <w:u w:val="single"/>
            <w:vertAlign w:val="baseline"/>
          </w:rPr>
          <w:t>Taylor v. Books A Million, Inc.</w:t>
        </w:r>
      </w:hyperlink>
      <w:hyperlink r:id="rId23" w:history="1">
        <w:r>
          <w:rPr>
            <w:rFonts w:ascii="arial" w:eastAsia="arial" w:hAnsi="arial" w:cs="arial"/>
            <w:b w:val="0"/>
            <w:i/>
            <w:strike w:val="0"/>
            <w:noProof w:val="0"/>
            <w:color w:val="0077CC"/>
            <w:position w:val="0"/>
            <w:sz w:val="20"/>
            <w:u w:val="single"/>
            <w:vertAlign w:val="baseline"/>
          </w:rPr>
          <w:t>, 296 F.3d 376, 378 (5th Cir. 2002)</w:t>
        </w:r>
      </w:hyperlink>
      <w:r>
        <w:rPr>
          <w:rFonts w:ascii="arial" w:eastAsia="arial" w:hAnsi="arial" w:cs="arial"/>
          <w:b w:val="0"/>
          <w:i w:val="0"/>
          <w:strike w:val="0"/>
          <w:noProof w:val="0"/>
          <w:color w:val="000000"/>
          <w:position w:val="0"/>
          <w:sz w:val="20"/>
          <w:u w:val="none"/>
          <w:vertAlign w:val="baseline"/>
        </w:rPr>
        <w:t xml:space="preserve">). And when plaintiffs "have not nudged their claims across the line from conceivable to plausible, their complaint must be dismissed." </w:t>
      </w:r>
      <w:hyperlink r:id="rId21" w:history="1">
        <w:r>
          <w:rPr>
            <w:rFonts w:ascii="arial" w:eastAsia="arial" w:hAnsi="arial" w:cs="arial"/>
            <w:b w:val="0"/>
            <w:i/>
            <w:strike w:val="0"/>
            <w:noProof w:val="0"/>
            <w:color w:val="0077CC"/>
            <w:position w:val="0"/>
            <w:sz w:val="20"/>
            <w:u w:val="single"/>
            <w:vertAlign w:val="baseline"/>
          </w:rPr>
          <w:t>Twombly</w:t>
        </w:r>
      </w:hyperlink>
      <w:hyperlink r:id="rId21" w:history="1">
        <w:r>
          <w:rPr>
            <w:rFonts w:ascii="arial" w:eastAsia="arial" w:hAnsi="arial" w:cs="arial"/>
            <w:b w:val="0"/>
            <w:i/>
            <w:strike w:val="0"/>
            <w:noProof w:val="0"/>
            <w:color w:val="0077CC"/>
            <w:position w:val="0"/>
            <w:sz w:val="20"/>
            <w:u w:val="single"/>
            <w:vertAlign w:val="baseline"/>
          </w:rPr>
          <w:t>, 550 U.S. at 570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 xml:space="preserve">When evaluating a complaint under these standards, courts liberally construe the pleadings of pro se plaintiffs, holding their complaints to "less stringent standards than formal pleadings drafted by lawyers." </w:t>
      </w:r>
      <w:hyperlink r:id="rId24" w:history="1">
        <w:r>
          <w:rPr>
            <w:rFonts w:ascii="arial" w:eastAsia="arial" w:hAnsi="arial" w:cs="arial"/>
            <w:b w:val="0"/>
            <w:i/>
            <w:strike w:val="0"/>
            <w:noProof w:val="0"/>
            <w:color w:val="0077CC"/>
            <w:position w:val="0"/>
            <w:sz w:val="20"/>
            <w:u w:val="single"/>
            <w:vertAlign w:val="baseline"/>
          </w:rPr>
          <w:t>Estelle v. Gamble</w:t>
        </w:r>
      </w:hyperlink>
      <w:hyperlink r:id="rId24" w:history="1">
        <w:r>
          <w:rPr>
            <w:rFonts w:ascii="arial" w:eastAsia="arial" w:hAnsi="arial" w:cs="arial"/>
            <w:b w:val="0"/>
            <w:i/>
            <w:strike w:val="0"/>
            <w:noProof w:val="0"/>
            <w:color w:val="0077CC"/>
            <w:position w:val="0"/>
            <w:sz w:val="20"/>
            <w:u w:val="single"/>
            <w:vertAlign w:val="baseline"/>
          </w:rPr>
          <w:t>, 429 U.S. 97, 106, 97 S. Ct. 285, 50 L. Ed. 2d 251 (1976)</w:t>
        </w:r>
      </w:hyperlink>
      <w:r>
        <w:rPr>
          <w:rFonts w:ascii="arial" w:eastAsia="arial" w:hAnsi="arial" w:cs="arial"/>
          <w:b w:val="0"/>
          <w:i w:val="0"/>
          <w:strike w:val="0"/>
          <w:noProof w:val="0"/>
          <w:color w:val="000000"/>
          <w:position w:val="0"/>
          <w:sz w:val="20"/>
          <w:u w:val="none"/>
          <w:vertAlign w:val="baseline"/>
        </w:rPr>
        <w:t xml:space="preserve">. But "liberal construction does not require that the Court . . . create causes of action where there are none." </w:t>
      </w:r>
      <w:hyperlink r:id="rId25" w:history="1">
        <w:r>
          <w:rPr>
            <w:rFonts w:ascii="arial" w:eastAsia="arial" w:hAnsi="arial" w:cs="arial"/>
            <w:b w:val="0"/>
            <w:i/>
            <w:strike w:val="0"/>
            <w:noProof w:val="0"/>
            <w:color w:val="0077CC"/>
            <w:position w:val="0"/>
            <w:sz w:val="20"/>
            <w:u w:val="single"/>
            <w:vertAlign w:val="baseline"/>
          </w:rPr>
          <w:t>Smith v. CVS Caremark Corp.</w:t>
        </w:r>
      </w:hyperlink>
      <w:hyperlink r:id="rId25" w:history="1">
        <w:r>
          <w:rPr>
            <w:rFonts w:ascii="arial" w:eastAsia="arial" w:hAnsi="arial" w:cs="arial"/>
            <w:b w:val="0"/>
            <w:i/>
            <w:strike w:val="0"/>
            <w:noProof w:val="0"/>
            <w:color w:val="0077CC"/>
            <w:position w:val="0"/>
            <w:sz w:val="20"/>
            <w:u w:val="single"/>
            <w:vertAlign w:val="baseline"/>
          </w:rPr>
          <w:t>, Civil Action No. 3:12-cv-2465-B, 2013 U.S. Dist. LEXIS 73599, 2013 WL 2291886, at *8 (N.D. Tex. May 23, 2013)</w:t>
        </w:r>
      </w:hyperlink>
      <w:r>
        <w:rPr>
          <w:rFonts w:ascii="arial" w:eastAsia="arial" w:hAnsi="arial" w:cs="arial"/>
          <w:b w:val="0"/>
          <w:i w:val="0"/>
          <w:strike w:val="0"/>
          <w:noProof w:val="0"/>
          <w:color w:val="000000"/>
          <w:position w:val="0"/>
          <w:sz w:val="20"/>
          <w:u w:val="none"/>
          <w:vertAlign w:val="baseline"/>
        </w:rPr>
        <w:t xml:space="preserve">. "To demand otherwise would require the 'courts to explore exhaustively all potential claims of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plaintiff'" and would "'transform the district court from its legitimate advisory role to the improper role of an advocate seeking out the strongest arguments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and most successful strategies for a party.'" </w:t>
      </w:r>
      <w:hyperlink r:id="rId26" w:history="1">
        <w:r>
          <w:rPr>
            <w:rFonts w:ascii="arial" w:eastAsia="arial" w:hAnsi="arial" w:cs="arial"/>
            <w:b w:val="0"/>
            <w:i/>
            <w:strike w:val="0"/>
            <w:noProof w:val="0"/>
            <w:color w:val="0077CC"/>
            <w:position w:val="0"/>
            <w:sz w:val="20"/>
            <w:u w:val="single"/>
            <w:vertAlign w:val="baseline"/>
          </w:rPr>
          <w:t>Jones v. Mangrum</w:t>
        </w:r>
      </w:hyperlink>
      <w:hyperlink r:id="rId26" w:history="1">
        <w:r>
          <w:rPr>
            <w:rFonts w:ascii="arial" w:eastAsia="arial" w:hAnsi="arial" w:cs="arial"/>
            <w:b w:val="0"/>
            <w:i/>
            <w:strike w:val="0"/>
            <w:noProof w:val="0"/>
            <w:color w:val="0077CC"/>
            <w:position w:val="0"/>
            <w:sz w:val="20"/>
            <w:u w:val="single"/>
            <w:vertAlign w:val="baseline"/>
          </w:rPr>
          <w:t>, No. 3:16-cv-3137, 2017 U.S. Dist. LEXIS 25584, 2017 WL 712755, at *1 (M.D. Tenn. Feb. 23, 2017)</w:t>
        </w:r>
      </w:hyperlink>
      <w:r>
        <w:rPr>
          <w:rFonts w:ascii="arial" w:eastAsia="arial" w:hAnsi="arial" w:cs="arial"/>
          <w:b w:val="0"/>
          <w:i w:val="0"/>
          <w:strike w:val="0"/>
          <w:noProof w:val="0"/>
          <w:color w:val="000000"/>
          <w:position w:val="0"/>
          <w:sz w:val="20"/>
          <w:u w:val="none"/>
          <w:vertAlign w:val="baseline"/>
        </w:rPr>
        <w:t xml:space="preserve"> (quoting </w:t>
      </w:r>
      <w:hyperlink r:id="rId27" w:history="1">
        <w:r>
          <w:rPr>
            <w:rFonts w:ascii="arial" w:eastAsia="arial" w:hAnsi="arial" w:cs="arial"/>
            <w:b w:val="0"/>
            <w:i/>
            <w:strike w:val="0"/>
            <w:noProof w:val="0"/>
            <w:color w:val="0077CC"/>
            <w:position w:val="0"/>
            <w:sz w:val="20"/>
            <w:u w:val="single"/>
            <w:vertAlign w:val="baseline"/>
          </w:rPr>
          <w:t>Beaudett v. City of Hampton</w:t>
        </w:r>
      </w:hyperlink>
      <w:hyperlink r:id="rId27" w:history="1">
        <w:r>
          <w:rPr>
            <w:rFonts w:ascii="arial" w:eastAsia="arial" w:hAnsi="arial" w:cs="arial"/>
            <w:b w:val="0"/>
            <w:i/>
            <w:strike w:val="0"/>
            <w:noProof w:val="0"/>
            <w:color w:val="0077CC"/>
            <w:position w:val="0"/>
            <w:sz w:val="20"/>
            <w:u w:val="single"/>
            <w:vertAlign w:val="baseline"/>
          </w:rPr>
          <w:t>, 775 F.2d 1274, 1278 (4th Cir. 1985)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 w:name="Bookmark_para_9"/>
      <w:bookmarkEnd w:id="16"/>
      <w:r>
        <w:rPr>
          <w:rFonts w:ascii="arial" w:eastAsia="arial" w:hAnsi="arial" w:cs="arial"/>
          <w:b w:val="0"/>
          <w:i w:val="0"/>
          <w:strike w:val="0"/>
          <w:noProof w:val="0"/>
          <w:color w:val="000000"/>
          <w:position w:val="0"/>
          <w:sz w:val="20"/>
          <w:u w:val="none"/>
          <w:vertAlign w:val="baseline"/>
        </w:rPr>
        <w:t xml:space="preserve">Ultimately, "'[d]etermining whether a complaint states a plausible claim for relief' is 'a context-specific task that requires the reviewing court to draw on its judicial experience and common sense.'" </w:t>
      </w:r>
      <w:hyperlink r:id="rId28" w:history="1">
        <w:r>
          <w:rPr>
            <w:rFonts w:ascii="arial" w:eastAsia="arial" w:hAnsi="arial" w:cs="arial"/>
            <w:b w:val="0"/>
            <w:i/>
            <w:strike w:val="0"/>
            <w:noProof w:val="0"/>
            <w:color w:val="0077CC"/>
            <w:position w:val="0"/>
            <w:sz w:val="20"/>
            <w:u w:val="single"/>
            <w:vertAlign w:val="baseline"/>
          </w:rPr>
          <w:t>Inclusive Communities Project, Inc. v. Lincoln Prop. Co.</w:t>
        </w:r>
      </w:hyperlink>
      <w:hyperlink r:id="rId28" w:history="1">
        <w:r>
          <w:rPr>
            <w:rFonts w:ascii="arial" w:eastAsia="arial" w:hAnsi="arial" w:cs="arial"/>
            <w:b w:val="0"/>
            <w:i/>
            <w:strike w:val="0"/>
            <w:noProof w:val="0"/>
            <w:color w:val="0077CC"/>
            <w:position w:val="0"/>
            <w:sz w:val="20"/>
            <w:u w:val="single"/>
            <w:vertAlign w:val="baseline"/>
          </w:rPr>
          <w:t>, 920 F.3d 890, 899 (5th Cir. 2019)</w:t>
        </w:r>
      </w:hyperlink>
      <w:r>
        <w:rPr>
          <w:rFonts w:ascii="arial" w:eastAsia="arial" w:hAnsi="arial" w:cs="arial"/>
          <w:b w:val="0"/>
          <w:i w:val="0"/>
          <w:strike w:val="0"/>
          <w:noProof w:val="0"/>
          <w:color w:val="000000"/>
          <w:position w:val="0"/>
          <w:sz w:val="20"/>
          <w:u w:val="none"/>
          <w:vertAlign w:val="baseline"/>
        </w:rPr>
        <w:t xml:space="preserve"> (quoting </w:t>
      </w:r>
      <w:hyperlink r:id="rId20" w:history="1">
        <w:r>
          <w:rPr>
            <w:rFonts w:ascii="arial" w:eastAsia="arial" w:hAnsi="arial" w:cs="arial"/>
            <w:b w:val="0"/>
            <w:i/>
            <w:strike w:val="0"/>
            <w:noProof w:val="0"/>
            <w:color w:val="0077CC"/>
            <w:position w:val="0"/>
            <w:sz w:val="20"/>
            <w:u w:val="single"/>
            <w:vertAlign w:val="baseline"/>
          </w:rPr>
          <w:t>Iqbal</w:t>
        </w:r>
      </w:hyperlink>
      <w:hyperlink r:id="rId20" w:history="1">
        <w:r>
          <w:rPr>
            <w:rFonts w:ascii="arial" w:eastAsia="arial" w:hAnsi="arial" w:cs="arial"/>
            <w:b w:val="0"/>
            <w:i/>
            <w:strike w:val="0"/>
            <w:noProof w:val="0"/>
            <w:color w:val="0077CC"/>
            <w:position w:val="0"/>
            <w:sz w:val="20"/>
            <w:u w:val="single"/>
            <w:vertAlign w:val="baseline"/>
          </w:rPr>
          <w:t>, 556 U.S. at 679</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 FACTUAL BACKGROUND</w:t>
      </w:r>
    </w:p>
    <w:p>
      <w:pPr>
        <w:keepNext w:val="0"/>
        <w:spacing w:before="240" w:after="0" w:line="260" w:lineRule="atLeast"/>
        <w:ind w:left="0" w:right="0" w:firstLine="0"/>
        <w:jc w:val="both"/>
      </w:pPr>
      <w:bookmarkStart w:id="17" w:name="Bookmark_para_10"/>
      <w:bookmarkEnd w:id="17"/>
      <w:r>
        <w:rPr>
          <w:rFonts w:ascii="arial" w:eastAsia="arial" w:hAnsi="arial" w:cs="arial"/>
          <w:b w:val="0"/>
          <w:i w:val="0"/>
          <w:strike w:val="0"/>
          <w:noProof w:val="0"/>
          <w:color w:val="000000"/>
          <w:position w:val="0"/>
          <w:sz w:val="20"/>
          <w:u w:val="none"/>
          <w:vertAlign w:val="baseline"/>
        </w:rPr>
        <w:t xml:space="preserve">Malachowski complains about events occurring between 2016-2019 and beginning with his time at the United States Penitentiary in Atlanta (USP Atlanta-Satellite Camp).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Dkt. No. 14. Malachowski, a Canadian citizen, is a federal prisoner currently incarcerated at FCI Seagoville. The Court takes judicial notice of his cases of conviction in the Northern District of New York, including, among others, Unlawful Entry by an Alien into the United States in violation of </w:t>
      </w:r>
      <w:hyperlink r:id="rId29" w:history="1">
        <w:r>
          <w:rPr>
            <w:rFonts w:ascii="arial" w:eastAsia="arial" w:hAnsi="arial" w:cs="arial"/>
            <w:b w:val="0"/>
            <w:i/>
            <w:strike w:val="0"/>
            <w:noProof w:val="0"/>
            <w:color w:val="0077CC"/>
            <w:position w:val="0"/>
            <w:sz w:val="20"/>
            <w:u w:val="single"/>
            <w:vertAlign w:val="baseline"/>
          </w:rPr>
          <w:t>8 U.S.C. § 1325(a)</w:t>
        </w:r>
      </w:hyperlink>
      <w:r>
        <w:rPr>
          <w:rFonts w:ascii="arial" w:eastAsia="arial" w:hAnsi="arial" w:cs="arial"/>
          <w:b w:val="0"/>
          <w:i w:val="0"/>
          <w:strike w:val="0"/>
          <w:noProof w:val="0"/>
          <w:color w:val="000000"/>
          <w:position w:val="0"/>
          <w:sz w:val="20"/>
          <w:u w:val="none"/>
          <w:vertAlign w:val="baseline"/>
        </w:rPr>
        <w:t xml:space="preserve">, Illegal Reentry After Deportation or Removal in violation of </w:t>
      </w:r>
      <w:hyperlink r:id="rId30" w:history="1">
        <w:r>
          <w:rPr>
            <w:rFonts w:ascii="arial" w:eastAsia="arial" w:hAnsi="arial" w:cs="arial"/>
            <w:b w:val="0"/>
            <w:i/>
            <w:strike w:val="0"/>
            <w:noProof w:val="0"/>
            <w:color w:val="0077CC"/>
            <w:position w:val="0"/>
            <w:sz w:val="20"/>
            <w:u w:val="single"/>
            <w:vertAlign w:val="baseline"/>
          </w:rPr>
          <w:t>8 U.S.C. § 1326(a)</w:t>
        </w:r>
      </w:hyperlink>
      <w:r>
        <w:rPr>
          <w:rFonts w:ascii="arial" w:eastAsia="arial" w:hAnsi="arial" w:cs="arial"/>
          <w:b w:val="0"/>
          <w:i w:val="0"/>
          <w:strike w:val="0"/>
          <w:noProof w:val="0"/>
          <w:color w:val="000000"/>
          <w:position w:val="0"/>
          <w:sz w:val="20"/>
          <w:u w:val="none"/>
          <w:vertAlign w:val="baseline"/>
        </w:rPr>
        <w:t xml:space="preserve">, and Unlawful Alien in Possession of Firearms in violation of </w:t>
      </w:r>
      <w:hyperlink r:id="rId31" w:history="1">
        <w:r>
          <w:rPr>
            <w:rFonts w:ascii="arial" w:eastAsia="arial" w:hAnsi="arial" w:cs="arial"/>
            <w:b w:val="0"/>
            <w:i/>
            <w:strike w:val="0"/>
            <w:noProof w:val="0"/>
            <w:color w:val="0077CC"/>
            <w:position w:val="0"/>
            <w:sz w:val="20"/>
            <w:u w:val="single"/>
            <w:vertAlign w:val="baseline"/>
          </w:rPr>
          <w:t>18 U.S.C. § 922(g)(5)(A)</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Each of Malachowski's convictions, including those related to his alien status, appears to have been affirmed on appeal.</w:t>
      </w:r>
    </w:p>
    <w:p>
      <w:pPr>
        <w:keepNext w:val="0"/>
        <w:spacing w:before="200" w:after="0" w:line="260" w:lineRule="atLeast"/>
        <w:ind w:left="0" w:right="0" w:firstLine="0"/>
        <w:jc w:val="both"/>
      </w:pPr>
      <w:bookmarkStart w:id="19" w:name="Bookmark_para_11"/>
      <w:bookmarkEnd w:id="19"/>
      <w:r>
        <w:rPr>
          <w:rFonts w:ascii="arial" w:eastAsia="arial" w:hAnsi="arial" w:cs="arial"/>
          <w:b w:val="0"/>
          <w:i w:val="0"/>
          <w:strike w:val="0"/>
          <w:noProof w:val="0"/>
          <w:color w:val="000000"/>
          <w:position w:val="0"/>
          <w:sz w:val="20"/>
          <w:u w:val="none"/>
          <w:vertAlign w:val="baseline"/>
        </w:rPr>
        <w:t>Malachowski's factual allegations involve his being transferred among prisons in retaliation for the exercise of his constitutional rights, the falsification of government documents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by BOP officials in furtherance of acts of retaliation, failures on the parts of BOP officials to protect him from inmate attack, deliberate indifference to his serious medical needs, and a loss of property during one of his transfers.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Nos. 14, 28. Due to the varied nature of Malachowski's claims, his factual allegations are discussed separately and more specifically below with each claim.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 DISCUSSION AND ANALYSIS</w:t>
      </w:r>
    </w:p>
    <w:p>
      <w:pPr>
        <w:keepNext w:val="0"/>
        <w:spacing w:before="240" w:after="0" w:line="260" w:lineRule="atLeast"/>
        <w:ind w:left="0" w:right="0" w:firstLine="0"/>
        <w:jc w:val="both"/>
      </w:pPr>
      <w:bookmarkStart w:id="20" w:name="Bookmark_para_12"/>
      <w:bookmarkEnd w:id="20"/>
      <w:r>
        <w:rPr>
          <w:rFonts w:ascii="arial" w:eastAsia="arial" w:hAnsi="arial" w:cs="arial"/>
          <w:b w:val="0"/>
          <w:i w:val="0"/>
          <w:strike w:val="0"/>
          <w:noProof w:val="0"/>
          <w:color w:val="000000"/>
          <w:position w:val="0"/>
          <w:sz w:val="20"/>
          <w:u w:val="none"/>
          <w:vertAlign w:val="baseline"/>
        </w:rPr>
        <w:t>Malachowski brings numerous claims against several potential parties. But when asked in his Questionnaire to specifically identify each defendant and each claim he seeks to include in this lawsuit, Malachowski clarifies that he brings claims against the United States and six BOP officials for acts occurring at federal facilities in Texas, Georgia, Oklahoma, and Louisiana.</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Dkt. No. 28 at 6, 7. Malachowski brings his claim against the United States under the FTCA and his claims against the individual defendants under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The Court takes each in turn, beginning with the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Bivens</w:t>
      </w:r>
      <w:r>
        <w:rPr>
          <w:rFonts w:ascii="arial" w:eastAsia="arial" w:hAnsi="arial" w:cs="arial"/>
          <w:b/>
          <w:i w:val="0"/>
          <w:strike w:val="0"/>
          <w:noProof w:val="0"/>
          <w:color w:val="000000"/>
          <w:position w:val="0"/>
          <w:sz w:val="20"/>
          <w:u w:val="single"/>
          <w:vertAlign w:val="baseline"/>
        </w:rPr>
        <w:t xml:space="preserve"> claims</w:t>
      </w:r>
    </w:p>
    <w:p>
      <w:pPr>
        <w:keepNext w:val="0"/>
        <w:spacing w:before="240" w:after="0" w:line="260" w:lineRule="atLeast"/>
        <w:ind w:left="0" w:right="0" w:firstLine="0"/>
        <w:jc w:val="both"/>
      </w:pPr>
      <w:bookmarkStart w:id="22" w:name="Bookmark_para_13"/>
      <w:bookmarkEnd w:id="22"/>
      <w:r>
        <w:rPr>
          <w:rFonts w:ascii="arial" w:eastAsia="arial" w:hAnsi="arial" w:cs="arial"/>
          <w:b w:val="0"/>
          <w:i w:val="0"/>
          <w:strike w:val="0"/>
          <w:noProof w:val="0"/>
          <w:color w:val="000000"/>
          <w:position w:val="0"/>
          <w:sz w:val="20"/>
          <w:u w:val="none"/>
          <w:vertAlign w:val="baseline"/>
        </w:rPr>
        <w:t xml:space="preserve">Although Malachowski references Section 1983 in addition to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the events he complains of occurred while he was a federal prisoner. And because Section 1983 claims require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that a defendant acted under state law, federal officials are not suable under Section 1983. While there is no statutory counterpart to Section 1983 for claims against federal officials, beginning in 1971 with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the Supreme Court recognized "an implied private action for damages against federal officers alleged to have violated a citizen's constitutional rights." </w:t>
      </w:r>
      <w:hyperlink r:id="rId32" w:history="1">
        <w:r>
          <w:rPr>
            <w:rFonts w:ascii="arial" w:eastAsia="arial" w:hAnsi="arial" w:cs="arial"/>
            <w:b w:val="0"/>
            <w:i/>
            <w:strike w:val="0"/>
            <w:noProof w:val="0"/>
            <w:color w:val="0077CC"/>
            <w:position w:val="0"/>
            <w:sz w:val="20"/>
            <w:u w:val="single"/>
            <w:vertAlign w:val="baseline"/>
          </w:rPr>
          <w:t>Correctional Servs. Corp. v. Malesko</w:t>
        </w:r>
      </w:hyperlink>
      <w:hyperlink r:id="rId32" w:history="1">
        <w:r>
          <w:rPr>
            <w:rFonts w:ascii="arial" w:eastAsia="arial" w:hAnsi="arial" w:cs="arial"/>
            <w:b w:val="0"/>
            <w:i/>
            <w:strike w:val="0"/>
            <w:noProof w:val="0"/>
            <w:color w:val="0077CC"/>
            <w:position w:val="0"/>
            <w:sz w:val="20"/>
            <w:u w:val="single"/>
            <w:vertAlign w:val="baseline"/>
          </w:rPr>
          <w:t>, 534 U.S. 61, 66, 122 S. Ct. 515, 151 L. Ed. 2d 456 (2001)</w:t>
        </w:r>
      </w:hyperlink>
      <w:r>
        <w:rPr>
          <w:rFonts w:ascii="arial" w:eastAsia="arial" w:hAnsi="arial" w:cs="arial"/>
          <w:b w:val="0"/>
          <w:i w:val="0"/>
          <w:strike w:val="0"/>
          <w:noProof w:val="0"/>
          <w:color w:val="000000"/>
          <w:position w:val="0"/>
          <w:sz w:val="20"/>
          <w:u w:val="none"/>
          <w:vertAlign w:val="baseline"/>
        </w:rPr>
        <w:t xml:space="preserve">. But including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the Supreme Court has only recognized such an implied cause of action in three instances: when federal officers violate the prohibition against unreasonable search and seizures in violation of the </w:t>
      </w:r>
      <w:hyperlink r:id="rId3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for gender discrimination under the </w:t>
      </w:r>
      <w:hyperlink r:id="rId34" w:history="1">
        <w:r>
          <w:rPr>
            <w:rFonts w:ascii="arial" w:eastAsia="arial" w:hAnsi="arial" w:cs="arial"/>
            <w:b w:val="0"/>
            <w:i/>
            <w:strike w:val="0"/>
            <w:noProof w:val="0"/>
            <w:color w:val="0077CC"/>
            <w:position w:val="0"/>
            <w:sz w:val="20"/>
            <w:u w:val="single"/>
            <w:vertAlign w:val="baseline"/>
          </w:rPr>
          <w:t>Due Process Clause of the Fifth Amendment</w:t>
        </w:r>
      </w:hyperlink>
      <w:r>
        <w:rPr>
          <w:rFonts w:ascii="arial" w:eastAsia="arial" w:hAnsi="arial" w:cs="arial"/>
          <w:b w:val="0"/>
          <w:i w:val="0"/>
          <w:strike w:val="0"/>
          <w:noProof w:val="0"/>
          <w:color w:val="000000"/>
          <w:position w:val="0"/>
          <w:sz w:val="20"/>
          <w:u w:val="none"/>
          <w:vertAlign w:val="baseline"/>
        </w:rPr>
        <w:t xml:space="preserve">, and "for failing to provide adequate medical treatment as required by the </w:t>
      </w:r>
      <w:hyperlink r:id="rId35" w:history="1">
        <w:r>
          <w:rPr>
            <w:rFonts w:ascii="arial" w:eastAsia="arial" w:hAnsi="arial" w:cs="arial"/>
            <w:b w:val="0"/>
            <w:i/>
            <w:strike w:val="0"/>
            <w:noProof w:val="0"/>
            <w:color w:val="0077CC"/>
            <w:position w:val="0"/>
            <w:sz w:val="20"/>
            <w:u w:val="single"/>
            <w:vertAlign w:val="baseline"/>
          </w:rPr>
          <w:t>Cruel and Unusual Punishment Clause of the Eighth Amendment</w:t>
        </w:r>
      </w:hyperlink>
      <w:r>
        <w:rPr>
          <w:rFonts w:ascii="arial" w:eastAsia="arial" w:hAnsi="arial" w:cs="arial"/>
          <w:b w:val="0"/>
          <w:i w:val="0"/>
          <w:strike w:val="0"/>
          <w:noProof w:val="0"/>
          <w:color w:val="000000"/>
          <w:position w:val="0"/>
          <w:sz w:val="20"/>
          <w:u w:val="none"/>
          <w:vertAlign w:val="baseline"/>
        </w:rPr>
        <w:t xml:space="preserve">." </w:t>
      </w:r>
      <w:hyperlink r:id="rId36" w:history="1">
        <w:r>
          <w:rPr>
            <w:rFonts w:ascii="arial" w:eastAsia="arial" w:hAnsi="arial" w:cs="arial"/>
            <w:b w:val="0"/>
            <w:i/>
            <w:strike w:val="0"/>
            <w:noProof w:val="0"/>
            <w:color w:val="0077CC"/>
            <w:position w:val="0"/>
            <w:sz w:val="20"/>
            <w:u w:val="single"/>
            <w:vertAlign w:val="baseline"/>
          </w:rPr>
          <w:t>Johnson v. Gann</w:t>
        </w:r>
      </w:hyperlink>
      <w:hyperlink r:id="rId36" w:history="1">
        <w:r>
          <w:rPr>
            <w:rFonts w:ascii="arial" w:eastAsia="arial" w:hAnsi="arial" w:cs="arial"/>
            <w:b w:val="0"/>
            <w:i/>
            <w:strike w:val="0"/>
            <w:noProof w:val="0"/>
            <w:color w:val="0077CC"/>
            <w:position w:val="0"/>
            <w:sz w:val="20"/>
            <w:u w:val="single"/>
            <w:vertAlign w:val="baseline"/>
          </w:rPr>
          <w:t>, No. 1:19-CV-5, 2022 U.S. Dist. LEXIS 43751, 2022 WL 772953 at *3 (E.D. Tex. Feb. 15, 2022)</w:t>
        </w:r>
      </w:hyperlink>
      <w:r>
        <w:rPr>
          <w:rFonts w:ascii="arial" w:eastAsia="arial" w:hAnsi="arial" w:cs="arial"/>
          <w:b w:val="0"/>
          <w:i w:val="0"/>
          <w:strike w:val="0"/>
          <w:noProof w:val="0"/>
          <w:color w:val="000000"/>
          <w:position w:val="0"/>
          <w:sz w:val="20"/>
          <w:u w:val="none"/>
          <w:vertAlign w:val="baseline"/>
        </w:rPr>
        <w:t xml:space="preserve"> (citing </w:t>
      </w:r>
      <w:hyperlink r:id="rId37" w:history="1">
        <w:r>
          <w:rPr>
            <w:rFonts w:ascii="arial" w:eastAsia="arial" w:hAnsi="arial" w:cs="arial"/>
            <w:b w:val="0"/>
            <w:i/>
            <w:strike w:val="0"/>
            <w:noProof w:val="0"/>
            <w:color w:val="0077CC"/>
            <w:position w:val="0"/>
            <w:sz w:val="20"/>
            <w:u w:val="single"/>
            <w:vertAlign w:val="baseline"/>
          </w:rPr>
          <w:t>Carlson v. Green</w:t>
        </w:r>
      </w:hyperlink>
      <w:hyperlink r:id="rId37" w:history="1">
        <w:r>
          <w:rPr>
            <w:rFonts w:ascii="arial" w:eastAsia="arial" w:hAnsi="arial" w:cs="arial"/>
            <w:b w:val="0"/>
            <w:i/>
            <w:strike w:val="0"/>
            <w:noProof w:val="0"/>
            <w:color w:val="0077CC"/>
            <w:position w:val="0"/>
            <w:sz w:val="20"/>
            <w:u w:val="single"/>
            <w:vertAlign w:val="baseline"/>
          </w:rPr>
          <w:t>, 446 U.S. 14, 25, 100 S. Ct. 1468, 64 L. Ed. 2d 15 (1980)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hyperlink r:id="rId38" w:history="1">
        <w:r>
          <w:rPr>
            <w:rFonts w:ascii="arial" w:eastAsia="arial" w:hAnsi="arial" w:cs="arial"/>
            <w:b w:val="0"/>
            <w:i/>
            <w:strike w:val="0"/>
            <w:noProof w:val="0"/>
            <w:color w:val="0077CC"/>
            <w:position w:val="0"/>
            <w:sz w:val="20"/>
            <w:u w:val="single"/>
            <w:vertAlign w:val="baseline"/>
          </w:rPr>
          <w:t>No. 1:19-CV-5, 2022 U.S. Dist. LEXIS 43596, 2022 WL 759526 (E.D. Tex. Mar. 11, 2022)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 w:name="Bookmark_para_14"/>
      <w:bookmarkEnd w:id="23"/>
      <w:r>
        <w:rPr>
          <w:rFonts w:ascii="arial" w:eastAsia="arial" w:hAnsi="arial" w:cs="arial"/>
          <w:b w:val="0"/>
          <w:i w:val="0"/>
          <w:strike w:val="0"/>
          <w:noProof w:val="0"/>
          <w:color w:val="000000"/>
          <w:position w:val="0"/>
          <w:sz w:val="20"/>
          <w:u w:val="none"/>
          <w:vertAlign w:val="baseline"/>
        </w:rPr>
        <w:t xml:space="preserve">In determining whether a claimant has stated a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claim, a two-step process occurs. </w:t>
      </w:r>
      <w:hyperlink r:id="rId39" w:history="1">
        <w:r>
          <w:rPr>
            <w:rFonts w:ascii="arial" w:eastAsia="arial" w:hAnsi="arial" w:cs="arial"/>
            <w:b w:val="0"/>
            <w:i/>
            <w:strike w:val="0"/>
            <w:noProof w:val="0"/>
            <w:color w:val="0077CC"/>
            <w:position w:val="0"/>
            <w:sz w:val="20"/>
            <w:u w:val="single"/>
            <w:vertAlign w:val="baseline"/>
          </w:rPr>
          <w:t>Hernandez v. Mesa</w:t>
        </w:r>
      </w:hyperlink>
      <w:hyperlink r:id="rId39" w:history="1">
        <w:r>
          <w:rPr>
            <w:rFonts w:ascii="arial" w:eastAsia="arial" w:hAnsi="arial" w:cs="arial"/>
            <w:b w:val="0"/>
            <w:i/>
            <w:strike w:val="0"/>
            <w:noProof w:val="0"/>
            <w:color w:val="0077CC"/>
            <w:position w:val="0"/>
            <w:sz w:val="20"/>
            <w:u w:val="single"/>
            <w:vertAlign w:val="baseline"/>
          </w:rPr>
          <w:t>, 140 S. Ct. 735, 743, 206 L. Ed. 2d 29 (2020)</w:t>
        </w:r>
      </w:hyperlink>
      <w:r>
        <w:rPr>
          <w:rFonts w:ascii="arial" w:eastAsia="arial" w:hAnsi="arial" w:cs="arial"/>
          <w:b w:val="0"/>
          <w:i w:val="0"/>
          <w:strike w:val="0"/>
          <w:noProof w:val="0"/>
          <w:color w:val="000000"/>
          <w:position w:val="0"/>
          <w:sz w:val="20"/>
          <w:u w:val="none"/>
          <w:vertAlign w:val="baseline"/>
        </w:rPr>
        <w:t xml:space="preserve">. First, the court must ask if the claim arises in a new context.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Meaning, the court must consider whether the claim is "'different in a meaningful way from [the three] previous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cases decided by this Court."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40" w:history="1">
        <w:r>
          <w:rPr>
            <w:rFonts w:ascii="arial" w:eastAsia="arial" w:hAnsi="arial" w:cs="arial"/>
            <w:b w:val="0"/>
            <w:i/>
            <w:strike w:val="0"/>
            <w:noProof w:val="0"/>
            <w:color w:val="0077CC"/>
            <w:position w:val="0"/>
            <w:sz w:val="20"/>
            <w:u w:val="single"/>
            <w:vertAlign w:val="baseline"/>
          </w:rPr>
          <w:t>Ziglar v. Abbasi</w:t>
        </w:r>
      </w:hyperlink>
      <w:hyperlink r:id="rId40" w:history="1">
        <w:r>
          <w:rPr>
            <w:rFonts w:ascii="arial" w:eastAsia="arial" w:hAnsi="arial" w:cs="arial"/>
            <w:b w:val="0"/>
            <w:i/>
            <w:strike w:val="0"/>
            <w:noProof w:val="0"/>
            <w:color w:val="0077CC"/>
            <w:position w:val="0"/>
            <w:sz w:val="20"/>
            <w:u w:val="single"/>
            <w:vertAlign w:val="baseline"/>
          </w:rPr>
          <w:t>, 582 U.S. 120, 137 S. Ct. 1843, 1859, 198 L. Ed. 2d 290 (2017)</w:t>
        </w:r>
      </w:hyperlink>
      <w:r>
        <w:rPr>
          <w:rFonts w:ascii="arial" w:eastAsia="arial" w:hAnsi="arial" w:cs="arial"/>
          <w:b w:val="0"/>
          <w:i w:val="0"/>
          <w:strike w:val="0"/>
          <w:noProof w:val="0"/>
          <w:color w:val="000000"/>
          <w:position w:val="0"/>
          <w:sz w:val="20"/>
          <w:u w:val="none"/>
          <w:vertAlign w:val="baseline"/>
        </w:rPr>
        <w:t xml:space="preserve">). If the claim does arise in a new context, then the second step requires the court to consider whether any special factors would caution the court in extending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to the new</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context at issue.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4" w:name="Bookmark_para_15"/>
      <w:bookmarkEnd w:id="24"/>
      <w:r>
        <w:rPr>
          <w:rFonts w:ascii="arial" w:eastAsia="arial" w:hAnsi="arial" w:cs="arial"/>
          <w:b w:val="0"/>
          <w:i w:val="0"/>
          <w:strike w:val="0"/>
          <w:noProof w:val="0"/>
          <w:color w:val="000000"/>
          <w:position w:val="0"/>
          <w:sz w:val="20"/>
          <w:u w:val="none"/>
          <w:vertAlign w:val="baseline"/>
        </w:rPr>
        <w:t xml:space="preserve">Although Malachowski purports to bring his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claims against the five federal officials in their official capacities, a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claim is a personal capacity claim against the official. Dkt. No. 28 at 6-7; </w:t>
      </w:r>
      <w:hyperlink r:id="rId41" w:history="1">
        <w:r>
          <w:rPr>
            <w:rFonts w:ascii="arial" w:eastAsia="arial" w:hAnsi="arial" w:cs="arial"/>
            <w:b w:val="0"/>
            <w:i/>
            <w:strike w:val="0"/>
            <w:noProof w:val="0"/>
            <w:color w:val="0077CC"/>
            <w:position w:val="0"/>
            <w:sz w:val="20"/>
            <w:u w:val="single"/>
            <w:vertAlign w:val="baseline"/>
          </w:rPr>
          <w:t>FDIC v. Meyer</w:t>
        </w:r>
      </w:hyperlink>
      <w:hyperlink r:id="rId41" w:history="1">
        <w:r>
          <w:rPr>
            <w:rFonts w:ascii="arial" w:eastAsia="arial" w:hAnsi="arial" w:cs="arial"/>
            <w:b w:val="0"/>
            <w:i/>
            <w:strike w:val="0"/>
            <w:noProof w:val="0"/>
            <w:color w:val="0077CC"/>
            <w:position w:val="0"/>
            <w:sz w:val="20"/>
            <w:u w:val="single"/>
            <w:vertAlign w:val="baseline"/>
          </w:rPr>
          <w:t>, 510 U.S. 471, 484-85, 114 S. Ct. 996, 127 L. Ed. 2d 308 (1994)</w:t>
        </w:r>
      </w:hyperlink>
      <w:r>
        <w:rPr>
          <w:rFonts w:ascii="arial" w:eastAsia="arial" w:hAnsi="arial" w:cs="arial"/>
          <w:b w:val="0"/>
          <w:i w:val="0"/>
          <w:strike w:val="0"/>
          <w:noProof w:val="0"/>
          <w:color w:val="000000"/>
          <w:position w:val="0"/>
          <w:sz w:val="20"/>
          <w:u w:val="none"/>
          <w:vertAlign w:val="baseline"/>
        </w:rPr>
        <w:t xml:space="preserve"> (holding that the purpose of the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remedy is to deter federal officers from acting unconstitutionally, not federal agencies); </w:t>
      </w:r>
      <w:r>
        <w:rPr>
          <w:rFonts w:ascii="arial" w:eastAsia="arial" w:hAnsi="arial" w:cs="arial"/>
          <w:b w:val="0"/>
          <w:i/>
          <w:strike w:val="0"/>
          <w:noProof w:val="0"/>
          <w:color w:val="000000"/>
          <w:position w:val="0"/>
          <w:sz w:val="20"/>
          <w:u w:val="none"/>
          <w:vertAlign w:val="baseline"/>
        </w:rPr>
        <w:t xml:space="preserve">see also </w:t>
      </w:r>
      <w:hyperlink r:id="rId20" w:history="1">
        <w:r>
          <w:rPr>
            <w:rFonts w:ascii="arial" w:eastAsia="arial" w:hAnsi="arial" w:cs="arial"/>
            <w:b w:val="0"/>
            <w:i/>
            <w:strike w:val="0"/>
            <w:noProof w:val="0"/>
            <w:color w:val="0077CC"/>
            <w:position w:val="0"/>
            <w:sz w:val="20"/>
            <w:u w:val="single"/>
            <w:vertAlign w:val="baseline"/>
          </w:rPr>
          <w:t>Iqbal</w:t>
        </w:r>
      </w:hyperlink>
      <w:hyperlink r:id="rId20" w:history="1">
        <w:r>
          <w:rPr>
            <w:rFonts w:ascii="arial" w:eastAsia="arial" w:hAnsi="arial" w:cs="arial"/>
            <w:b w:val="0"/>
            <w:i/>
            <w:strike w:val="0"/>
            <w:noProof w:val="0"/>
            <w:color w:val="0077CC"/>
            <w:position w:val="0"/>
            <w:sz w:val="20"/>
            <w:u w:val="single"/>
            <w:vertAlign w:val="baseline"/>
          </w:rPr>
          <w:t>, 556 U.S. 676-77</w:t>
        </w:r>
      </w:hyperlink>
      <w:r>
        <w:rPr>
          <w:rFonts w:ascii="arial" w:eastAsia="arial" w:hAnsi="arial" w:cs="arial"/>
          <w:b w:val="0"/>
          <w:i w:val="0"/>
          <w:strike w:val="0"/>
          <w:noProof w:val="0"/>
          <w:color w:val="000000"/>
          <w:position w:val="0"/>
          <w:sz w:val="20"/>
          <w:u w:val="none"/>
          <w:vertAlign w:val="baseline"/>
        </w:rPr>
        <w:t>. Consistent with this construction of Malachowski's claims is that he seeks to be awarded "compensation," (Dkt. No. 28 at 5-7) and</w:t>
      </w:r>
    </w:p>
    <w:p>
      <w:pPr>
        <w:keepNext w:val="0"/>
        <w:spacing w:before="240" w:after="0" w:line="260" w:lineRule="atLeast"/>
        <w:ind w:left="400" w:right="0" w:firstLine="0"/>
        <w:jc w:val="both"/>
      </w:pPr>
      <w:bookmarkStart w:id="25" w:name="Bookmark_para_16"/>
      <w:bookmarkEnd w:id="25"/>
      <w:r>
        <w:rPr>
          <w:rFonts w:ascii="arial" w:eastAsia="arial" w:hAnsi="arial" w:cs="arial"/>
          <w:b w:val="0"/>
          <w:i w:val="0"/>
          <w:strike w:val="0"/>
          <w:noProof w:val="0"/>
          <w:color w:val="000000"/>
          <w:position w:val="0"/>
          <w:sz w:val="20"/>
          <w:u w:val="none"/>
          <w:vertAlign w:val="baseline"/>
        </w:rPr>
        <w:t xml:space="preserve">Claims for monetary damages against federal employees in an official capacity based upon allegations of constitutional violations are barred because . . . [official capacity actions by federal employees] are considered as the actions of the federal agency by whom they are employed . . . [And] [i]t is well established that a federal agency is immune from an action predicated on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hyperlink r:id="rId42" w:history="1">
        <w:r>
          <w:rPr>
            <w:rFonts w:ascii="arial" w:eastAsia="arial" w:hAnsi="arial" w:cs="arial"/>
            <w:b w:val="0"/>
            <w:i/>
            <w:strike w:val="0"/>
            <w:color w:val="0077CC"/>
            <w:sz w:val="20"/>
            <w:u w:val="single"/>
            <w:vertAlign w:val="baseline"/>
          </w:rPr>
          <w:t>Lineberry v. Lappin</w:t>
        </w:r>
      </w:hyperlink>
      <w:hyperlink r:id="rId42" w:history="1">
        <w:r>
          <w:rPr>
            <w:rFonts w:ascii="arial" w:eastAsia="arial" w:hAnsi="arial" w:cs="arial"/>
            <w:b w:val="0"/>
            <w:i/>
            <w:strike w:val="0"/>
            <w:color w:val="0077CC"/>
            <w:sz w:val="20"/>
            <w:u w:val="single"/>
            <w:vertAlign w:val="baseline"/>
          </w:rPr>
          <w:t>, No. 3:06-CV-1326-N, 2007 U.S. Dist. LEXIS 20872, 2007 WL 891237 at *2 (N.D. Tex. Mar. 22, 2007)</w:t>
        </w:r>
      </w:hyperlink>
      <w:r>
        <w:rPr>
          <w:rFonts w:ascii="arial" w:eastAsia="arial" w:hAnsi="arial" w:cs="arial"/>
          <w:b w:val="0"/>
          <w:i w:val="0"/>
          <w:strike w:val="0"/>
          <w:noProof w:val="0"/>
          <w:color w:val="000000"/>
          <w:position w:val="0"/>
          <w:sz w:val="20"/>
          <w:u w:val="none"/>
          <w:vertAlign w:val="baseline"/>
        </w:rPr>
        <w:t xml:space="preserve">. Thus, sovereign immunity prohibits Malachowski's official capacity claims that do not fall under either the FTCA or some other waiver of sovereign immunity. </w:t>
      </w:r>
      <w:r>
        <w:rPr>
          <w:rFonts w:ascii="arial" w:eastAsia="arial" w:hAnsi="arial" w:cs="arial"/>
          <w:b w:val="0"/>
          <w:i/>
          <w:strike w:val="0"/>
          <w:noProof w:val="0"/>
          <w:color w:val="000000"/>
          <w:position w:val="0"/>
          <w:sz w:val="20"/>
          <w:u w:val="none"/>
          <w:vertAlign w:val="baseline"/>
        </w:rPr>
        <w:t>See id.</w:t>
      </w:r>
    </w:p>
    <w:p>
      <w:pPr>
        <w:keepNext w:val="0"/>
        <w:spacing w:before="240" w:after="0" w:line="260" w:lineRule="atLeast"/>
        <w:ind w:left="0" w:right="0" w:firstLine="0"/>
        <w:jc w:val="both"/>
      </w:pPr>
      <w:bookmarkStart w:id="26" w:name="Bookmark_para_17"/>
      <w:bookmarkEnd w:id="26"/>
      <w:r>
        <w:rPr>
          <w:rFonts w:ascii="arial" w:eastAsia="arial" w:hAnsi="arial" w:cs="arial"/>
          <w:b w:val="0"/>
          <w:i w:val="0"/>
          <w:strike w:val="0"/>
          <w:noProof w:val="0"/>
          <w:color w:val="000000"/>
          <w:position w:val="0"/>
          <w:sz w:val="20"/>
          <w:u w:val="none"/>
          <w:vertAlign w:val="baseline"/>
        </w:rPr>
        <w:t>But even when liberally construing Malachowski's Second Amended Complaint as also bringing claims against Defendants in their individual capacities, the Court finds most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of them barred by the statute of limitations. A party must comply with the required statute of limitations before bringing a successful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claim.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claims are governed by the forum state's statute of limitations. </w:t>
      </w:r>
      <w:r>
        <w:rPr>
          <w:rFonts w:ascii="arial" w:eastAsia="arial" w:hAnsi="arial" w:cs="arial"/>
          <w:b w:val="0"/>
          <w:i/>
          <w:strike w:val="0"/>
          <w:noProof w:val="0"/>
          <w:color w:val="000000"/>
          <w:position w:val="0"/>
          <w:sz w:val="20"/>
          <w:u w:val="none"/>
          <w:vertAlign w:val="baseline"/>
        </w:rPr>
        <w:t xml:space="preserve">See </w:t>
      </w:r>
      <w:hyperlink r:id="rId43" w:history="1">
        <w:r>
          <w:rPr>
            <w:rFonts w:ascii="arial" w:eastAsia="arial" w:hAnsi="arial" w:cs="arial"/>
            <w:b w:val="0"/>
            <w:i/>
            <w:strike w:val="0"/>
            <w:noProof w:val="0"/>
            <w:color w:val="0077CC"/>
            <w:position w:val="0"/>
            <w:sz w:val="20"/>
            <w:u w:val="single"/>
            <w:vertAlign w:val="baseline"/>
          </w:rPr>
          <w:t>Brown v. Nationsbank Corp.</w:t>
        </w:r>
      </w:hyperlink>
      <w:hyperlink r:id="rId43" w:history="1">
        <w:r>
          <w:rPr>
            <w:rFonts w:ascii="arial" w:eastAsia="arial" w:hAnsi="arial" w:cs="arial"/>
            <w:b w:val="0"/>
            <w:i/>
            <w:strike w:val="0"/>
            <w:noProof w:val="0"/>
            <w:color w:val="0077CC"/>
            <w:position w:val="0"/>
            <w:sz w:val="20"/>
            <w:u w:val="single"/>
            <w:vertAlign w:val="baseline"/>
          </w:rPr>
          <w:t>, 188 F.3d 579, 590 (5th Cir. 1999)</w:t>
        </w:r>
      </w:hyperlink>
      <w:r>
        <w:rPr>
          <w:rFonts w:ascii="arial" w:eastAsia="arial" w:hAnsi="arial" w:cs="arial"/>
          <w:b w:val="0"/>
          <w:i w:val="0"/>
          <w:strike w:val="0"/>
          <w:noProof w:val="0"/>
          <w:color w:val="000000"/>
          <w:position w:val="0"/>
          <w:sz w:val="20"/>
          <w:u w:val="none"/>
          <w:vertAlign w:val="baseline"/>
        </w:rPr>
        <w:t xml:space="preserve">; </w:t>
      </w:r>
      <w:hyperlink r:id="rId44" w:history="1">
        <w:r>
          <w:rPr>
            <w:rFonts w:ascii="arial" w:eastAsia="arial" w:hAnsi="arial" w:cs="arial"/>
            <w:b w:val="0"/>
            <w:i/>
            <w:strike w:val="0"/>
            <w:noProof w:val="0"/>
            <w:color w:val="0077CC"/>
            <w:position w:val="0"/>
            <w:sz w:val="20"/>
            <w:u w:val="single"/>
            <w:vertAlign w:val="baseline"/>
          </w:rPr>
          <w:t>Starks v. Hollier</w:t>
        </w:r>
      </w:hyperlink>
      <w:hyperlink r:id="rId44" w:history="1">
        <w:r>
          <w:rPr>
            <w:rFonts w:ascii="arial" w:eastAsia="arial" w:hAnsi="arial" w:cs="arial"/>
            <w:b w:val="0"/>
            <w:i/>
            <w:strike w:val="0"/>
            <w:noProof w:val="0"/>
            <w:color w:val="0077CC"/>
            <w:position w:val="0"/>
            <w:sz w:val="20"/>
            <w:u w:val="single"/>
            <w:vertAlign w:val="baseline"/>
          </w:rPr>
          <w:t>, 295 F. App'x 664, 665 (5th Cir. 2008)</w:t>
        </w:r>
      </w:hyperlink>
      <w:r>
        <w:rPr>
          <w:rFonts w:ascii="arial" w:eastAsia="arial" w:hAnsi="arial" w:cs="arial"/>
          <w:b w:val="0"/>
          <w:i w:val="0"/>
          <w:strike w:val="0"/>
          <w:noProof w:val="0"/>
          <w:color w:val="000000"/>
          <w:position w:val="0"/>
          <w:sz w:val="20"/>
          <w:u w:val="none"/>
          <w:vertAlign w:val="baseline"/>
        </w:rPr>
        <w:t xml:space="preserve"> (noting that a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action is analogous to a Section 1983 action and that federal courts should apply the statute of limitations and tolling provisions of the forum state). The Fifth Circuit has determined that when applying Texas law, "the statute of limitation period on a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claim is two years, the statute of limitations governing personal injuries in Texas." </w:t>
      </w:r>
      <w:r>
        <w:rPr>
          <w:rFonts w:ascii="arial" w:eastAsia="arial" w:hAnsi="arial" w:cs="arial"/>
          <w:b w:val="0"/>
          <w:i/>
          <w:strike w:val="0"/>
          <w:noProof w:val="0"/>
          <w:color w:val="000000"/>
          <w:position w:val="0"/>
          <w:sz w:val="20"/>
          <w:u w:val="none"/>
          <w:vertAlign w:val="baseline"/>
        </w:rPr>
        <w:t>Spotts v. United States</w:t>
      </w:r>
      <w:r>
        <w:rPr>
          <w:rFonts w:ascii="arial" w:eastAsia="arial" w:hAnsi="arial" w:cs="arial"/>
          <w:b w:val="0"/>
          <w:i/>
          <w:strike w:val="0"/>
          <w:noProof w:val="0"/>
          <w:color w:val="000000"/>
          <w:position w:val="0"/>
          <w:sz w:val="20"/>
          <w:u w:val="none"/>
          <w:vertAlign w:val="baseline"/>
        </w:rPr>
        <w:t>, 613 F.3d 559, 573 (5th Cir. 2010)</w:t>
      </w:r>
      <w:r>
        <w:rPr>
          <w:rFonts w:ascii="arial" w:eastAsia="arial" w:hAnsi="arial" w:cs="arial"/>
          <w:b w:val="0"/>
          <w:i w:val="0"/>
          <w:strike w:val="0"/>
          <w:noProof w:val="0"/>
          <w:color w:val="000000"/>
          <w:position w:val="0"/>
          <w:sz w:val="20"/>
          <w:u w:val="none"/>
          <w:vertAlign w:val="baseline"/>
        </w:rPr>
        <w:t xml:space="preserve">. And because federal courts borrow the Texas statute of limitations in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cases, they also borrow Texas's equitable tolling principles. </w:t>
      </w:r>
      <w:r>
        <w:rPr>
          <w:rFonts w:ascii="arial" w:eastAsia="arial" w:hAnsi="arial" w:cs="arial"/>
          <w:b w:val="0"/>
          <w:i/>
          <w:strike w:val="0"/>
          <w:noProof w:val="0"/>
          <w:color w:val="000000"/>
          <w:position w:val="0"/>
          <w:sz w:val="20"/>
          <w:u w:val="none"/>
          <w:vertAlign w:val="baseline"/>
        </w:rPr>
        <w:t xml:space="preserve">See </w:t>
      </w:r>
      <w:hyperlink r:id="rId44" w:history="1">
        <w:r>
          <w:rPr>
            <w:rFonts w:ascii="arial" w:eastAsia="arial" w:hAnsi="arial" w:cs="arial"/>
            <w:b w:val="0"/>
            <w:i/>
            <w:strike w:val="0"/>
            <w:noProof w:val="0"/>
            <w:color w:val="0077CC"/>
            <w:position w:val="0"/>
            <w:sz w:val="20"/>
            <w:u w:val="single"/>
            <w:vertAlign w:val="baseline"/>
          </w:rPr>
          <w:t>Starks</w:t>
        </w:r>
      </w:hyperlink>
      <w:hyperlink r:id="rId44" w:history="1">
        <w:r>
          <w:rPr>
            <w:rFonts w:ascii="arial" w:eastAsia="arial" w:hAnsi="arial" w:cs="arial"/>
            <w:b w:val="0"/>
            <w:i/>
            <w:strike w:val="0"/>
            <w:noProof w:val="0"/>
            <w:color w:val="0077CC"/>
            <w:position w:val="0"/>
            <w:sz w:val="20"/>
            <w:u w:val="single"/>
            <w:vertAlign w:val="baseline"/>
          </w:rPr>
          <w:t>, 295 F.App'x at 665</w:t>
        </w:r>
      </w:hyperlink>
      <w:r>
        <w:rPr>
          <w:rFonts w:ascii="arial" w:eastAsia="arial" w:hAnsi="arial" w:cs="arial"/>
          <w:b w:val="0"/>
          <w:i w:val="0"/>
          <w:strike w:val="0"/>
          <w:noProof w:val="0"/>
          <w:color w:val="000000"/>
          <w:position w:val="0"/>
          <w:sz w:val="20"/>
          <w:u w:val="none"/>
          <w:vertAlign w:val="baseline"/>
        </w:rPr>
        <w:t xml:space="preserve"> (citing </w:t>
      </w:r>
      <w:hyperlink r:id="rId43" w:history="1">
        <w:r>
          <w:rPr>
            <w:rFonts w:ascii="arial" w:eastAsia="arial" w:hAnsi="arial" w:cs="arial"/>
            <w:b w:val="0"/>
            <w:i/>
            <w:strike w:val="0"/>
            <w:noProof w:val="0"/>
            <w:color w:val="0077CC"/>
            <w:position w:val="0"/>
            <w:sz w:val="20"/>
            <w:u w:val="single"/>
            <w:vertAlign w:val="baseline"/>
          </w:rPr>
          <w:t>Brown</w:t>
        </w:r>
      </w:hyperlink>
      <w:hyperlink r:id="rId43" w:history="1">
        <w:r>
          <w:rPr>
            <w:rFonts w:ascii="arial" w:eastAsia="arial" w:hAnsi="arial" w:cs="arial"/>
            <w:b w:val="0"/>
            <w:i/>
            <w:strike w:val="0"/>
            <w:noProof w:val="0"/>
            <w:color w:val="0077CC"/>
            <w:position w:val="0"/>
            <w:sz w:val="20"/>
            <w:u w:val="single"/>
            <w:vertAlign w:val="baseline"/>
          </w:rPr>
          <w:t>, 188 F.3d at 590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 w:name="Bookmark_para_18"/>
      <w:bookmarkEnd w:id="27"/>
      <w:r>
        <w:rPr>
          <w:rFonts w:ascii="arial" w:eastAsia="arial" w:hAnsi="arial" w:cs="arial"/>
          <w:b w:val="0"/>
          <w:i w:val="0"/>
          <w:strike w:val="0"/>
          <w:noProof w:val="0"/>
          <w:color w:val="000000"/>
          <w:position w:val="0"/>
          <w:sz w:val="20"/>
          <w:u w:val="none"/>
          <w:vertAlign w:val="baseline"/>
        </w:rPr>
        <w:t xml:space="preserve">But the issue of when a claim accrues for purposes of determining whether the statute of limitations has run or whether the limitation period has been tolled, is a question of federal law. </w:t>
      </w:r>
      <w:hyperlink r:id="rId45" w:history="1">
        <w:r>
          <w:rPr>
            <w:rFonts w:ascii="arial" w:eastAsia="arial" w:hAnsi="arial" w:cs="arial"/>
            <w:b w:val="0"/>
            <w:i/>
            <w:strike w:val="0"/>
            <w:noProof w:val="0"/>
            <w:color w:val="0077CC"/>
            <w:position w:val="0"/>
            <w:sz w:val="20"/>
            <w:u w:val="single"/>
            <w:vertAlign w:val="baseline"/>
          </w:rPr>
          <w:t>Nottingham v. Richardson</w:t>
        </w:r>
      </w:hyperlink>
      <w:hyperlink r:id="rId45" w:history="1">
        <w:r>
          <w:rPr>
            <w:rFonts w:ascii="arial" w:eastAsia="arial" w:hAnsi="arial" w:cs="arial"/>
            <w:b w:val="0"/>
            <w:i/>
            <w:strike w:val="0"/>
            <w:noProof w:val="0"/>
            <w:color w:val="0077CC"/>
            <w:position w:val="0"/>
            <w:sz w:val="20"/>
            <w:u w:val="single"/>
            <w:vertAlign w:val="baseline"/>
          </w:rPr>
          <w:t>, 499 F. App'x 368, 375 (5th Cir. 2012)</w:t>
        </w:r>
      </w:hyperlink>
      <w:r>
        <w:rPr>
          <w:rFonts w:ascii="arial" w:eastAsia="arial" w:hAnsi="arial" w:cs="arial"/>
          <w:b w:val="0"/>
          <w:i w:val="0"/>
          <w:strike w:val="0"/>
          <w:noProof w:val="0"/>
          <w:color w:val="000000"/>
          <w:position w:val="0"/>
          <w:sz w:val="20"/>
          <w:u w:val="none"/>
          <w:vertAlign w:val="baseline"/>
        </w:rPr>
        <w:t xml:space="preserve">. "Under federal law, the [limitations] period begins to run 'the moment the plaintiff becomes aware that he has suffered an injury or has sufficient information to know that he has been injured.'" </w:t>
      </w:r>
      <w:hyperlink r:id="rId46" w:history="1">
        <w:r>
          <w:rPr>
            <w:rFonts w:ascii="arial" w:eastAsia="arial" w:hAnsi="arial" w:cs="arial"/>
            <w:b w:val="0"/>
            <w:i/>
            <w:strike w:val="0"/>
            <w:noProof w:val="0"/>
            <w:color w:val="0077CC"/>
            <w:position w:val="0"/>
            <w:sz w:val="20"/>
            <w:u w:val="single"/>
            <w:vertAlign w:val="baseline"/>
          </w:rPr>
          <w:t>Russell v. Bd. of Trs.</w:t>
        </w:r>
      </w:hyperlink>
      <w:hyperlink r:id="rId46" w:history="1">
        <w:r>
          <w:rPr>
            <w:rFonts w:ascii="arial" w:eastAsia="arial" w:hAnsi="arial" w:cs="arial"/>
            <w:b w:val="0"/>
            <w:i/>
            <w:strike w:val="0"/>
            <w:noProof w:val="0"/>
            <w:color w:val="0077CC"/>
            <w:position w:val="0"/>
            <w:sz w:val="20"/>
            <w:u w:val="single"/>
            <w:vertAlign w:val="baseline"/>
          </w:rPr>
          <w:t>, 968 F.2d 489, 493 (5th Cir.1992)</w:t>
        </w:r>
      </w:hyperlink>
      <w:r>
        <w:rPr>
          <w:rFonts w:ascii="arial" w:eastAsia="arial" w:hAnsi="arial" w:cs="arial"/>
          <w:b w:val="0"/>
          <w:i w:val="0"/>
          <w:strike w:val="0"/>
          <w:noProof w:val="0"/>
          <w:color w:val="000000"/>
          <w:position w:val="0"/>
          <w:sz w:val="20"/>
          <w:u w:val="none"/>
          <w:vertAlign w:val="baseline"/>
        </w:rPr>
        <w:t xml:space="preserve"> (quoting </w:t>
      </w:r>
      <w:hyperlink r:id="rId47" w:history="1">
        <w:r>
          <w:rPr>
            <w:rFonts w:ascii="arial" w:eastAsia="arial" w:hAnsi="arial" w:cs="arial"/>
            <w:b w:val="0"/>
            <w:i/>
            <w:strike w:val="0"/>
            <w:noProof w:val="0"/>
            <w:color w:val="0077CC"/>
            <w:position w:val="0"/>
            <w:sz w:val="20"/>
            <w:u w:val="single"/>
            <w:vertAlign w:val="baseline"/>
          </w:rPr>
          <w:t>Helton v. Clements</w:t>
        </w:r>
      </w:hyperlink>
      <w:hyperlink r:id="rId47" w:history="1">
        <w:r>
          <w:rPr>
            <w:rFonts w:ascii="arial" w:eastAsia="arial" w:hAnsi="arial" w:cs="arial"/>
            <w:b w:val="0"/>
            <w:i/>
            <w:strike w:val="0"/>
            <w:noProof w:val="0"/>
            <w:color w:val="0077CC"/>
            <w:position w:val="0"/>
            <w:sz w:val="20"/>
            <w:u w:val="single"/>
            <w:vertAlign w:val="baseline"/>
          </w:rPr>
          <w:t>, 832 F.2d 332, 335 (5th Cir.1987)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 w:name="Bookmark_para_19"/>
      <w:bookmarkEnd w:id="28"/>
      <w:r>
        <w:rPr>
          <w:rFonts w:ascii="arial" w:eastAsia="arial" w:hAnsi="arial" w:cs="arial"/>
          <w:b w:val="0"/>
          <w:i w:val="0"/>
          <w:strike w:val="0"/>
          <w:noProof w:val="0"/>
          <w:color w:val="000000"/>
          <w:position w:val="0"/>
          <w:sz w:val="20"/>
          <w:u w:val="none"/>
          <w:vertAlign w:val="baseline"/>
        </w:rPr>
        <w:t>Awareness for accrual purposes consists of two elements: (1) awareness of the injury, and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(2) awareness of the connection between the injury and the defendant's actions. </w:t>
      </w:r>
      <w:r>
        <w:rPr>
          <w:rFonts w:ascii="arial" w:eastAsia="arial" w:hAnsi="arial" w:cs="arial"/>
          <w:b w:val="0"/>
          <w:i/>
          <w:strike w:val="0"/>
          <w:noProof w:val="0"/>
          <w:color w:val="000000"/>
          <w:position w:val="0"/>
          <w:sz w:val="20"/>
          <w:u w:val="none"/>
          <w:vertAlign w:val="baseline"/>
        </w:rPr>
        <w:t xml:space="preserve">See </w:t>
      </w:r>
      <w:hyperlink r:id="rId48" w:history="1">
        <w:r>
          <w:rPr>
            <w:rFonts w:ascii="arial" w:eastAsia="arial" w:hAnsi="arial" w:cs="arial"/>
            <w:b w:val="0"/>
            <w:i/>
            <w:strike w:val="0"/>
            <w:noProof w:val="0"/>
            <w:color w:val="0077CC"/>
            <w:position w:val="0"/>
            <w:sz w:val="20"/>
            <w:u w:val="single"/>
            <w:vertAlign w:val="baseline"/>
          </w:rPr>
          <w:t>Stewart v. Par. of Jefferson</w:t>
        </w:r>
      </w:hyperlink>
      <w:hyperlink r:id="rId48" w:history="1">
        <w:r>
          <w:rPr>
            <w:rFonts w:ascii="arial" w:eastAsia="arial" w:hAnsi="arial" w:cs="arial"/>
            <w:b w:val="0"/>
            <w:i/>
            <w:strike w:val="0"/>
            <w:noProof w:val="0"/>
            <w:color w:val="0077CC"/>
            <w:position w:val="0"/>
            <w:sz w:val="20"/>
            <w:u w:val="single"/>
            <w:vertAlign w:val="baseline"/>
          </w:rPr>
          <w:t>, 951 F.2d 681, 684 (5th Cir. 1992)</w:t>
        </w:r>
      </w:hyperlink>
      <w:r>
        <w:rPr>
          <w:rFonts w:ascii="arial" w:eastAsia="arial" w:hAnsi="arial" w:cs="arial"/>
          <w:b w:val="0"/>
          <w:i w:val="0"/>
          <w:strike w:val="0"/>
          <w:noProof w:val="0"/>
          <w:color w:val="000000"/>
          <w:position w:val="0"/>
          <w:sz w:val="20"/>
          <w:u w:val="none"/>
          <w:vertAlign w:val="baseline"/>
        </w:rPr>
        <w:t xml:space="preserve">. It is not required that a plaintiff realize that a </w:t>
      </w:r>
      <w:r>
        <w:rPr>
          <w:rFonts w:ascii="arial" w:eastAsia="arial" w:hAnsi="arial" w:cs="arial"/>
          <w:b w:val="0"/>
          <w:i/>
          <w:strike w:val="0"/>
          <w:noProof w:val="0"/>
          <w:color w:val="000000"/>
          <w:position w:val="0"/>
          <w:sz w:val="20"/>
          <w:u w:val="none"/>
          <w:vertAlign w:val="baseline"/>
        </w:rPr>
        <w:t>legal</w:t>
      </w:r>
      <w:r>
        <w:rPr>
          <w:rFonts w:ascii="arial" w:eastAsia="arial" w:hAnsi="arial" w:cs="arial"/>
          <w:b w:val="0"/>
          <w:i w:val="0"/>
          <w:strike w:val="0"/>
          <w:noProof w:val="0"/>
          <w:color w:val="000000"/>
          <w:position w:val="0"/>
          <w:sz w:val="20"/>
          <w:u w:val="none"/>
          <w:vertAlign w:val="baseline"/>
        </w:rPr>
        <w:t xml:space="preserve"> cause of action exists, provided he knows of the </w:t>
      </w:r>
      <w:r>
        <w:rPr>
          <w:rFonts w:ascii="arial" w:eastAsia="arial" w:hAnsi="arial" w:cs="arial"/>
          <w:b w:val="0"/>
          <w:i/>
          <w:strike w:val="0"/>
          <w:noProof w:val="0"/>
          <w:color w:val="000000"/>
          <w:position w:val="0"/>
          <w:sz w:val="20"/>
          <w:u w:val="none"/>
          <w:vertAlign w:val="baseline"/>
        </w:rPr>
        <w:t>facts</w:t>
      </w:r>
      <w:r>
        <w:rPr>
          <w:rFonts w:ascii="arial" w:eastAsia="arial" w:hAnsi="arial" w:cs="arial"/>
          <w:b w:val="0"/>
          <w:i w:val="0"/>
          <w:strike w:val="0"/>
          <w:noProof w:val="0"/>
          <w:color w:val="000000"/>
          <w:position w:val="0"/>
          <w:sz w:val="20"/>
          <w:u w:val="none"/>
          <w:vertAlign w:val="baseline"/>
        </w:rPr>
        <w:t xml:space="preserve"> that would ultimately support a claim. </w:t>
      </w:r>
      <w:r>
        <w:rPr>
          <w:rFonts w:ascii="arial" w:eastAsia="arial" w:hAnsi="arial" w:cs="arial"/>
          <w:b w:val="0"/>
          <w:i/>
          <w:strike w:val="0"/>
          <w:noProof w:val="0"/>
          <w:color w:val="000000"/>
          <w:position w:val="0"/>
          <w:sz w:val="20"/>
          <w:u w:val="none"/>
          <w:vertAlign w:val="baseline"/>
        </w:rPr>
        <w:t xml:space="preserve">See </w:t>
      </w:r>
      <w:hyperlink r:id="rId49" w:history="1">
        <w:r>
          <w:rPr>
            <w:rFonts w:ascii="arial" w:eastAsia="arial" w:hAnsi="arial" w:cs="arial"/>
            <w:b w:val="0"/>
            <w:i/>
            <w:strike w:val="0"/>
            <w:noProof w:val="0"/>
            <w:color w:val="0077CC"/>
            <w:position w:val="0"/>
            <w:sz w:val="20"/>
            <w:u w:val="single"/>
            <w:vertAlign w:val="baseline"/>
          </w:rPr>
          <w:t>Harrison v. United States</w:t>
        </w:r>
      </w:hyperlink>
      <w:hyperlink r:id="rId49" w:history="1">
        <w:r>
          <w:rPr>
            <w:rFonts w:ascii="arial" w:eastAsia="arial" w:hAnsi="arial" w:cs="arial"/>
            <w:b w:val="0"/>
            <w:i/>
            <w:strike w:val="0"/>
            <w:noProof w:val="0"/>
            <w:color w:val="0077CC"/>
            <w:position w:val="0"/>
            <w:sz w:val="20"/>
            <w:u w:val="single"/>
            <w:vertAlign w:val="baseline"/>
          </w:rPr>
          <w:t>, 708 F.2d 1023, 1027 (5th Cir. 1983)</w:t>
        </w:r>
      </w:hyperlink>
      <w:r>
        <w:rPr>
          <w:rFonts w:ascii="arial" w:eastAsia="arial" w:hAnsi="arial" w:cs="arial"/>
          <w:b w:val="0"/>
          <w:i w:val="0"/>
          <w:strike w:val="0"/>
          <w:noProof w:val="0"/>
          <w:color w:val="000000"/>
          <w:position w:val="0"/>
          <w:sz w:val="20"/>
          <w:u w:val="none"/>
          <w:vertAlign w:val="baseline"/>
        </w:rPr>
        <w:t xml:space="preserve"> ("The plaintiff need not have knowledge of fault in the legal sense for the statute to begin to run, but she must have knowledge of facts that would lead a reasonable person (a) to conclude that there was a causal connection . . . or (b) to seek professional advice, and then, with that advice, to conclude that there was a causal connection between the [defendant's acts] and injury."); </w:t>
      </w:r>
      <w:r>
        <w:rPr>
          <w:rFonts w:ascii="arial" w:eastAsia="arial" w:hAnsi="arial" w:cs="arial"/>
          <w:b w:val="0"/>
          <w:i/>
          <w:strike w:val="0"/>
          <w:noProof w:val="0"/>
          <w:color w:val="000000"/>
          <w:position w:val="0"/>
          <w:sz w:val="20"/>
          <w:u w:val="none"/>
          <w:vertAlign w:val="baseline"/>
        </w:rPr>
        <w:t xml:space="preserve">see also </w:t>
      </w:r>
      <w:hyperlink r:id="rId50" w:history="1">
        <w:r>
          <w:rPr>
            <w:rFonts w:ascii="arial" w:eastAsia="arial" w:hAnsi="arial" w:cs="arial"/>
            <w:b w:val="0"/>
            <w:i/>
            <w:strike w:val="0"/>
            <w:noProof w:val="0"/>
            <w:color w:val="0077CC"/>
            <w:position w:val="0"/>
            <w:sz w:val="20"/>
            <w:u w:val="single"/>
            <w:vertAlign w:val="baseline"/>
          </w:rPr>
          <w:t>Rotella v. Pederson</w:t>
        </w:r>
      </w:hyperlink>
      <w:hyperlink r:id="rId50" w:history="1">
        <w:r>
          <w:rPr>
            <w:rFonts w:ascii="arial" w:eastAsia="arial" w:hAnsi="arial" w:cs="arial"/>
            <w:b w:val="0"/>
            <w:i/>
            <w:strike w:val="0"/>
            <w:noProof w:val="0"/>
            <w:color w:val="0077CC"/>
            <w:position w:val="0"/>
            <w:sz w:val="20"/>
            <w:u w:val="single"/>
            <w:vertAlign w:val="baseline"/>
          </w:rPr>
          <w:t>, 144 F.3d 892, 894 (5th Cir. 1998)</w:t>
        </w:r>
      </w:hyperlink>
      <w:r>
        <w:rPr>
          <w:rFonts w:ascii="arial" w:eastAsia="arial" w:hAnsi="arial" w:cs="arial"/>
          <w:b w:val="0"/>
          <w:i w:val="0"/>
          <w:strike w:val="0"/>
          <w:noProof w:val="0"/>
          <w:color w:val="000000"/>
          <w:position w:val="0"/>
          <w:sz w:val="20"/>
          <w:u w:val="none"/>
          <w:vertAlign w:val="baseline"/>
        </w:rPr>
        <w:t xml:space="preserve"> (holding that ignorance of the law and illiteracy are not grounds for equitable tolling); </w:t>
      </w:r>
      <w:hyperlink r:id="rId51" w:history="1">
        <w:r>
          <w:rPr>
            <w:rFonts w:ascii="arial" w:eastAsia="arial" w:hAnsi="arial" w:cs="arial"/>
            <w:b w:val="0"/>
            <w:i/>
            <w:strike w:val="0"/>
            <w:noProof w:val="0"/>
            <w:color w:val="0077CC"/>
            <w:position w:val="0"/>
            <w:sz w:val="20"/>
            <w:u w:val="single"/>
            <w:vertAlign w:val="baseline"/>
          </w:rPr>
          <w:t>Piotrowski v. City of Hous.</w:t>
        </w:r>
      </w:hyperlink>
      <w:hyperlink r:id="rId51" w:history="1">
        <w:r>
          <w:rPr>
            <w:rFonts w:ascii="arial" w:eastAsia="arial" w:hAnsi="arial" w:cs="arial"/>
            <w:b w:val="0"/>
            <w:i/>
            <w:strike w:val="0"/>
            <w:noProof w:val="0"/>
            <w:color w:val="0077CC"/>
            <w:position w:val="0"/>
            <w:sz w:val="20"/>
            <w:u w:val="single"/>
            <w:vertAlign w:val="baseline"/>
          </w:rPr>
          <w:t>, 51 F.3d 512, 516 (5th Cir. 1995)</w:t>
        </w:r>
      </w:hyperlink>
      <w:r>
        <w:rPr>
          <w:rFonts w:ascii="arial" w:eastAsia="arial" w:hAnsi="arial" w:cs="arial"/>
          <w:b w:val="0"/>
          <w:i w:val="0"/>
          <w:strike w:val="0"/>
          <w:noProof w:val="0"/>
          <w:color w:val="000000"/>
          <w:position w:val="0"/>
          <w:sz w:val="20"/>
          <w:u w:val="none"/>
          <w:vertAlign w:val="baseline"/>
        </w:rPr>
        <w:t xml:space="preserve">; </w:t>
      </w:r>
      <w:hyperlink r:id="rId52" w:history="1">
        <w:r>
          <w:rPr>
            <w:rFonts w:ascii="arial" w:eastAsia="arial" w:hAnsi="arial" w:cs="arial"/>
            <w:b w:val="0"/>
            <w:i/>
            <w:strike w:val="0"/>
            <w:noProof w:val="0"/>
            <w:color w:val="0077CC"/>
            <w:position w:val="0"/>
            <w:sz w:val="20"/>
            <w:u w:val="single"/>
            <w:vertAlign w:val="baseline"/>
          </w:rPr>
          <w:t>Barrow v. New Orleans S.S. Ass'n</w:t>
        </w:r>
      </w:hyperlink>
      <w:hyperlink r:id="rId52" w:history="1">
        <w:r>
          <w:rPr>
            <w:rFonts w:ascii="arial" w:eastAsia="arial" w:hAnsi="arial" w:cs="arial"/>
            <w:b w:val="0"/>
            <w:i/>
            <w:strike w:val="0"/>
            <w:noProof w:val="0"/>
            <w:color w:val="0077CC"/>
            <w:position w:val="0"/>
            <w:sz w:val="20"/>
            <w:u w:val="single"/>
            <w:vertAlign w:val="baseline"/>
          </w:rPr>
          <w:t>, 932 F.2d 473, 478 (5th Cir. 1991)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 w:name="Bookmark_para_20"/>
      <w:bookmarkEnd w:id="29"/>
      <w:r>
        <w:rPr>
          <w:rFonts w:ascii="arial" w:eastAsia="arial" w:hAnsi="arial" w:cs="arial"/>
          <w:b w:val="0"/>
          <w:i w:val="0"/>
          <w:strike w:val="0"/>
          <w:noProof w:val="0"/>
          <w:color w:val="000000"/>
          <w:position w:val="0"/>
          <w:sz w:val="20"/>
          <w:u w:val="none"/>
          <w:vertAlign w:val="baseline"/>
        </w:rPr>
        <w:t xml:space="preserve">Moreover, a plaintiff need not have actual knowledge of the facts giving rise to a claim if the circumstances would lead a reasonable person to investigate further. </w:t>
      </w:r>
      <w:r>
        <w:rPr>
          <w:rFonts w:ascii="arial" w:eastAsia="arial" w:hAnsi="arial" w:cs="arial"/>
          <w:b w:val="0"/>
          <w:i/>
          <w:strike w:val="0"/>
          <w:noProof w:val="0"/>
          <w:color w:val="000000"/>
          <w:position w:val="0"/>
          <w:sz w:val="20"/>
          <w:u w:val="none"/>
          <w:vertAlign w:val="baseline"/>
        </w:rPr>
        <w:t xml:space="preserve">See </w:t>
      </w:r>
      <w:hyperlink r:id="rId53" w:history="1">
        <w:r>
          <w:rPr>
            <w:rFonts w:ascii="arial" w:eastAsia="arial" w:hAnsi="arial" w:cs="arial"/>
            <w:b w:val="0"/>
            <w:i/>
            <w:strike w:val="0"/>
            <w:noProof w:val="0"/>
            <w:color w:val="0077CC"/>
            <w:position w:val="0"/>
            <w:sz w:val="20"/>
            <w:u w:val="single"/>
            <w:vertAlign w:val="baseline"/>
          </w:rPr>
          <w:t>Jensen v. Snellings</w:t>
        </w:r>
      </w:hyperlink>
      <w:hyperlink r:id="rId53" w:history="1">
        <w:r>
          <w:rPr>
            <w:rFonts w:ascii="arial" w:eastAsia="arial" w:hAnsi="arial" w:cs="arial"/>
            <w:b w:val="0"/>
            <w:i/>
            <w:strike w:val="0"/>
            <w:noProof w:val="0"/>
            <w:color w:val="0077CC"/>
            <w:position w:val="0"/>
            <w:sz w:val="20"/>
            <w:u w:val="single"/>
            <w:vertAlign w:val="baseline"/>
          </w:rPr>
          <w:t>, 841 F.2d 600, 606 (5th Cir. 1988)</w:t>
        </w:r>
      </w:hyperlink>
      <w:r>
        <w:rPr>
          <w:rFonts w:ascii="arial" w:eastAsia="arial" w:hAnsi="arial" w:cs="arial"/>
          <w:b w:val="0"/>
          <w:i w:val="0"/>
          <w:strike w:val="0"/>
          <w:noProof w:val="0"/>
          <w:color w:val="000000"/>
          <w:position w:val="0"/>
          <w:sz w:val="20"/>
          <w:u w:val="none"/>
          <w:vertAlign w:val="baseline"/>
        </w:rPr>
        <w:t xml:space="preserve"> ("Under federal law, the limitations period commences when 'the aggrieved party has either knowledge of the violation or notice of facts which, in the exercise of due diligence, would have led to actual knowledge' thereof." (quoting </w:t>
      </w:r>
      <w:hyperlink r:id="rId54" w:history="1">
        <w:r>
          <w:rPr>
            <w:rFonts w:ascii="arial" w:eastAsia="arial" w:hAnsi="arial" w:cs="arial"/>
            <w:b w:val="0"/>
            <w:i/>
            <w:strike w:val="0"/>
            <w:noProof w:val="0"/>
            <w:color w:val="0077CC"/>
            <w:position w:val="0"/>
            <w:sz w:val="20"/>
            <w:u w:val="single"/>
            <w:vertAlign w:val="baseline"/>
          </w:rPr>
          <w:t>Vigman v. Cmty. Nat'l Bank &amp; Tr. Co.</w:t>
        </w:r>
      </w:hyperlink>
      <w:hyperlink r:id="rId54" w:history="1">
        <w:r>
          <w:rPr>
            <w:rFonts w:ascii="arial" w:eastAsia="arial" w:hAnsi="arial" w:cs="arial"/>
            <w:b w:val="0"/>
            <w:i/>
            <w:strike w:val="0"/>
            <w:noProof w:val="0"/>
            <w:color w:val="0077CC"/>
            <w:position w:val="0"/>
            <w:sz w:val="20"/>
            <w:u w:val="single"/>
            <w:vertAlign w:val="baseline"/>
          </w:rPr>
          <w:t>, 635 F.2d 455, 459 (5th Cir. 1981)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0" w:name="Bookmark_para_21"/>
      <w:bookmarkEnd w:id="30"/>
      <w:r>
        <w:rPr>
          <w:rFonts w:ascii="arial" w:eastAsia="arial" w:hAnsi="arial" w:cs="arial"/>
          <w:b w:val="0"/>
          <w:i w:val="0"/>
          <w:strike w:val="0"/>
          <w:noProof w:val="0"/>
          <w:color w:val="000000"/>
          <w:position w:val="0"/>
          <w:sz w:val="20"/>
          <w:u w:val="none"/>
          <w:vertAlign w:val="baseline"/>
        </w:rPr>
        <w:t>With these principles in mind, the Court considers Malachowski's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claims.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1. Claim against DSCC Officer FNU Maxy for retaliation</w:t>
      </w:r>
    </w:p>
    <w:p>
      <w:pPr>
        <w:keepNext w:val="0"/>
        <w:spacing w:before="200" w:after="0" w:line="260" w:lineRule="atLeast"/>
        <w:ind w:left="0" w:right="0" w:firstLine="0"/>
        <w:jc w:val="both"/>
      </w:pPr>
      <w:bookmarkStart w:id="31" w:name="Bookmark_para_22"/>
      <w:bookmarkEnd w:id="31"/>
      <w:r>
        <w:rPr>
          <w:rFonts w:ascii="arial" w:eastAsia="arial" w:hAnsi="arial" w:cs="arial"/>
          <w:b w:val="0"/>
          <w:i w:val="0"/>
          <w:strike w:val="0"/>
          <w:noProof w:val="0"/>
          <w:color w:val="000000"/>
          <w:position w:val="0"/>
          <w:sz w:val="20"/>
          <w:u w:val="none"/>
          <w:vertAlign w:val="baseline"/>
        </w:rPr>
        <w:t xml:space="preserve">Malachowski brings a claim for retaliation and "false declarations on government documentation" against FNU Maxy, a BOP Designation and Sentence Computation Center (DSCC) Officer at FCI Oakdale II, a federal prison located in Oakdale, Louisiana. Dkt. No. 28;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Dkt. No. 14 at 7-8.</w:t>
      </w:r>
    </w:p>
    <w:p>
      <w:pPr>
        <w:keepNext w:val="0"/>
        <w:spacing w:before="200" w:after="0" w:line="260" w:lineRule="atLeast"/>
        <w:ind w:left="0" w:right="0" w:firstLine="0"/>
        <w:jc w:val="both"/>
      </w:pPr>
      <w:bookmarkStart w:id="32" w:name="Bookmark_para_23"/>
      <w:bookmarkEnd w:id="32"/>
      <w:r>
        <w:rPr>
          <w:rFonts w:ascii="arial" w:eastAsia="arial" w:hAnsi="arial" w:cs="arial"/>
          <w:b w:val="0"/>
          <w:i w:val="0"/>
          <w:strike w:val="0"/>
          <w:noProof w:val="0"/>
          <w:color w:val="000000"/>
          <w:position w:val="0"/>
          <w:sz w:val="20"/>
          <w:u w:val="none"/>
          <w:vertAlign w:val="baseline"/>
        </w:rPr>
        <w:t>Although Malachowski brought claims against Maxy in his original Complaint and each amended Complaint, Maxy has not been added as a party to this case. The Clerk is DIRECTED to add as a Defendant in this case DSCC Officer FNU Maxy.</w:t>
      </w:r>
    </w:p>
    <w:p>
      <w:pPr>
        <w:keepNext w:val="0"/>
        <w:spacing w:before="200" w:after="0" w:line="260" w:lineRule="atLeast"/>
        <w:ind w:left="0" w:right="0" w:firstLine="0"/>
        <w:jc w:val="both"/>
      </w:pPr>
      <w:bookmarkStart w:id="33" w:name="Bookmark_para_24"/>
      <w:bookmarkEnd w:id="33"/>
      <w:r>
        <w:rPr>
          <w:rFonts w:ascii="arial" w:eastAsia="arial" w:hAnsi="arial" w:cs="arial"/>
          <w:b w:val="0"/>
          <w:i w:val="0"/>
          <w:strike w:val="0"/>
          <w:noProof w:val="0"/>
          <w:color w:val="000000"/>
          <w:position w:val="0"/>
          <w:sz w:val="20"/>
          <w:u w:val="none"/>
          <w:vertAlign w:val="baseline"/>
        </w:rPr>
        <w:t>Malachowski complains thatin July and August of 2016, he inquired to Maxy about an "immigration retainer" placed on him that Malachowski claims had been canceled. Dkt. No. 14 at 6-7; Dkt. No. 28 at 6. Malachowski believes that Maxy "falsely claim[s] to have contacted local ICE representatives, who allegedly confirmed the existence of a detainer." Dkt. No. 14 at 7. After Malachowski "provided a copy of the Notice of Action indicating that the detainer had in fact been cancelled" to an unknown individual, he claims that Maxy engaged in retaliatory acts against him—pulling him from "his position as head baker," and</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then threatening, harassing, and falsely accusing him "of forging the federal document and having someone send it to FBOP admin staff."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w:t>
      </w:r>
    </w:p>
    <w:p>
      <w:pPr>
        <w:keepNext w:val="0"/>
        <w:spacing w:before="240" w:after="0" w:line="260" w:lineRule="atLeast"/>
        <w:ind w:left="0" w:right="0" w:firstLine="0"/>
        <w:jc w:val="both"/>
      </w:pPr>
      <w:bookmarkStart w:id="34" w:name="Bookmark_para_25"/>
      <w:bookmarkEnd w:id="34"/>
      <w:r>
        <w:rPr>
          <w:rFonts w:ascii="arial" w:eastAsia="arial" w:hAnsi="arial" w:cs="arial"/>
          <w:b w:val="0"/>
          <w:i w:val="0"/>
          <w:strike w:val="0"/>
          <w:noProof w:val="0"/>
          <w:color w:val="000000"/>
          <w:position w:val="0"/>
          <w:sz w:val="20"/>
          <w:u w:val="none"/>
          <w:vertAlign w:val="baseline"/>
        </w:rPr>
        <w:t xml:space="preserve">When asked through the Court's Questionnaire to specify the dates of each act by Maxy he complains of, Malachowski responded, "July and August 2016." Dkt. No. 28 at 3, 6. Accepting these dates as true means that Malachowski had until August 2018 to file suit on his claims against Maxy. Here again, even assuming Malachowski's claim against Maxy fit within one of the three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fact patterns recognized by the Supreme Court, he waited to file suit on that claim until September of 2020, two years after the statute of limitations had passed.</w:t>
      </w:r>
    </w:p>
    <w:p>
      <w:pPr>
        <w:keepNext w:val="0"/>
        <w:spacing w:before="200" w:after="0" w:line="260" w:lineRule="atLeast"/>
        <w:ind w:left="0" w:right="0" w:firstLine="0"/>
        <w:jc w:val="both"/>
      </w:pPr>
      <w:bookmarkStart w:id="35" w:name="Bookmark_para_26"/>
      <w:bookmarkEnd w:id="35"/>
      <w:r>
        <w:rPr>
          <w:rFonts w:ascii="arial" w:eastAsia="arial" w:hAnsi="arial" w:cs="arial"/>
          <w:b w:val="0"/>
          <w:i w:val="0"/>
          <w:strike w:val="0"/>
          <w:noProof w:val="0"/>
          <w:color w:val="000000"/>
          <w:position w:val="0"/>
          <w:sz w:val="20"/>
          <w:u w:val="none"/>
          <w:vertAlign w:val="baseline"/>
        </w:rPr>
        <w:t>For this reason, Malachowski's claims against DSCC Officer FNU Maxy are DISMISSED as time-barred and for failure to state a claim upon which relief may be granted.</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2. Claims against DSCC Official John Doe 1 for retaliatory transfer</w:t>
      </w:r>
    </w:p>
    <w:p>
      <w:pPr>
        <w:keepNext w:val="0"/>
        <w:spacing w:before="200" w:after="0" w:line="260" w:lineRule="atLeast"/>
        <w:ind w:left="0" w:right="0" w:firstLine="0"/>
        <w:jc w:val="both"/>
      </w:pPr>
      <w:bookmarkStart w:id="36" w:name="Bookmark_para_27"/>
      <w:bookmarkEnd w:id="36"/>
      <w:r>
        <w:rPr>
          <w:rFonts w:ascii="arial" w:eastAsia="arial" w:hAnsi="arial" w:cs="arial"/>
          <w:b w:val="0"/>
          <w:i w:val="0"/>
          <w:strike w:val="0"/>
          <w:noProof w:val="0"/>
          <w:color w:val="000000"/>
          <w:position w:val="0"/>
          <w:sz w:val="20"/>
          <w:u w:val="none"/>
          <w:vertAlign w:val="baseline"/>
        </w:rPr>
        <w:t>Next, in January through April of 2018, Malachowski claims he was again subject to acts of retaliation by DSCC official John Doe 1 in the Federal Bureau of Prisons-Regional Office in Grand Prairie, Texas. John Doe 1 is identified as a party to this case by the name FNU LNU, a DSCC Official</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at FBOP-RO. The Clerk is DIRECTED to conform the docket in this case to reflect that Defendant BOP-RO DSCC official FNU LNU is Defendant DSCC Official John Doe 1.</w:t>
      </w:r>
    </w:p>
    <w:p>
      <w:pPr>
        <w:keepNext w:val="0"/>
        <w:spacing w:before="200" w:after="0" w:line="260" w:lineRule="atLeast"/>
        <w:ind w:left="0" w:right="0" w:firstLine="0"/>
        <w:jc w:val="both"/>
      </w:pPr>
      <w:bookmarkStart w:id="37" w:name="Bookmark_para_28"/>
      <w:bookmarkEnd w:id="37"/>
      <w:r>
        <w:rPr>
          <w:rFonts w:ascii="arial" w:eastAsia="arial" w:hAnsi="arial" w:cs="arial"/>
          <w:b w:val="0"/>
          <w:i w:val="0"/>
          <w:strike w:val="0"/>
          <w:noProof w:val="0"/>
          <w:color w:val="000000"/>
          <w:position w:val="0"/>
          <w:sz w:val="20"/>
          <w:u w:val="none"/>
          <w:vertAlign w:val="baseline"/>
        </w:rPr>
        <w:t>Malachowski claims that John Doe 1 initiated a "disciplinary transfer</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in violation of [his] due process rights," by applying a "greater security management variable in violation of FBOP policy" to punish him, and for failing to maintain accurate records in violation of </w:t>
      </w:r>
      <w:hyperlink r:id="rId55" w:history="1">
        <w:r>
          <w:rPr>
            <w:rFonts w:ascii="arial" w:eastAsia="arial" w:hAnsi="arial" w:cs="arial"/>
            <w:b w:val="0"/>
            <w:i/>
            <w:strike w:val="0"/>
            <w:noProof w:val="0"/>
            <w:color w:val="0077CC"/>
            <w:position w:val="0"/>
            <w:sz w:val="20"/>
            <w:u w:val="single"/>
            <w:vertAlign w:val="baseline"/>
          </w:rPr>
          <w:t>5 U.S.C. 552(a)</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Malachowski appears to believe this was an act of retaliation against him for filing a motion under </w:t>
      </w:r>
      <w:hyperlink r:id="rId56"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because, he claims, thirty days after an AUSA "contacted DSCC officials at FBOP-RO in response to Plaintiff's 2255 motion," he was placed under a "disciplinary transfer."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w:t>
      </w:r>
    </w:p>
    <w:p>
      <w:pPr>
        <w:keepNext w:val="0"/>
        <w:spacing w:before="200" w:after="0" w:line="260" w:lineRule="atLeast"/>
        <w:ind w:left="0" w:right="0" w:firstLine="0"/>
        <w:jc w:val="both"/>
      </w:pPr>
      <w:bookmarkStart w:id="40" w:name="Bookmark_para_29"/>
      <w:bookmarkEnd w:id="40"/>
      <w:r>
        <w:rPr>
          <w:rFonts w:ascii="arial" w:eastAsia="arial" w:hAnsi="arial" w:cs="arial"/>
          <w:b w:val="0"/>
          <w:i w:val="0"/>
          <w:strike w:val="0"/>
          <w:noProof w:val="0"/>
          <w:color w:val="000000"/>
          <w:position w:val="0"/>
          <w:sz w:val="20"/>
          <w:u w:val="none"/>
          <w:vertAlign w:val="baseline"/>
        </w:rPr>
        <w:t xml:space="preserve">Malachowski says these violations occurred in February and April of 2018.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Taking the later of those dates, Malachowski was required to file suit on that claim no later than April of 2020. Instead, he filed suit five months later, in September of 2020. Thus, whatever claim, if any, Malachowski may have asserted against DSCC Official John Doe 1 arising from this transfer is time-barred and DISMISSED for failure to state a claim upon</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which relief may be granted.</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3. Claim for retaliation against FCI-Big Spring Case Manager FNU Bush</w:t>
      </w:r>
    </w:p>
    <w:p>
      <w:pPr>
        <w:keepNext w:val="0"/>
        <w:spacing w:before="200" w:after="0" w:line="260" w:lineRule="atLeast"/>
        <w:ind w:left="0" w:right="0" w:firstLine="0"/>
        <w:jc w:val="both"/>
      </w:pPr>
      <w:bookmarkStart w:id="41" w:name="Bookmark_para_30"/>
      <w:bookmarkEnd w:id="41"/>
      <w:r>
        <w:rPr>
          <w:rFonts w:ascii="arial" w:eastAsia="arial" w:hAnsi="arial" w:cs="arial"/>
          <w:b w:val="0"/>
          <w:i w:val="0"/>
          <w:strike w:val="0"/>
          <w:noProof w:val="0"/>
          <w:color w:val="000000"/>
          <w:position w:val="0"/>
          <w:sz w:val="20"/>
          <w:u w:val="none"/>
          <w:vertAlign w:val="baseline"/>
        </w:rPr>
        <w:t xml:space="preserve">Once transferred to FCI-Big Spring, Malachowski states that in March 2018, FNU Bush, a Case Manager at FCI-Big Spring, began to act "in retaliation [against him] for challenging inaccuracies and fault located in his central file corresponding to ICE determination entered previously."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11-12; Dkt. No. 28 at 7. Malachowski claims that "Mr. Bush vindictively requested of local ICE Agent Ortega . . . to re-issue a Notice of Action in order to implement a new detainer." Dkt. No. 14 at 12. Malachowski further claims that "DSCC officials at FBOP-RO applied a detainer to Plaintiff's custody score" to "deny Plaintiff relief, and transfer [him] back to USP Atlanta-Satellite Camp."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 Malachowski asserts that Bush "initiated action in violation of . . . [his] Native Rights in retaliation for pursuing constitutional rights (First &amp; </w:t>
      </w:r>
      <w:hyperlink r:id="rId34" w:history="1">
        <w:r>
          <w:rPr>
            <w:rFonts w:ascii="arial" w:eastAsia="arial" w:hAnsi="arial" w:cs="arial"/>
            <w:b w:val="0"/>
            <w:i/>
            <w:strike w:val="0"/>
            <w:noProof w:val="0"/>
            <w:color w:val="0077CC"/>
            <w:position w:val="0"/>
            <w:sz w:val="20"/>
            <w:u w:val="single"/>
            <w:vertAlign w:val="baseline"/>
          </w:rPr>
          <w:t>Fifth Amendments</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11-12; Dkt. No. 28 at 7.</w:t>
      </w:r>
    </w:p>
    <w:p>
      <w:pPr>
        <w:keepNext w:val="0"/>
        <w:spacing w:before="200" w:after="0" w:line="260" w:lineRule="atLeast"/>
        <w:ind w:left="0" w:right="0" w:firstLine="0"/>
        <w:jc w:val="both"/>
      </w:pPr>
      <w:bookmarkStart w:id="42" w:name="Bookmark_para_31"/>
      <w:bookmarkEnd w:id="42"/>
      <w:r>
        <w:rPr>
          <w:rFonts w:ascii="arial" w:eastAsia="arial" w:hAnsi="arial" w:cs="arial"/>
          <w:b w:val="0"/>
          <w:i w:val="0"/>
          <w:strike w:val="0"/>
          <w:noProof w:val="0"/>
          <w:color w:val="000000"/>
          <w:position w:val="0"/>
          <w:sz w:val="20"/>
          <w:u w:val="none"/>
          <w:vertAlign w:val="baseline"/>
        </w:rPr>
        <w:t xml:space="preserve">Accepting Malachowski's factual allegations as true, this conduct occurred in March 2018, which makes the filing of this claim in September 2020—more than two years later—untimely. For this reason, Malachowski's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claim for retaliation</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against FCI-Big Spring Case Manager FNU Bush is DISMISSED for failure to state a claim upon which relief may be granted.</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4. Failure-to-protect claims against FCI-Big Spring Warden Billy Keith and Unit Correctional Officer John Doe 2</w:t>
      </w:r>
    </w:p>
    <w:p>
      <w:pPr>
        <w:keepNext w:val="0"/>
        <w:spacing w:before="200" w:after="0" w:line="260" w:lineRule="atLeast"/>
        <w:ind w:left="0" w:right="0" w:firstLine="0"/>
        <w:jc w:val="both"/>
      </w:pPr>
      <w:bookmarkStart w:id="43" w:name="Bookmark_para_32"/>
      <w:bookmarkEnd w:id="43"/>
      <w:r>
        <w:rPr>
          <w:rFonts w:ascii="arial" w:eastAsia="arial" w:hAnsi="arial" w:cs="arial"/>
          <w:b w:val="0"/>
          <w:i w:val="0"/>
          <w:strike w:val="0"/>
          <w:noProof w:val="0"/>
          <w:color w:val="000000"/>
          <w:position w:val="0"/>
          <w:sz w:val="20"/>
          <w:u w:val="none"/>
          <w:vertAlign w:val="baseline"/>
        </w:rPr>
        <w:t xml:space="preserve">On August 27, 2018, while at FCI-Big Spring, Malachowski "suffered an unprovoked attack by four inmates associated to a known prison group." Dkt. No. 14 at 14; Dkt. No. 28 at 6. As a result of this attack, Malachowski suffered injuries to his head, back, shoulder, and wrist. Dkt. No. 14 at 15. This attack occurred "between the heavy metal closely crammed bunks" when Malachowski "stood up out of a chair from reading a book."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14-15.</w:t>
      </w:r>
    </w:p>
    <w:p>
      <w:pPr>
        <w:keepNext w:val="0"/>
        <w:spacing w:before="200" w:after="0" w:line="260" w:lineRule="atLeast"/>
        <w:ind w:left="0" w:right="0" w:firstLine="0"/>
        <w:jc w:val="both"/>
      </w:pPr>
      <w:bookmarkStart w:id="44" w:name="Bookmark_para_33"/>
      <w:bookmarkEnd w:id="44"/>
      <w:r>
        <w:rPr>
          <w:rFonts w:ascii="arial" w:eastAsia="arial" w:hAnsi="arial" w:cs="arial"/>
          <w:b w:val="0"/>
          <w:i w:val="0"/>
          <w:strike w:val="0"/>
          <w:noProof w:val="0"/>
          <w:color w:val="000000"/>
          <w:position w:val="0"/>
          <w:sz w:val="20"/>
          <w:u w:val="none"/>
          <w:vertAlign w:val="baseline"/>
        </w:rPr>
        <w:t xml:space="preserve">Malachowski believes that Warden Keith and Unit Correctional Officer John Doe 2 failed to keep him safe from the assault and that "knowledge of danger is imputed to staff that was on duty the day of [the] occurrence."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 Dkt. No. 28 at 6. Although Malachowski brought claims against Unit Correctional Officer John Doe 2 in his original Complaint and each amended Complaint, he has not been added as a party to this case. The Clerk is DIRECTED to add as a Defendant in this case Unit Correctional Officer John Doe 2.</w:t>
      </w:r>
    </w:p>
    <w:p>
      <w:pPr>
        <w:keepNext w:val="0"/>
        <w:spacing w:before="240" w:after="0" w:line="260" w:lineRule="atLeast"/>
        <w:ind w:left="0" w:right="0" w:firstLine="0"/>
        <w:jc w:val="both"/>
      </w:pPr>
      <w:bookmarkStart w:id="45" w:name="Bookmark_para_34"/>
      <w:bookmarkEnd w:id="45"/>
      <w:r>
        <w:rPr>
          <w:rFonts w:ascii="arial" w:eastAsia="arial" w:hAnsi="arial" w:cs="arial"/>
          <w:b w:val="0"/>
          <w:i w:val="0"/>
          <w:strike w:val="0"/>
          <w:noProof w:val="0"/>
          <w:color w:val="000000"/>
          <w:position w:val="0"/>
          <w:sz w:val="20"/>
          <w:u w:val="none"/>
          <w:vertAlign w:val="baseline"/>
        </w:rPr>
        <w:t>Malachowski</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claims the attack occurred because of a lack of supervision and failure to follow policy that would have kept him safe from harm. Dkt. No. 14 at 15-18. Malachowski states that his claims against Keith and Doe 2 arose on August 27, 2018, the day Malachowski was assaulted.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This is the date that Malachowski would have been aware of his injuries and aware of the connection between Keith and Doe 2's failures to protect him from his injuries. Thus, even assuming Malachowski's claim against Keith and Doe 2 fit within one of the three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fact patterns recognized by the Supreme Court—and it does not—Malachowski had until August 27, 2020, to file suit against Keith and Doe 2. But Malachowski filed his initial Complaint on September 14, 2020, 18 days after the statute of limitations passed. And here, Malachowski does not allege any facts plausibly supporting equitable tolling or any basis upon which the Court could revive this time-barred claim.</w:t>
      </w:r>
      <w:r>
        <w:rPr>
          <w:rFonts w:ascii="arial" w:eastAsia="arial" w:hAnsi="arial" w:cs="arial"/>
          <w:vertAlign w:val="superscript"/>
        </w:rPr>
        <w:footnoteReference w:customMarkFollows="1" w:id="6"/>
        <w:t xml:space="preserve">5</w:t>
      </w:r>
    </w:p>
    <w:p>
      <w:pPr>
        <w:keepNext w:val="0"/>
        <w:spacing w:before="240" w:after="0" w:line="260" w:lineRule="atLeast"/>
        <w:ind w:left="0" w:right="0" w:firstLine="0"/>
        <w:jc w:val="both"/>
      </w:pPr>
      <w:bookmarkStart w:id="47" w:name="Bookmark_para_35"/>
      <w:bookmarkEnd w:id="47"/>
      <w:r>
        <w:rPr>
          <w:rFonts w:ascii="arial" w:eastAsia="arial" w:hAnsi="arial" w:cs="arial"/>
          <w:b w:val="0"/>
          <w:i w:val="0"/>
          <w:strike w:val="0"/>
          <w:noProof w:val="0"/>
          <w:color w:val="000000"/>
          <w:position w:val="0"/>
          <w:sz w:val="20"/>
          <w:u w:val="none"/>
          <w:vertAlign w:val="baseline"/>
        </w:rPr>
        <w:t xml:space="preserve">For these reasons, Malachowski's failure-to-protect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claims against FCI-Big Spring Warden Billy Keith and Unit Correctional Officer John Doe 2 are DISMISSED as time-barred and for failure to state a claim upon which relief may be granted.</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5. Deliberate</w:t>
      </w:r>
      <w:r>
        <w:rPr>
          <w:rFonts w:ascii="arial" w:eastAsia="arial" w:hAnsi="arial" w:cs="arial"/>
          <w:b/>
          <w:i/>
          <w:strike w:val="0"/>
          <w:noProof w:val="0"/>
          <w:color w:val="000000"/>
          <w:position w:val="0"/>
          <w:sz w:val="20"/>
          <w:u w:val="none"/>
          <w:vertAlign w:val="baseline"/>
        </w:rPr>
        <w:t> [*16] </w:t>
      </w:r>
      <w:r>
        <w:rPr>
          <w:rFonts w:ascii="arial" w:eastAsia="arial" w:hAnsi="arial" w:cs="arial"/>
          <w:b w:val="0"/>
          <w:i/>
          <w:strike w:val="0"/>
          <w:noProof w:val="0"/>
          <w:color w:val="000000"/>
          <w:position w:val="0"/>
          <w:sz w:val="20"/>
          <w:u w:val="none"/>
          <w:vertAlign w:val="baseline"/>
        </w:rPr>
        <w:t xml:space="preserve"> indifference claims</w:t>
      </w:r>
    </w:p>
    <w:p>
      <w:pPr>
        <w:keepNext w:val="0"/>
        <w:spacing w:before="200" w:after="0" w:line="260" w:lineRule="atLeast"/>
        <w:ind w:left="0" w:right="0" w:firstLine="0"/>
        <w:jc w:val="both"/>
      </w:pPr>
      <w:bookmarkStart w:id="48" w:name="Bookmark_para_36"/>
      <w:bookmarkEnd w:id="48"/>
      <w:r>
        <w:rPr>
          <w:rFonts w:ascii="arial" w:eastAsia="arial" w:hAnsi="arial" w:cs="arial"/>
          <w:b w:val="0"/>
          <w:i w:val="0"/>
          <w:strike w:val="0"/>
          <w:noProof w:val="0"/>
          <w:color w:val="000000"/>
          <w:position w:val="0"/>
          <w:sz w:val="20"/>
          <w:u w:val="none"/>
          <w:vertAlign w:val="baseline"/>
        </w:rPr>
        <w:t xml:space="preserve">After the attack by other inmates, "[f]rom September, 2018, through September, 2020," Malachowski claims that "FBOP officials . . . effectively denied . . . [him] adequate medical diagnosis and treatment." Dkt. No. 14 at 18. Specifically, he believes that he should have been examined for a concussion and provided further treatment based on the "recommendations made by outside medical professionals that had originally evaluated"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 Malachowski claims that this failure to provide additional treatment exacerbated his injuries and potentially caused new injuries.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22-23.</w:t>
      </w:r>
    </w:p>
    <w:p>
      <w:pPr>
        <w:keepNext w:val="0"/>
        <w:spacing w:before="240" w:after="0" w:line="260" w:lineRule="atLeast"/>
        <w:ind w:left="0" w:right="0" w:firstLine="0"/>
        <w:jc w:val="both"/>
      </w:pPr>
      <w:bookmarkStart w:id="49" w:name="Bookmark_para_37"/>
      <w:bookmarkEnd w:id="49"/>
      <w:r>
        <w:rPr>
          <w:rFonts w:ascii="arial" w:eastAsia="arial" w:hAnsi="arial" w:cs="arial"/>
          <w:b w:val="0"/>
          <w:i w:val="0"/>
          <w:strike w:val="0"/>
          <w:noProof w:val="0"/>
          <w:color w:val="000000"/>
          <w:position w:val="0"/>
          <w:sz w:val="20"/>
          <w:u w:val="none"/>
          <w:vertAlign w:val="baseline"/>
        </w:rPr>
        <w:t xml:space="preserve">Although Malachowski does not reference a deliberate indifference claim in his responses to the Court's Questionnaire, he discusses it in his Second Amended Complaint. Dkt. No. 14. And it appears from Malachowski's Second Amended Complaint that his medical indifference claims arose at FCI Big-Spring and Great Plains Correctional Facility (GPCF) in Hinton, Oklahoma, the latter operated by a private contractor, the GEO Group.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18-25. But when Malachowski was asked through the Questionnaire to specifically identify the individuals that he brings claims against, he did not identify</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any individual at either facility as having been indifferent to his medical needs. Dkt. No. 28 at 3, 6-7. Nevertheless, because Malachowski raises deliberate indifference to medical needs in his Second Amended Complaint, and because the Supreme Court has found that failing to provide adequate medical treatment as required by the </w:t>
      </w:r>
      <w:hyperlink r:id="rId35"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can support a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claim, </w:t>
      </w:r>
      <w:r>
        <w:rPr>
          <w:rFonts w:ascii="arial" w:eastAsia="arial" w:hAnsi="arial" w:cs="arial"/>
          <w:b w:val="0"/>
          <w:i/>
          <w:strike w:val="0"/>
          <w:noProof w:val="0"/>
          <w:color w:val="000000"/>
          <w:position w:val="0"/>
          <w:sz w:val="20"/>
          <w:u w:val="none"/>
          <w:vertAlign w:val="baseline"/>
        </w:rPr>
        <w:t xml:space="preserve">see </w:t>
      </w:r>
      <w:hyperlink r:id="rId36" w:history="1">
        <w:r>
          <w:rPr>
            <w:rFonts w:ascii="arial" w:eastAsia="arial" w:hAnsi="arial" w:cs="arial"/>
            <w:b w:val="0"/>
            <w:i/>
            <w:strike w:val="0"/>
            <w:noProof w:val="0"/>
            <w:color w:val="0077CC"/>
            <w:position w:val="0"/>
            <w:sz w:val="20"/>
            <w:u w:val="single"/>
            <w:vertAlign w:val="baseline"/>
          </w:rPr>
          <w:t>Johnson</w:t>
        </w:r>
      </w:hyperlink>
      <w:hyperlink r:id="rId36" w:history="1">
        <w:r>
          <w:rPr>
            <w:rFonts w:ascii="arial" w:eastAsia="arial" w:hAnsi="arial" w:cs="arial"/>
            <w:b w:val="0"/>
            <w:i/>
            <w:strike w:val="0"/>
            <w:noProof w:val="0"/>
            <w:color w:val="0077CC"/>
            <w:position w:val="0"/>
            <w:sz w:val="20"/>
            <w:u w:val="single"/>
            <w:vertAlign w:val="baseline"/>
          </w:rPr>
          <w:t>, 2022 U.S. Dist. LEXIS 43751, 2022 WL 772953 at *3</w:t>
        </w:r>
      </w:hyperlink>
      <w:r>
        <w:rPr>
          <w:rFonts w:ascii="arial" w:eastAsia="arial" w:hAnsi="arial" w:cs="arial"/>
          <w:b w:val="0"/>
          <w:i w:val="0"/>
          <w:strike w:val="0"/>
          <w:noProof w:val="0"/>
          <w:color w:val="000000"/>
          <w:position w:val="0"/>
          <w:sz w:val="20"/>
          <w:u w:val="none"/>
          <w:vertAlign w:val="baseline"/>
        </w:rPr>
        <w:t>, the Court addresses it generally here, as against unknown individuals at FCI-Big Spring and GPCF.</w:t>
      </w:r>
    </w:p>
    <w:p>
      <w:pPr>
        <w:keepNext w:val="0"/>
        <w:spacing w:before="240" w:after="0" w:line="260" w:lineRule="atLeast"/>
        <w:ind w:left="0" w:right="0" w:firstLine="0"/>
        <w:jc w:val="both"/>
      </w:pPr>
      <w:bookmarkStart w:id="50" w:name="Bookmark_para_38"/>
      <w:bookmarkEnd w:id="50"/>
      <w:r>
        <w:rPr>
          <w:rFonts w:ascii="arial" w:eastAsia="arial" w:hAnsi="arial" w:cs="arial"/>
          <w:b w:val="0"/>
          <w:i w:val="0"/>
          <w:strike w:val="0"/>
          <w:noProof w:val="0"/>
          <w:color w:val="000000"/>
          <w:position w:val="0"/>
          <w:sz w:val="20"/>
          <w:u w:val="none"/>
          <w:vertAlign w:val="baseline"/>
        </w:rPr>
        <w:t xml:space="preserve">Unlike Malachowski's other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claims, it is unclear whether his deliberate indifference claims are time-barred.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Deliberate Indifference—FCI Big Spring</w:t>
      </w:r>
    </w:p>
    <w:p>
      <w:pPr>
        <w:keepNext w:val="0"/>
        <w:spacing w:before="200" w:after="0" w:line="260" w:lineRule="atLeast"/>
        <w:ind w:left="0" w:right="0" w:firstLine="0"/>
        <w:jc w:val="both"/>
      </w:pPr>
      <w:bookmarkStart w:id="51" w:name="Bookmark_para_39"/>
      <w:bookmarkEnd w:id="51"/>
      <w:r>
        <w:rPr>
          <w:rFonts w:ascii="arial" w:eastAsia="arial" w:hAnsi="arial" w:cs="arial"/>
          <w:b w:val="0"/>
          <w:i w:val="0"/>
          <w:strike w:val="0"/>
          <w:noProof w:val="0"/>
          <w:color w:val="000000"/>
          <w:position w:val="0"/>
          <w:sz w:val="20"/>
          <w:u w:val="none"/>
          <w:vertAlign w:val="baseline"/>
        </w:rPr>
        <w:t>FCI-Big Spring is operated by the BOP and presumably staffed with federal employees.</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Malachowski alleges that BOP officials' decisions, delays, and transfers between federal prisons caused Malachowski's serious medical needs to be denied, which exacerbated pre-existing injuries. Dkt. No. 14 at 18. He claims to suffer "chronic and substantial pain in his back, shoulder, wrist, and now experiences symptoms associated to serious head trauma (concussions)."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Malachowski says that he "was never examined for possible concussion after . . . [his] attack despite noticeable head injury . . .</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[he did receive] staples on the top of his head in order to close the inflicted wound."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 He further complains that "while spending 100 days in administrative segregation at FCI-Big Spring . . . no further diagnosis had been provided [to him] in accordance to recommendations made by outside medical professionals" that initially evaluated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Medical professionals supposedly recommended that Malachowski receive an "MRI should [his] symptoms persist according to the X-ray report."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3" w:name="Bookmark_para_40"/>
      <w:bookmarkEnd w:id="53"/>
      <w:r>
        <w:rPr>
          <w:rFonts w:ascii="arial" w:eastAsia="arial" w:hAnsi="arial" w:cs="arial"/>
          <w:b w:val="0"/>
          <w:i w:val="0"/>
          <w:strike w:val="0"/>
          <w:noProof w:val="0"/>
          <w:color w:val="000000"/>
          <w:position w:val="0"/>
          <w:sz w:val="20"/>
          <w:u w:val="none"/>
          <w:vertAlign w:val="baseline"/>
        </w:rPr>
        <w:t>Malachowski has never identified which officers at FCI-Big Spring were involved in being deliberately indifferent to his medical needs. Nonetheless, the Clerk is DIRECTED to add as Defendants in this case FCI-Big Spring Correctional Officers FNU LNU.</w:t>
      </w:r>
    </w:p>
    <w:p>
      <w:pPr>
        <w:keepNext w:val="0"/>
        <w:spacing w:before="240" w:after="0" w:line="260" w:lineRule="atLeast"/>
        <w:ind w:left="0" w:right="0" w:firstLine="0"/>
        <w:jc w:val="both"/>
      </w:pPr>
      <w:bookmarkStart w:id="54" w:name="Bookmark_para_41"/>
      <w:bookmarkEnd w:id="54"/>
      <w:r>
        <w:rPr>
          <w:rFonts w:ascii="arial" w:eastAsia="arial" w:hAnsi="arial" w:cs="arial"/>
          <w:b w:val="0"/>
          <w:i w:val="0"/>
          <w:strike w:val="0"/>
          <w:noProof w:val="0"/>
          <w:color w:val="000000"/>
          <w:position w:val="0"/>
          <w:sz w:val="20"/>
          <w:u w:val="none"/>
          <w:vertAlign w:val="baseline"/>
        </w:rPr>
        <w:t xml:space="preserve">To successfully claim a deliberate indifference to medical needs, a plaintiff must satisfy both an objective and subjective test. </w:t>
      </w:r>
      <w:hyperlink r:id="rId57" w:history="1">
        <w:r>
          <w:rPr>
            <w:rFonts w:ascii="arial" w:eastAsia="arial" w:hAnsi="arial" w:cs="arial"/>
            <w:b w:val="0"/>
            <w:i/>
            <w:strike w:val="0"/>
            <w:noProof w:val="0"/>
            <w:color w:val="0077CC"/>
            <w:position w:val="0"/>
            <w:sz w:val="20"/>
            <w:u w:val="single"/>
            <w:vertAlign w:val="baseline"/>
          </w:rPr>
          <w:t>Rogers</w:t>
        </w:r>
      </w:hyperlink>
      <w:hyperlink r:id="rId57" w:history="1">
        <w:r>
          <w:rPr>
            <w:rFonts w:ascii="arial" w:eastAsia="arial" w:hAnsi="arial" w:cs="arial"/>
            <w:b w:val="0"/>
            <w:i/>
            <w:strike w:val="0"/>
            <w:noProof w:val="0"/>
            <w:color w:val="0077CC"/>
            <w:position w:val="0"/>
            <w:sz w:val="20"/>
            <w:u w:val="single"/>
            <w:vertAlign w:val="baseline"/>
          </w:rPr>
          <w:t>, 709 F.3d at 410</w:t>
        </w:r>
      </w:hyperlink>
      <w:r>
        <w:rPr>
          <w:rFonts w:ascii="arial" w:eastAsia="arial" w:hAnsi="arial" w:cs="arial"/>
          <w:b w:val="0"/>
          <w:i w:val="0"/>
          <w:strike w:val="0"/>
          <w:noProof w:val="0"/>
          <w:color w:val="000000"/>
          <w:position w:val="0"/>
          <w:sz w:val="20"/>
          <w:u w:val="none"/>
          <w:vertAlign w:val="baseline"/>
        </w:rPr>
        <w:t xml:space="preserve">. An inmate must first show objective exposure to a substantial risk of serious bodily harm. </w:t>
      </w:r>
      <w:hyperlink r:id="rId58" w:history="1">
        <w:r>
          <w:rPr>
            <w:rFonts w:ascii="arial" w:eastAsia="arial" w:hAnsi="arial" w:cs="arial"/>
            <w:b w:val="0"/>
            <w:i/>
            <w:strike w:val="0"/>
            <w:noProof w:val="0"/>
            <w:color w:val="0077CC"/>
            <w:position w:val="0"/>
            <w:sz w:val="20"/>
            <w:u w:val="single"/>
            <w:vertAlign w:val="baseline"/>
          </w:rPr>
          <w:t>Gobert v. Caldwell</w:t>
        </w:r>
      </w:hyperlink>
      <w:hyperlink r:id="rId58" w:history="1">
        <w:r>
          <w:rPr>
            <w:rFonts w:ascii="arial" w:eastAsia="arial" w:hAnsi="arial" w:cs="arial"/>
            <w:b w:val="0"/>
            <w:i/>
            <w:strike w:val="0"/>
            <w:noProof w:val="0"/>
            <w:color w:val="0077CC"/>
            <w:position w:val="0"/>
            <w:sz w:val="20"/>
            <w:u w:val="single"/>
            <w:vertAlign w:val="baseline"/>
          </w:rPr>
          <w:t>, 463 F.3d 339, 345-46 (5th Cir. 2006)</w:t>
        </w:r>
      </w:hyperlink>
      <w:r>
        <w:rPr>
          <w:rFonts w:ascii="arial" w:eastAsia="arial" w:hAnsi="arial" w:cs="arial"/>
          <w:b w:val="0"/>
          <w:i w:val="0"/>
          <w:strike w:val="0"/>
          <w:noProof w:val="0"/>
          <w:color w:val="000000"/>
          <w:position w:val="0"/>
          <w:sz w:val="20"/>
          <w:u w:val="none"/>
          <w:vertAlign w:val="baseline"/>
        </w:rPr>
        <w:t>. As to the subjective component, a prison official acts with deliberate indifference only where he (1) knows the inmate faces a substantial risk of serious harm and (2) disregards that risk</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by failing to take reasonable measures to abate it. </w:t>
      </w:r>
      <w:hyperlink r:id="rId58" w:history="1">
        <w:r>
          <w:rPr>
            <w:rFonts w:ascii="arial" w:eastAsia="arial" w:hAnsi="arial" w:cs="arial"/>
            <w:b w:val="0"/>
            <w:i/>
            <w:strike w:val="0"/>
            <w:noProof w:val="0"/>
            <w:color w:val="0077CC"/>
            <w:position w:val="0"/>
            <w:sz w:val="20"/>
            <w:u w:val="single"/>
            <w:vertAlign w:val="baseline"/>
          </w:rPr>
          <w:t>Id.</w:t>
        </w:r>
      </w:hyperlink>
      <w:hyperlink r:id="rId58" w:history="1">
        <w:r>
          <w:rPr>
            <w:rFonts w:ascii="arial" w:eastAsia="arial" w:hAnsi="arial" w:cs="arial"/>
            <w:b w:val="0"/>
            <w:i/>
            <w:strike w:val="0"/>
            <w:noProof w:val="0"/>
            <w:color w:val="0077CC"/>
            <w:position w:val="0"/>
            <w:sz w:val="20"/>
            <w:u w:val="single"/>
            <w:vertAlign w:val="baseline"/>
          </w:rPr>
          <w:t xml:space="preserve"> at 346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59" w:history="1">
        <w:r>
          <w:rPr>
            <w:rFonts w:ascii="arial" w:eastAsia="arial" w:hAnsi="arial" w:cs="arial"/>
            <w:b w:val="0"/>
            <w:i/>
            <w:strike w:val="0"/>
            <w:noProof w:val="0"/>
            <w:color w:val="0077CC"/>
            <w:position w:val="0"/>
            <w:sz w:val="20"/>
            <w:u w:val="single"/>
            <w:vertAlign w:val="baseline"/>
          </w:rPr>
          <w:t>Harris v. Hegmann</w:t>
        </w:r>
      </w:hyperlink>
      <w:hyperlink r:id="rId59" w:history="1">
        <w:r>
          <w:rPr>
            <w:rFonts w:ascii="arial" w:eastAsia="arial" w:hAnsi="arial" w:cs="arial"/>
            <w:b w:val="0"/>
            <w:i/>
            <w:strike w:val="0"/>
            <w:noProof w:val="0"/>
            <w:color w:val="0077CC"/>
            <w:position w:val="0"/>
            <w:sz w:val="20"/>
            <w:u w:val="single"/>
            <w:vertAlign w:val="baseline"/>
          </w:rPr>
          <w:t>, 198 F.3d 153, 159 (5th Cir. 1999)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5" w:name="Bookmark_para_42"/>
      <w:bookmarkEnd w:id="55"/>
      <w:r>
        <w:rPr>
          <w:rFonts w:ascii="arial" w:eastAsia="arial" w:hAnsi="arial" w:cs="arial"/>
          <w:b w:val="0"/>
          <w:i w:val="0"/>
          <w:strike w:val="0"/>
          <w:noProof w:val="0"/>
          <w:color w:val="000000"/>
          <w:position w:val="0"/>
          <w:sz w:val="20"/>
          <w:u w:val="none"/>
          <w:vertAlign w:val="baseline"/>
        </w:rPr>
        <w:t xml:space="preserve">The deliberate indifference standard is difficult to meet. </w:t>
      </w:r>
      <w:r>
        <w:rPr>
          <w:rFonts w:ascii="arial" w:eastAsia="arial" w:hAnsi="arial" w:cs="arial"/>
          <w:b w:val="0"/>
          <w:i/>
          <w:strike w:val="0"/>
          <w:noProof w:val="0"/>
          <w:color w:val="000000"/>
          <w:position w:val="0"/>
          <w:sz w:val="20"/>
          <w:u w:val="none"/>
          <w:vertAlign w:val="baseline"/>
        </w:rPr>
        <w:t xml:space="preserve">See </w:t>
      </w:r>
      <w:hyperlink r:id="rId60" w:history="1">
        <w:r>
          <w:rPr>
            <w:rFonts w:ascii="arial" w:eastAsia="arial" w:hAnsi="arial" w:cs="arial"/>
            <w:b w:val="0"/>
            <w:i/>
            <w:strike w:val="0"/>
            <w:noProof w:val="0"/>
            <w:color w:val="0077CC"/>
            <w:position w:val="0"/>
            <w:sz w:val="20"/>
            <w:u w:val="single"/>
            <w:vertAlign w:val="baseline"/>
          </w:rPr>
          <w:t>Domino v. Texas Dep't of Criminal Justice</w:t>
        </w:r>
      </w:hyperlink>
      <w:hyperlink r:id="rId60" w:history="1">
        <w:r>
          <w:rPr>
            <w:rFonts w:ascii="arial" w:eastAsia="arial" w:hAnsi="arial" w:cs="arial"/>
            <w:b w:val="0"/>
            <w:i/>
            <w:strike w:val="0"/>
            <w:noProof w:val="0"/>
            <w:color w:val="0077CC"/>
            <w:position w:val="0"/>
            <w:sz w:val="20"/>
            <w:u w:val="single"/>
            <w:vertAlign w:val="baseline"/>
          </w:rPr>
          <w:t>, 239 F.3d 752, 756 (5th Cir. 2001)</w:t>
        </w:r>
      </w:hyperlink>
      <w:r>
        <w:rPr>
          <w:rFonts w:ascii="arial" w:eastAsia="arial" w:hAnsi="arial" w:cs="arial"/>
          <w:b w:val="0"/>
          <w:i w:val="0"/>
          <w:strike w:val="0"/>
          <w:noProof w:val="0"/>
          <w:color w:val="000000"/>
          <w:position w:val="0"/>
          <w:sz w:val="20"/>
          <w:u w:val="none"/>
          <w:vertAlign w:val="baseline"/>
        </w:rPr>
        <w:t xml:space="preserve">. "Deliberate indifference" means that the denial of medical treatment was "much more likely than not to result in serious medical consequences, and additionally that the defendants had sufficient knowledge of the situation so that the denial of medical care constituted wanton disregard of the prisoner's rights." </w:t>
      </w:r>
      <w:hyperlink r:id="rId61" w:history="1">
        <w:r>
          <w:rPr>
            <w:rFonts w:ascii="arial" w:eastAsia="arial" w:hAnsi="arial" w:cs="arial"/>
            <w:b w:val="0"/>
            <w:i/>
            <w:strike w:val="0"/>
            <w:noProof w:val="0"/>
            <w:color w:val="0077CC"/>
            <w:position w:val="0"/>
            <w:sz w:val="20"/>
            <w:u w:val="single"/>
            <w:vertAlign w:val="baseline"/>
          </w:rPr>
          <w:t>Johnson v. Treen</w:t>
        </w:r>
      </w:hyperlink>
      <w:hyperlink r:id="rId61" w:history="1">
        <w:r>
          <w:rPr>
            <w:rFonts w:ascii="arial" w:eastAsia="arial" w:hAnsi="arial" w:cs="arial"/>
            <w:b w:val="0"/>
            <w:i/>
            <w:strike w:val="0"/>
            <w:noProof w:val="0"/>
            <w:color w:val="0077CC"/>
            <w:position w:val="0"/>
            <w:sz w:val="20"/>
            <w:u w:val="single"/>
            <w:vertAlign w:val="baseline"/>
          </w:rPr>
          <w:t>, 759 F.2d 1231, 1238 (5th Cir. 1985)</w:t>
        </w:r>
      </w:hyperlink>
      <w:r>
        <w:rPr>
          <w:rFonts w:ascii="arial" w:eastAsia="arial" w:hAnsi="arial" w:cs="arial"/>
          <w:b w:val="0"/>
          <w:i w:val="0"/>
          <w:strike w:val="0"/>
          <w:noProof w:val="0"/>
          <w:color w:val="000000"/>
          <w:position w:val="0"/>
          <w:sz w:val="20"/>
          <w:u w:val="none"/>
          <w:vertAlign w:val="baseline"/>
        </w:rPr>
        <w:t xml:space="preserve">. Allegations of malpractice, negligence, or unsuccessful treatment fail to establish deliberate indifference. </w:t>
      </w:r>
      <w:hyperlink r:id="rId58" w:history="1">
        <w:r>
          <w:rPr>
            <w:rFonts w:ascii="arial" w:eastAsia="arial" w:hAnsi="arial" w:cs="arial"/>
            <w:b w:val="0"/>
            <w:i/>
            <w:strike w:val="0"/>
            <w:noProof w:val="0"/>
            <w:color w:val="0077CC"/>
            <w:position w:val="0"/>
            <w:sz w:val="20"/>
            <w:u w:val="single"/>
            <w:vertAlign w:val="baseline"/>
          </w:rPr>
          <w:t>Gobert</w:t>
        </w:r>
      </w:hyperlink>
      <w:hyperlink r:id="rId58" w:history="1">
        <w:r>
          <w:rPr>
            <w:rFonts w:ascii="arial" w:eastAsia="arial" w:hAnsi="arial" w:cs="arial"/>
            <w:b w:val="0"/>
            <w:i/>
            <w:strike w:val="0"/>
            <w:noProof w:val="0"/>
            <w:color w:val="0077CC"/>
            <w:position w:val="0"/>
            <w:sz w:val="20"/>
            <w:u w:val="single"/>
            <w:vertAlign w:val="baseline"/>
          </w:rPr>
          <w:t>, 463 F.3d at 346</w:t>
        </w:r>
      </w:hyperlink>
      <w:r>
        <w:rPr>
          <w:rFonts w:ascii="arial" w:eastAsia="arial" w:hAnsi="arial" w:cs="arial"/>
          <w:b w:val="0"/>
          <w:i w:val="0"/>
          <w:strike w:val="0"/>
          <w:noProof w:val="0"/>
          <w:color w:val="000000"/>
          <w:position w:val="0"/>
          <w:sz w:val="20"/>
          <w:u w:val="none"/>
          <w:vertAlign w:val="baseline"/>
        </w:rPr>
        <w:t xml:space="preserve">. Similarly, an inmate's disagreement with the medical treatment provided does not give rise to a constitutional claim. </w:t>
      </w:r>
      <w:hyperlink r:id="rId62" w:history="1">
        <w:r>
          <w:rPr>
            <w:rFonts w:ascii="arial" w:eastAsia="arial" w:hAnsi="arial" w:cs="arial"/>
            <w:b w:val="0"/>
            <w:i/>
            <w:strike w:val="0"/>
            <w:noProof w:val="0"/>
            <w:color w:val="0077CC"/>
            <w:position w:val="0"/>
            <w:sz w:val="20"/>
            <w:u w:val="single"/>
            <w:vertAlign w:val="baseline"/>
          </w:rPr>
          <w:t>Norton v. Dimazana</w:t>
        </w:r>
      </w:hyperlink>
      <w:hyperlink r:id="rId62" w:history="1">
        <w:r>
          <w:rPr>
            <w:rFonts w:ascii="arial" w:eastAsia="arial" w:hAnsi="arial" w:cs="arial"/>
            <w:b w:val="0"/>
            <w:i/>
            <w:strike w:val="0"/>
            <w:noProof w:val="0"/>
            <w:color w:val="0077CC"/>
            <w:position w:val="0"/>
            <w:sz w:val="20"/>
            <w:u w:val="single"/>
            <w:vertAlign w:val="baseline"/>
          </w:rPr>
          <w:t>, 122 F.3d 286, 292 (5th Cir. 1997)</w:t>
        </w:r>
      </w:hyperlink>
      <w:r>
        <w:rPr>
          <w:rFonts w:ascii="arial" w:eastAsia="arial" w:hAnsi="arial" w:cs="arial"/>
          <w:b w:val="0"/>
          <w:i w:val="0"/>
          <w:strike w:val="0"/>
          <w:noProof w:val="0"/>
          <w:color w:val="000000"/>
          <w:position w:val="0"/>
          <w:sz w:val="20"/>
          <w:u w:val="none"/>
          <w:vertAlign w:val="baseline"/>
        </w:rPr>
        <w:t xml:space="preserve">. The prison staff must have engaged in conduct that shows "a wanton disregard for any serious medical needs." </w:t>
      </w:r>
      <w:hyperlink r:id="rId63" w:history="1">
        <w:r>
          <w:rPr>
            <w:rFonts w:ascii="arial" w:eastAsia="arial" w:hAnsi="arial" w:cs="arial"/>
            <w:b w:val="0"/>
            <w:i/>
            <w:strike w:val="0"/>
            <w:noProof w:val="0"/>
            <w:color w:val="0077CC"/>
            <w:position w:val="0"/>
            <w:sz w:val="20"/>
            <w:u w:val="single"/>
            <w:vertAlign w:val="baseline"/>
          </w:rPr>
          <w:t>Treen</w:t>
        </w:r>
      </w:hyperlink>
      <w:hyperlink r:id="rId63" w:history="1">
        <w:r>
          <w:rPr>
            <w:rFonts w:ascii="arial" w:eastAsia="arial" w:hAnsi="arial" w:cs="arial"/>
            <w:b w:val="0"/>
            <w:i/>
            <w:strike w:val="0"/>
            <w:noProof w:val="0"/>
            <w:color w:val="0077CC"/>
            <w:position w:val="0"/>
            <w:sz w:val="20"/>
            <w:u w:val="single"/>
            <w:vertAlign w:val="baseline"/>
          </w:rPr>
          <w:t>, 759 F.2d at 1238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6" w:name="Bookmark_para_43"/>
      <w:bookmarkEnd w:id="56"/>
      <w:r>
        <w:rPr>
          <w:rFonts w:ascii="arial" w:eastAsia="arial" w:hAnsi="arial" w:cs="arial"/>
          <w:b w:val="0"/>
          <w:i w:val="0"/>
          <w:strike w:val="0"/>
          <w:noProof w:val="0"/>
          <w:color w:val="000000"/>
          <w:position w:val="0"/>
          <w:sz w:val="20"/>
          <w:u w:val="none"/>
          <w:vertAlign w:val="baseline"/>
        </w:rPr>
        <w:t>Here, Malachowski's factual allegations are broad and conclusory. While he disagrees with the medical care he received, Malachowski has not objectively demonstrated he faced a substantial risk of serious bodily harm if he did not receive the testing and treatments he considered necessary. He claims only that medical professionals suggested he receive further treatment if his symptoms persisted, but there are no</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facts plausibly supporting that not receiving a concussion examination or an MRI meant that serious medical consequences were much more likely to result to Malachowski.</w:t>
      </w:r>
    </w:p>
    <w:p>
      <w:pPr>
        <w:keepNext w:val="0"/>
        <w:spacing w:before="240" w:after="0" w:line="260" w:lineRule="atLeast"/>
        <w:ind w:left="0" w:right="0" w:firstLine="0"/>
        <w:jc w:val="both"/>
      </w:pPr>
      <w:bookmarkStart w:id="57" w:name="Bookmark_para_44"/>
      <w:bookmarkEnd w:id="57"/>
      <w:r>
        <w:rPr>
          <w:rFonts w:ascii="arial" w:eastAsia="arial" w:hAnsi="arial" w:cs="arial"/>
          <w:b w:val="0"/>
          <w:i w:val="0"/>
          <w:strike w:val="0"/>
          <w:noProof w:val="0"/>
          <w:color w:val="000000"/>
          <w:position w:val="0"/>
          <w:sz w:val="20"/>
          <w:u w:val="none"/>
          <w:vertAlign w:val="baseline"/>
        </w:rPr>
        <w:t xml:space="preserve">Additionally, he fails to identify a specific individual, by name or otherwise, who exhibited deliberate indifference to his medical needs. Without this, the Court is unable to conclude that it is plausible that any FCI-Big Spring official both knew that he faced a substantial risk of serious harm absent different treatment and wantonly disregarded that risk. To the contrary, the facts Malachowski provides establish that he received medical treatment for his injuries. He states that he received staples in his head after the inmates attacked him, and that while at FCI-Big Spring and GPCF, he has "been seen by medical staff numerous times" for his continued "condition and pain."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 In short, there are insufficient factual allegations to plausibly support that prison staff refused to treat him, ignored his complaints, intentionally treated him incorrectly, or engaged in any similar conduct that would clearly evince a wanton disregard for any serious medical needs. Malachowki's subjective belief that he should have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received additional medical treatment amounts only to a disagreement in medical care as opposed to deliberate indifference to his medical needs. </w:t>
      </w:r>
      <w:r>
        <w:rPr>
          <w:rFonts w:ascii="arial" w:eastAsia="arial" w:hAnsi="arial" w:cs="arial"/>
          <w:b w:val="0"/>
          <w:i/>
          <w:strike w:val="0"/>
          <w:noProof w:val="0"/>
          <w:color w:val="000000"/>
          <w:position w:val="0"/>
          <w:sz w:val="20"/>
          <w:u w:val="none"/>
          <w:vertAlign w:val="baseline"/>
        </w:rPr>
        <w:t xml:space="preserve">See </w:t>
      </w:r>
      <w:hyperlink r:id="rId62" w:history="1">
        <w:r>
          <w:rPr>
            <w:rFonts w:ascii="arial" w:eastAsia="arial" w:hAnsi="arial" w:cs="arial"/>
            <w:b w:val="0"/>
            <w:i/>
            <w:strike w:val="0"/>
            <w:noProof w:val="0"/>
            <w:color w:val="0077CC"/>
            <w:position w:val="0"/>
            <w:sz w:val="20"/>
            <w:u w:val="single"/>
            <w:vertAlign w:val="baseline"/>
          </w:rPr>
          <w:t>Norton</w:t>
        </w:r>
      </w:hyperlink>
      <w:hyperlink r:id="rId62" w:history="1">
        <w:r>
          <w:rPr>
            <w:rFonts w:ascii="arial" w:eastAsia="arial" w:hAnsi="arial" w:cs="arial"/>
            <w:b w:val="0"/>
            <w:i/>
            <w:strike w:val="0"/>
            <w:noProof w:val="0"/>
            <w:color w:val="0077CC"/>
            <w:position w:val="0"/>
            <w:sz w:val="20"/>
            <w:u w:val="single"/>
            <w:vertAlign w:val="baseline"/>
          </w:rPr>
          <w:t>, 122 F.3d at 292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8" w:name="Bookmark_para_45"/>
      <w:bookmarkEnd w:id="58"/>
      <w:r>
        <w:rPr>
          <w:rFonts w:ascii="arial" w:eastAsia="arial" w:hAnsi="arial" w:cs="arial"/>
          <w:b w:val="0"/>
          <w:i w:val="0"/>
          <w:strike w:val="0"/>
          <w:noProof w:val="0"/>
          <w:color w:val="000000"/>
          <w:position w:val="0"/>
          <w:sz w:val="20"/>
          <w:u w:val="none"/>
          <w:vertAlign w:val="baseline"/>
        </w:rPr>
        <w:t xml:space="preserve">For these reasons, Malachowski's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claims for deliberate indifference to his medical needs against FCI-Big Spring Correctional Officers FNU LNU are DISMISSED as frivolous and for failure to state a claim under </w:t>
      </w:r>
      <w:hyperlink r:id="rId13" w:history="1">
        <w:r>
          <w:rPr>
            <w:rFonts w:ascii="arial" w:eastAsia="arial" w:hAnsi="arial" w:cs="arial"/>
            <w:b w:val="0"/>
            <w:i/>
            <w:strike w:val="0"/>
            <w:noProof w:val="0"/>
            <w:color w:val="0077CC"/>
            <w:position w:val="0"/>
            <w:sz w:val="20"/>
            <w:u w:val="single"/>
            <w:vertAlign w:val="baseline"/>
          </w:rPr>
          <w:t>28 U.S.C. § 1915A(b)</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Deliberate Indifference—GPCF</w:t>
      </w:r>
    </w:p>
    <w:p>
      <w:pPr>
        <w:keepNext w:val="0"/>
        <w:spacing w:before="200" w:after="0" w:line="260" w:lineRule="atLeast"/>
        <w:ind w:left="0" w:right="0" w:firstLine="0"/>
        <w:jc w:val="both"/>
      </w:pPr>
      <w:bookmarkStart w:id="59" w:name="Bookmark_para_46"/>
      <w:bookmarkEnd w:id="59"/>
      <w:r>
        <w:rPr>
          <w:rFonts w:ascii="arial" w:eastAsia="arial" w:hAnsi="arial" w:cs="arial"/>
          <w:b w:val="0"/>
          <w:i w:val="0"/>
          <w:strike w:val="0"/>
          <w:noProof w:val="0"/>
          <w:color w:val="000000"/>
          <w:position w:val="0"/>
          <w:sz w:val="20"/>
          <w:u w:val="none"/>
          <w:vertAlign w:val="baseline"/>
        </w:rPr>
        <w:t xml:space="preserve">Malachowski does not appear to make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claims against the employees of The GEO Group (GEO) that operated GPCF while he was there. He does not mention GEO or GPCF among the parties he sues—</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14 at 1-5—nor among his causes of action—</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26-33. Similarly, Malachowski does not reference GEO or GPCF in response to the Court's Questionnaire's directing him to identify "each defendant you are bringing claims against."</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Dkt. No. 28 at 3, 6-7.</w:t>
      </w:r>
    </w:p>
    <w:p>
      <w:pPr>
        <w:keepNext w:val="0"/>
        <w:spacing w:before="200" w:after="0" w:line="260" w:lineRule="atLeast"/>
        <w:ind w:left="0" w:right="0" w:firstLine="0"/>
        <w:jc w:val="both"/>
      </w:pPr>
      <w:bookmarkStart w:id="61" w:name="Bookmark_para_47"/>
      <w:bookmarkEnd w:id="61"/>
      <w:r>
        <w:rPr>
          <w:rFonts w:ascii="arial" w:eastAsia="arial" w:hAnsi="arial" w:cs="arial"/>
          <w:b w:val="0"/>
          <w:i w:val="0"/>
          <w:strike w:val="0"/>
          <w:noProof w:val="0"/>
          <w:color w:val="000000"/>
          <w:position w:val="0"/>
          <w:sz w:val="20"/>
          <w:u w:val="none"/>
          <w:vertAlign w:val="baseline"/>
        </w:rPr>
        <w:t>Moreover, in contrast to the BOP's operation of FCI-Big Spring, Malachowski alleges that GPCF is a "for profit" entity that is "privately run" and "operated by GEO." Dkt. No. 14 at 19-20. And the Court takes judicial notice that The GEO Group is indeed a private corporation that provides contract services at various facilities for the BOP, including at</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GPCF.</w:t>
      </w:r>
      <w:r>
        <w:rPr>
          <w:rFonts w:ascii="arial" w:eastAsia="arial" w:hAnsi="arial" w:cs="arial"/>
          <w:vertAlign w:val="superscript"/>
        </w:rPr>
        <w:footnoteReference w:customMarkFollows="1" w:id="9"/>
        <w:t xml:space="preserve">8</w:t>
      </w:r>
    </w:p>
    <w:p>
      <w:pPr>
        <w:keepNext w:val="0"/>
        <w:spacing w:before="240" w:after="0" w:line="260" w:lineRule="atLeast"/>
        <w:ind w:left="0" w:right="0" w:firstLine="0"/>
        <w:jc w:val="both"/>
      </w:pPr>
      <w:bookmarkStart w:id="63" w:name="Bookmark_para_48"/>
      <w:bookmarkEnd w:id="63"/>
      <w:r>
        <w:rPr>
          <w:rFonts w:ascii="arial" w:eastAsia="arial" w:hAnsi="arial" w:cs="arial"/>
          <w:b w:val="0"/>
          <w:i w:val="0"/>
          <w:strike w:val="0"/>
          <w:noProof w:val="0"/>
          <w:color w:val="000000"/>
          <w:position w:val="0"/>
          <w:sz w:val="20"/>
          <w:u w:val="none"/>
          <w:vertAlign w:val="baseline"/>
        </w:rPr>
        <w:t xml:space="preserve">Even if the Court attempted to construe a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claim against GEO employees at GPCF, it would fail. The Supreme Court in </w:t>
      </w:r>
      <w:r>
        <w:rPr>
          <w:rFonts w:ascii="arial" w:eastAsia="arial" w:hAnsi="arial" w:cs="arial"/>
          <w:b w:val="0"/>
          <w:i/>
          <w:strike w:val="0"/>
          <w:noProof w:val="0"/>
          <w:color w:val="000000"/>
          <w:position w:val="0"/>
          <w:sz w:val="20"/>
          <w:u w:val="none"/>
          <w:vertAlign w:val="baseline"/>
        </w:rPr>
        <w:t>Minneci v. Pollard</w:t>
      </w:r>
      <w:r>
        <w:rPr>
          <w:rFonts w:ascii="arial" w:eastAsia="arial" w:hAnsi="arial" w:cs="arial"/>
          <w:b w:val="0"/>
          <w:i w:val="0"/>
          <w:strike w:val="0"/>
          <w:noProof w:val="0"/>
          <w:color w:val="000000"/>
          <w:position w:val="0"/>
          <w:sz w:val="20"/>
          <w:u w:val="none"/>
          <w:vertAlign w:val="baseline"/>
        </w:rPr>
        <w:t xml:space="preserve"> expressly declined to create an implied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damages remedy in the </w:t>
      </w:r>
      <w:hyperlink r:id="rId35"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context against employees of a privately-operated federal prison. </w:t>
      </w:r>
      <w:hyperlink r:id="rId64" w:history="1">
        <w:r>
          <w:rPr>
            <w:rFonts w:ascii="arial" w:eastAsia="arial" w:hAnsi="arial" w:cs="arial"/>
            <w:b w:val="0"/>
            <w:i/>
            <w:strike w:val="0"/>
            <w:noProof w:val="0"/>
            <w:color w:val="0077CC"/>
            <w:position w:val="0"/>
            <w:sz w:val="20"/>
            <w:u w:val="single"/>
            <w:vertAlign w:val="baseline"/>
          </w:rPr>
          <w:t>565 U.S. 118, 132 S. Ct. 617, 181 L. Ed. 2d 606 (2012)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4" w:name="Bookmark_para_49"/>
      <w:bookmarkEnd w:id="64"/>
      <w:r>
        <w:rPr>
          <w:rFonts w:ascii="arial" w:eastAsia="arial" w:hAnsi="arial" w:cs="arial"/>
          <w:b w:val="0"/>
          <w:i/>
          <w:strike w:val="0"/>
          <w:noProof w:val="0"/>
          <w:color w:val="000000"/>
          <w:position w:val="0"/>
          <w:sz w:val="20"/>
          <w:u w:val="none"/>
          <w:vertAlign w:val="baseline"/>
        </w:rPr>
        <w:t>Minneci</w:t>
      </w:r>
      <w:r>
        <w:rPr>
          <w:rFonts w:ascii="arial" w:eastAsia="arial" w:hAnsi="arial" w:cs="arial"/>
          <w:b w:val="0"/>
          <w:i w:val="0"/>
          <w:strike w:val="0"/>
          <w:noProof w:val="0"/>
          <w:color w:val="000000"/>
          <w:position w:val="0"/>
          <w:sz w:val="20"/>
          <w:u w:val="none"/>
          <w:vertAlign w:val="baseline"/>
        </w:rPr>
        <w:t xml:space="preserve"> involved a federal prisoner, housed at a facility operated by a private company, who alleged that prison employees had deprived him of medical care in violation of the </w:t>
      </w:r>
      <w:hyperlink r:id="rId35" w:history="1">
        <w:r>
          <w:rPr>
            <w:rFonts w:ascii="arial" w:eastAsia="arial" w:hAnsi="arial" w:cs="arial"/>
            <w:b w:val="0"/>
            <w:i/>
            <w:strike w:val="0"/>
            <w:noProof w:val="0"/>
            <w:color w:val="0077CC"/>
            <w:position w:val="0"/>
            <w:sz w:val="20"/>
            <w:u w:val="single"/>
            <w:vertAlign w:val="baseline"/>
          </w:rPr>
          <w:t>Eighth Amendment's</w:t>
        </w:r>
      </w:hyperlink>
      <w:r>
        <w:rPr>
          <w:rFonts w:ascii="arial" w:eastAsia="arial" w:hAnsi="arial" w:cs="arial"/>
          <w:b w:val="0"/>
          <w:i w:val="0"/>
          <w:strike w:val="0"/>
          <w:noProof w:val="0"/>
          <w:color w:val="000000"/>
          <w:position w:val="0"/>
          <w:sz w:val="20"/>
          <w:u w:val="none"/>
          <w:vertAlign w:val="baseline"/>
        </w:rPr>
        <w:t xml:space="preserve"> prohibition against cruel and unusual punishment. </w:t>
      </w:r>
      <w:hyperlink r:id="rId64" w:history="1">
        <w:r>
          <w:rPr>
            <w:rFonts w:ascii="arial" w:eastAsia="arial" w:hAnsi="arial" w:cs="arial"/>
            <w:b w:val="0"/>
            <w:i/>
            <w:strike w:val="0"/>
            <w:noProof w:val="0"/>
            <w:color w:val="0077CC"/>
            <w:position w:val="0"/>
            <w:sz w:val="20"/>
            <w:u w:val="single"/>
            <w:vertAlign w:val="baseline"/>
          </w:rPr>
          <w:t>Id.</w:t>
        </w:r>
      </w:hyperlink>
      <w:hyperlink r:id="rId64" w:history="1">
        <w:r>
          <w:rPr>
            <w:rFonts w:ascii="arial" w:eastAsia="arial" w:hAnsi="arial" w:cs="arial"/>
            <w:b w:val="0"/>
            <w:i/>
            <w:strike w:val="0"/>
            <w:noProof w:val="0"/>
            <w:color w:val="0077CC"/>
            <w:position w:val="0"/>
            <w:sz w:val="20"/>
            <w:u w:val="single"/>
            <w:vertAlign w:val="baseline"/>
          </w:rPr>
          <w:t xml:space="preserve"> at 121</w:t>
        </w:r>
      </w:hyperlink>
      <w:r>
        <w:rPr>
          <w:rFonts w:ascii="arial" w:eastAsia="arial" w:hAnsi="arial" w:cs="arial"/>
          <w:b w:val="0"/>
          <w:i w:val="0"/>
          <w:strike w:val="0"/>
          <w:noProof w:val="0"/>
          <w:color w:val="000000"/>
          <w:position w:val="0"/>
          <w:sz w:val="20"/>
          <w:u w:val="none"/>
          <w:vertAlign w:val="baseline"/>
        </w:rPr>
        <w:t xml:space="preserve">. In declining to recognize a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remedy against the private employees, the </w:t>
      </w:r>
      <w:r>
        <w:rPr>
          <w:rFonts w:ascii="arial" w:eastAsia="arial" w:hAnsi="arial" w:cs="arial"/>
          <w:b w:val="0"/>
          <w:i/>
          <w:strike w:val="0"/>
          <w:noProof w:val="0"/>
          <w:color w:val="000000"/>
          <w:position w:val="0"/>
          <w:sz w:val="20"/>
          <w:u w:val="none"/>
          <w:vertAlign w:val="baseline"/>
        </w:rPr>
        <w:t>Minneci</w:t>
      </w:r>
      <w:r>
        <w:rPr>
          <w:rFonts w:ascii="arial" w:eastAsia="arial" w:hAnsi="arial" w:cs="arial"/>
          <w:b w:val="0"/>
          <w:i w:val="0"/>
          <w:strike w:val="0"/>
          <w:noProof w:val="0"/>
          <w:color w:val="000000"/>
          <w:position w:val="0"/>
          <w:sz w:val="20"/>
          <w:u w:val="none"/>
          <w:vertAlign w:val="baseline"/>
        </w:rPr>
        <w:t xml:space="preserve"> Court noted that government employment status "makes a critical difference" because "[p]risoners ordinarily </w:t>
      </w:r>
      <w:r>
        <w:rPr>
          <w:rFonts w:ascii="arial" w:eastAsia="arial" w:hAnsi="arial" w:cs="arial"/>
          <w:b w:val="0"/>
          <w:i/>
          <w:strike w:val="0"/>
          <w:noProof w:val="0"/>
          <w:color w:val="000000"/>
          <w:position w:val="0"/>
          <w:sz w:val="20"/>
          <w:u w:val="none"/>
          <w:vertAlign w:val="baseline"/>
        </w:rPr>
        <w:t>cannot</w:t>
      </w:r>
      <w:r>
        <w:rPr>
          <w:rFonts w:ascii="arial" w:eastAsia="arial" w:hAnsi="arial" w:cs="arial"/>
          <w:b w:val="0"/>
          <w:i w:val="0"/>
          <w:strike w:val="0"/>
          <w:noProof w:val="0"/>
          <w:color w:val="000000"/>
          <w:position w:val="0"/>
          <w:sz w:val="20"/>
          <w:u w:val="none"/>
          <w:vertAlign w:val="baseline"/>
        </w:rPr>
        <w:t xml:space="preserve"> bring state-law tort actions against employees of the Federal Government." </w:t>
      </w:r>
      <w:hyperlink r:id="rId64" w:history="1">
        <w:r>
          <w:rPr>
            <w:rFonts w:ascii="arial" w:eastAsia="arial" w:hAnsi="arial" w:cs="arial"/>
            <w:b w:val="0"/>
            <w:i/>
            <w:strike w:val="0"/>
            <w:noProof w:val="0"/>
            <w:color w:val="0077CC"/>
            <w:position w:val="0"/>
            <w:sz w:val="20"/>
            <w:u w:val="single"/>
            <w:vertAlign w:val="baseline"/>
          </w:rPr>
          <w:t>Id.</w:t>
        </w:r>
      </w:hyperlink>
      <w:hyperlink r:id="rId64" w:history="1">
        <w:r>
          <w:rPr>
            <w:rFonts w:ascii="arial" w:eastAsia="arial" w:hAnsi="arial" w:cs="arial"/>
            <w:b w:val="0"/>
            <w:i/>
            <w:strike w:val="0"/>
            <w:noProof w:val="0"/>
            <w:color w:val="0077CC"/>
            <w:position w:val="0"/>
            <w:sz w:val="20"/>
            <w:u w:val="single"/>
            <w:vertAlign w:val="baseline"/>
          </w:rPr>
          <w:t xml:space="preserve"> at 126</w:t>
        </w:r>
      </w:hyperlink>
      <w:r>
        <w:rPr>
          <w:rFonts w:ascii="arial" w:eastAsia="arial" w:hAnsi="arial" w:cs="arial"/>
          <w:b w:val="0"/>
          <w:i w:val="0"/>
          <w:strike w:val="0"/>
          <w:noProof w:val="0"/>
          <w:color w:val="000000"/>
          <w:position w:val="0"/>
          <w:sz w:val="20"/>
          <w:u w:val="none"/>
          <w:vertAlign w:val="baseline"/>
        </w:rPr>
        <w:t xml:space="preserve">. The Court ultimately held that the prisoner could not assert a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claim against private prison employees because the alleged conduct typically fell within the scope of state tort law, which "provides an 'alternative, existing process' capable of protecting the constitutional interests at stake." </w:t>
      </w:r>
      <w:hyperlink r:id="rId64" w:history="1">
        <w:r>
          <w:rPr>
            <w:rFonts w:ascii="arial" w:eastAsia="arial" w:hAnsi="arial" w:cs="arial"/>
            <w:b w:val="0"/>
            <w:i/>
            <w:strike w:val="0"/>
            <w:noProof w:val="0"/>
            <w:color w:val="0077CC"/>
            <w:position w:val="0"/>
            <w:sz w:val="20"/>
            <w:u w:val="single"/>
            <w:vertAlign w:val="baseline"/>
          </w:rPr>
          <w:t>Id.</w:t>
        </w:r>
      </w:hyperlink>
      <w:hyperlink r:id="rId64" w:history="1">
        <w:r>
          <w:rPr>
            <w:rFonts w:ascii="arial" w:eastAsia="arial" w:hAnsi="arial" w:cs="arial"/>
            <w:b w:val="0"/>
            <w:i/>
            <w:strike w:val="0"/>
            <w:noProof w:val="0"/>
            <w:color w:val="0077CC"/>
            <w:position w:val="0"/>
            <w:sz w:val="20"/>
            <w:u w:val="single"/>
            <w:vertAlign w:val="baseline"/>
          </w:rPr>
          <w:t xml:space="preserve"> at 125</w:t>
        </w:r>
      </w:hyperlink>
      <w:r>
        <w:rPr>
          <w:rFonts w:ascii="arial" w:eastAsia="arial" w:hAnsi="arial" w:cs="arial"/>
          <w:b w:val="0"/>
          <w:i w:val="0"/>
          <w:strike w:val="0"/>
          <w:noProof w:val="0"/>
          <w:color w:val="000000"/>
          <w:position w:val="0"/>
          <w:sz w:val="20"/>
          <w:u w:val="none"/>
          <w:vertAlign w:val="baseline"/>
        </w:rPr>
        <w:t xml:space="preserve"> (quoting </w:t>
      </w:r>
      <w:hyperlink r:id="rId65" w:history="1">
        <w:r>
          <w:rPr>
            <w:rFonts w:ascii="arial" w:eastAsia="arial" w:hAnsi="arial" w:cs="arial"/>
            <w:b w:val="0"/>
            <w:i/>
            <w:strike w:val="0"/>
            <w:noProof w:val="0"/>
            <w:color w:val="0077CC"/>
            <w:position w:val="0"/>
            <w:sz w:val="20"/>
            <w:u w:val="single"/>
            <w:vertAlign w:val="baseline"/>
          </w:rPr>
          <w:t>Wilkie v. Robbins</w:t>
        </w:r>
      </w:hyperlink>
      <w:hyperlink r:id="rId65" w:history="1">
        <w:r>
          <w:rPr>
            <w:rFonts w:ascii="arial" w:eastAsia="arial" w:hAnsi="arial" w:cs="arial"/>
            <w:b w:val="0"/>
            <w:i/>
            <w:strike w:val="0"/>
            <w:noProof w:val="0"/>
            <w:color w:val="0077CC"/>
            <w:position w:val="0"/>
            <w:sz w:val="20"/>
            <w:u w:val="single"/>
            <w:vertAlign w:val="baseline"/>
          </w:rPr>
          <w:t>, 551 U.S. 537, 550, 127 S. Ct. 2588, 168 L. Ed. 2d 389 (2007)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5" w:name="Bookmark_para_50"/>
      <w:bookmarkEnd w:id="65"/>
      <w:r>
        <w:rPr>
          <w:rFonts w:ascii="arial" w:eastAsia="arial" w:hAnsi="arial" w:cs="arial"/>
          <w:b w:val="0"/>
          <w:i w:val="0"/>
          <w:strike w:val="0"/>
          <w:noProof w:val="0"/>
          <w:color w:val="000000"/>
          <w:position w:val="0"/>
          <w:sz w:val="20"/>
          <w:u w:val="none"/>
          <w:vertAlign w:val="baseline"/>
        </w:rPr>
        <w:t xml:space="preserve">And here, Oklahoma law provides a cause of action for medical negligence.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i/>
          <w:strike w:val="0"/>
          <w:noProof w:val="0"/>
          <w:color w:val="000000"/>
          <w:position w:val="0"/>
          <w:sz w:val="20"/>
          <w:u w:val="none"/>
          <w:vertAlign w:val="baseline"/>
        </w:rPr>
        <w:t> [*23] </w:t>
      </w:r>
      <w:r>
        <w:rPr>
          <w:rFonts w:ascii="arial" w:eastAsia="arial" w:hAnsi="arial" w:cs="arial"/>
          <w:b w:val="0"/>
          <w:i/>
          <w:strike w:val="0"/>
          <w:noProof w:val="0"/>
          <w:color w:val="000000"/>
          <w:position w:val="0"/>
          <w:sz w:val="20"/>
          <w:u w:val="none"/>
          <w:vertAlign w:val="baseline"/>
        </w:rPr>
        <w:t xml:space="preserve"> </w:t>
      </w:r>
      <w:hyperlink r:id="rId66" w:history="1">
        <w:r>
          <w:rPr>
            <w:rFonts w:ascii="arial" w:eastAsia="arial" w:hAnsi="arial" w:cs="arial"/>
            <w:b w:val="0"/>
            <w:i/>
            <w:strike w:val="0"/>
            <w:noProof w:val="0"/>
            <w:color w:val="0077CC"/>
            <w:position w:val="0"/>
            <w:sz w:val="20"/>
            <w:u w:val="single"/>
            <w:vertAlign w:val="baseline"/>
          </w:rPr>
          <w:t>Smith v. Hines</w:t>
        </w:r>
      </w:hyperlink>
      <w:hyperlink r:id="rId66" w:history="1">
        <w:r>
          <w:rPr>
            <w:rFonts w:ascii="arial" w:eastAsia="arial" w:hAnsi="arial" w:cs="arial"/>
            <w:b w:val="0"/>
            <w:i/>
            <w:strike w:val="0"/>
            <w:noProof w:val="0"/>
            <w:color w:val="0077CC"/>
            <w:position w:val="0"/>
            <w:sz w:val="20"/>
            <w:u w:val="single"/>
            <w:vertAlign w:val="baseline"/>
          </w:rPr>
          <w:t>, 2011 OK 51, 261 P.3d 1129, 1133 (Okla. 2011)</w:t>
        </w:r>
      </w:hyperlink>
      <w:r>
        <w:rPr>
          <w:rFonts w:ascii="arial" w:eastAsia="arial" w:hAnsi="arial" w:cs="arial"/>
          <w:b w:val="0"/>
          <w:i w:val="0"/>
          <w:strike w:val="0"/>
          <w:noProof w:val="0"/>
          <w:color w:val="000000"/>
          <w:position w:val="0"/>
          <w:sz w:val="20"/>
          <w:u w:val="none"/>
          <w:vertAlign w:val="baseline"/>
        </w:rPr>
        <w:t xml:space="preserve">. The remedies available through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and state tort law "need not be perfectly congruent" so long as they "provide roughly similar incentives for potential defendants to comply with the </w:t>
      </w:r>
      <w:hyperlink r:id="rId35"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and "roughly similar compensation to victims of violations" </w:t>
      </w:r>
      <w:hyperlink r:id="rId64" w:history="1">
        <w:r>
          <w:rPr>
            <w:rFonts w:ascii="arial" w:eastAsia="arial" w:hAnsi="arial" w:cs="arial"/>
            <w:b w:val="0"/>
            <w:i/>
            <w:strike w:val="0"/>
            <w:noProof w:val="0"/>
            <w:color w:val="0077CC"/>
            <w:position w:val="0"/>
            <w:sz w:val="20"/>
            <w:u w:val="single"/>
            <w:vertAlign w:val="baseline"/>
          </w:rPr>
          <w:t>Minneci</w:t>
        </w:r>
      </w:hyperlink>
      <w:hyperlink r:id="rId64" w:history="1">
        <w:r>
          <w:rPr>
            <w:rFonts w:ascii="arial" w:eastAsia="arial" w:hAnsi="arial" w:cs="arial"/>
            <w:b w:val="0"/>
            <w:i/>
            <w:strike w:val="0"/>
            <w:noProof w:val="0"/>
            <w:color w:val="0077CC"/>
            <w:position w:val="0"/>
            <w:sz w:val="20"/>
            <w:u w:val="single"/>
            <w:vertAlign w:val="baseline"/>
          </w:rPr>
          <w:t>, 565 U.S. at 129‒30</w:t>
        </w:r>
      </w:hyperlink>
      <w:r>
        <w:rPr>
          <w:rFonts w:ascii="arial" w:eastAsia="arial" w:hAnsi="arial" w:cs="arial"/>
          <w:b w:val="0"/>
          <w:i w:val="0"/>
          <w:strike w:val="0"/>
          <w:noProof w:val="0"/>
          <w:color w:val="000000"/>
          <w:position w:val="0"/>
          <w:sz w:val="20"/>
          <w:u w:val="none"/>
          <w:vertAlign w:val="baseline"/>
        </w:rPr>
        <w:t xml:space="preserve">. Like </w:t>
      </w:r>
      <w:r>
        <w:rPr>
          <w:rFonts w:ascii="arial" w:eastAsia="arial" w:hAnsi="arial" w:cs="arial"/>
          <w:b w:val="0"/>
          <w:i/>
          <w:strike w:val="0"/>
          <w:noProof w:val="0"/>
          <w:color w:val="000000"/>
          <w:position w:val="0"/>
          <w:sz w:val="20"/>
          <w:u w:val="none"/>
          <w:vertAlign w:val="baseline"/>
        </w:rPr>
        <w:t>Minneci</w:t>
      </w:r>
      <w:r>
        <w:rPr>
          <w:rFonts w:ascii="arial" w:eastAsia="arial" w:hAnsi="arial" w:cs="arial"/>
          <w:b w:val="0"/>
          <w:i w:val="0"/>
          <w:strike w:val="0"/>
          <w:noProof w:val="0"/>
          <w:color w:val="000000"/>
          <w:position w:val="0"/>
          <w:sz w:val="20"/>
          <w:u w:val="none"/>
          <w:vertAlign w:val="baseline"/>
        </w:rPr>
        <w:t>, Malachowski seeks damages for inadequate medical treatment by officials at a privately-operated prison. Oklahoma tort law provides remedies for the harm Malachowski alleges.</w:t>
      </w:r>
    </w:p>
    <w:p>
      <w:pPr>
        <w:keepNext w:val="0"/>
        <w:spacing w:before="240" w:after="0" w:line="260" w:lineRule="atLeast"/>
        <w:ind w:left="0" w:right="0" w:firstLine="0"/>
        <w:jc w:val="both"/>
      </w:pPr>
      <w:bookmarkStart w:id="66" w:name="Bookmark_para_51"/>
      <w:bookmarkEnd w:id="66"/>
      <w:r>
        <w:rPr>
          <w:rFonts w:ascii="arial" w:eastAsia="arial" w:hAnsi="arial" w:cs="arial"/>
          <w:b w:val="0"/>
          <w:i w:val="0"/>
          <w:strike w:val="0"/>
          <w:noProof w:val="0"/>
          <w:color w:val="000000"/>
          <w:position w:val="0"/>
          <w:sz w:val="20"/>
          <w:u w:val="none"/>
          <w:vertAlign w:val="baseline"/>
        </w:rPr>
        <w:t xml:space="preserve">But here, the Court finds it unnecessary to construe a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claim against GEO employees at GPCF because "liberal construction does not require that the Court . . . create causes of action where there are none." </w:t>
      </w:r>
      <w:hyperlink r:id="rId25" w:history="1">
        <w:r>
          <w:rPr>
            <w:rFonts w:ascii="arial" w:eastAsia="arial" w:hAnsi="arial" w:cs="arial"/>
            <w:b w:val="0"/>
            <w:i/>
            <w:strike w:val="0"/>
            <w:noProof w:val="0"/>
            <w:color w:val="0077CC"/>
            <w:position w:val="0"/>
            <w:sz w:val="20"/>
            <w:u w:val="single"/>
            <w:vertAlign w:val="baseline"/>
          </w:rPr>
          <w:t>Smith v. CVS Caremark Corp.</w:t>
        </w:r>
      </w:hyperlink>
      <w:hyperlink r:id="rId25" w:history="1">
        <w:r>
          <w:rPr>
            <w:rFonts w:ascii="arial" w:eastAsia="arial" w:hAnsi="arial" w:cs="arial"/>
            <w:b w:val="0"/>
            <w:i/>
            <w:strike w:val="0"/>
            <w:noProof w:val="0"/>
            <w:color w:val="0077CC"/>
            <w:position w:val="0"/>
            <w:sz w:val="20"/>
            <w:u w:val="single"/>
            <w:vertAlign w:val="baseline"/>
          </w:rPr>
          <w:t>, No. 3:12-cv-2465-B, 2013 U.S. Dist. LEXIS 73599, 2013 WL 2291886, at *8 (N.D. Tex. May 23, 2013)</w:t>
        </w:r>
      </w:hyperlink>
      <w:r>
        <w:rPr>
          <w:rFonts w:ascii="arial" w:eastAsia="arial" w:hAnsi="arial" w:cs="arial"/>
          <w:b w:val="0"/>
          <w:i w:val="0"/>
          <w:strike w:val="0"/>
          <w:noProof w:val="0"/>
          <w:color w:val="000000"/>
          <w:position w:val="0"/>
          <w:sz w:val="20"/>
          <w:u w:val="none"/>
          <w:vertAlign w:val="baseline"/>
        </w:rPr>
        <w:t xml:space="preserve">. "To demand otherwise would require the 'courts to explore exhaustively all potential claims of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plaintiff'" and would "'transform the district court from its legitimate advisory role to the improper role of an advocate seeking out the strongest arguments and most successful strategies for a party.'" </w:t>
      </w:r>
      <w:hyperlink r:id="rId26" w:history="1">
        <w:r>
          <w:rPr>
            <w:rFonts w:ascii="arial" w:eastAsia="arial" w:hAnsi="arial" w:cs="arial"/>
            <w:b w:val="0"/>
            <w:i/>
            <w:strike w:val="0"/>
            <w:noProof w:val="0"/>
            <w:color w:val="0077CC"/>
            <w:position w:val="0"/>
            <w:sz w:val="20"/>
            <w:u w:val="single"/>
            <w:vertAlign w:val="baseline"/>
          </w:rPr>
          <w:t>Jones v. Mangrum</w:t>
        </w:r>
      </w:hyperlink>
      <w:hyperlink r:id="rId26" w:history="1">
        <w:r>
          <w:rPr>
            <w:rFonts w:ascii="arial" w:eastAsia="arial" w:hAnsi="arial" w:cs="arial"/>
            <w:b w:val="0"/>
            <w:i/>
            <w:strike w:val="0"/>
            <w:noProof w:val="0"/>
            <w:color w:val="0077CC"/>
            <w:position w:val="0"/>
            <w:sz w:val="20"/>
            <w:u w:val="single"/>
            <w:vertAlign w:val="baseline"/>
          </w:rPr>
          <w:t>, No. 3:16-cv-3137, 2017 U.S. Dist. LEXIS 25584, 2017 WL 712755, at *1 (M.D. Tenn. Feb. 23, 2017)</w:t>
        </w:r>
      </w:hyperlink>
      <w:r>
        <w:rPr>
          <w:rFonts w:ascii="arial" w:eastAsia="arial" w:hAnsi="arial" w:cs="arial"/>
          <w:b w:val="0"/>
          <w:i w:val="0"/>
          <w:strike w:val="0"/>
          <w:noProof w:val="0"/>
          <w:color w:val="000000"/>
          <w:position w:val="0"/>
          <w:sz w:val="20"/>
          <w:u w:val="none"/>
          <w:vertAlign w:val="baseline"/>
        </w:rPr>
        <w:t xml:space="preserve"> (quoting </w:t>
      </w:r>
      <w:hyperlink r:id="rId27" w:history="1">
        <w:r>
          <w:rPr>
            <w:rFonts w:ascii="arial" w:eastAsia="arial" w:hAnsi="arial" w:cs="arial"/>
            <w:b w:val="0"/>
            <w:i/>
            <w:strike w:val="0"/>
            <w:noProof w:val="0"/>
            <w:color w:val="0077CC"/>
            <w:position w:val="0"/>
            <w:sz w:val="20"/>
            <w:u w:val="single"/>
            <w:vertAlign w:val="baseline"/>
          </w:rPr>
          <w:t>Beaudett v. City of Hampton</w:t>
        </w:r>
      </w:hyperlink>
      <w:hyperlink r:id="rId27" w:history="1">
        <w:r>
          <w:rPr>
            <w:rFonts w:ascii="arial" w:eastAsia="arial" w:hAnsi="arial" w:cs="arial"/>
            <w:b w:val="0"/>
            <w:i/>
            <w:strike w:val="0"/>
            <w:noProof w:val="0"/>
            <w:color w:val="0077CC"/>
            <w:position w:val="0"/>
            <w:sz w:val="20"/>
            <w:u w:val="single"/>
            <w:vertAlign w:val="baseline"/>
          </w:rPr>
          <w:t>, 775 F.2d 1274, 1278 (4th Cir. 1985)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val="0"/>
          <w:strike w:val="0"/>
          <w:noProof w:val="0"/>
          <w:color w:val="000000"/>
          <w:position w:val="0"/>
          <w:sz w:val="20"/>
          <w:u w:val="single"/>
          <w:vertAlign w:val="baseline"/>
        </w:rPr>
        <w:t>FTCA claims</w:t>
      </w:r>
    </w:p>
    <w:p>
      <w:pPr>
        <w:keepNext w:val="0"/>
        <w:spacing w:before="200" w:after="0" w:line="260" w:lineRule="atLeast"/>
        <w:ind w:left="0" w:right="0" w:firstLine="0"/>
        <w:jc w:val="both"/>
      </w:pPr>
      <w:bookmarkStart w:id="67" w:name="Bookmark_para_52"/>
      <w:bookmarkEnd w:id="67"/>
      <w:r>
        <w:rPr>
          <w:rFonts w:ascii="arial" w:eastAsia="arial" w:hAnsi="arial" w:cs="arial"/>
          <w:b w:val="0"/>
          <w:i w:val="0"/>
          <w:strike w:val="0"/>
          <w:noProof w:val="0"/>
          <w:color w:val="000000"/>
          <w:position w:val="0"/>
          <w:sz w:val="20"/>
          <w:u w:val="none"/>
          <w:vertAlign w:val="baseline"/>
        </w:rPr>
        <w:t>Lastly, Malachowski sues the United States claiming that he was injured or harmed by the negligent acts or omissions of federal employees. Malachowski's Second Amended Complaint briefly states that he brings claims against</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the United States for "negl[i]gent Hiring, Training, Supervision, and Discipline," however, these claims are not further developed or reiterated by Malachowski in response to the Court's Questionnaire when asked to specifically identify his claims. Dkt. No. 14 at 32; Dkt. No. 28 at 6-7. Malachowski's reference to these claims in his Second Amended Complaint amount only to legal conclusions without sufficient factual support and are DISMISSED for failure to state a claim upon which relief may be granted.</w:t>
      </w:r>
      <w:r>
        <w:rPr>
          <w:rFonts w:ascii="arial" w:eastAsia="arial" w:hAnsi="arial" w:cs="arial"/>
          <w:vertAlign w:val="superscript"/>
        </w:rPr>
        <w:footnoteReference w:customMarkFollows="1" w:id="10"/>
        <w:t xml:space="preserve">9</w:t>
      </w:r>
    </w:p>
    <w:p>
      <w:pPr>
        <w:keepNext w:val="0"/>
        <w:spacing w:before="200" w:after="0" w:line="260" w:lineRule="atLeast"/>
        <w:ind w:left="0" w:right="0" w:firstLine="0"/>
        <w:jc w:val="both"/>
      </w:pPr>
      <w:bookmarkStart w:id="69" w:name="Bookmark_para_53"/>
      <w:bookmarkEnd w:id="69"/>
      <w:r>
        <w:rPr>
          <w:rFonts w:ascii="arial" w:eastAsia="arial" w:hAnsi="arial" w:cs="arial"/>
          <w:b w:val="0"/>
          <w:i w:val="0"/>
          <w:strike w:val="0"/>
          <w:noProof w:val="0"/>
          <w:color w:val="000000"/>
          <w:position w:val="0"/>
          <w:sz w:val="20"/>
          <w:u w:val="none"/>
          <w:vertAlign w:val="baseline"/>
        </w:rPr>
        <w:t>Otherwise, based on Malachowski's Second Amended Complaint and his response to the Court's Questionnaire, he brings claims under the FTCA for failure to protect, negligence in the treatment of his medical needs, and negligence in the handling of his property</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Dkt. No. 14; Dkt. No. 28.</w:t>
      </w:r>
    </w:p>
    <w:p>
      <w:pPr>
        <w:keepNext w:val="0"/>
        <w:spacing w:before="200" w:after="0" w:line="260" w:lineRule="atLeast"/>
        <w:ind w:left="0" w:right="0" w:firstLine="0"/>
        <w:jc w:val="both"/>
      </w:pPr>
      <w:bookmarkStart w:id="71" w:name="Bookmark_para_54"/>
      <w:bookmarkEnd w:id="71"/>
      <w:r>
        <w:rPr>
          <w:rFonts w:ascii="arial" w:eastAsia="arial" w:hAnsi="arial" w:cs="arial"/>
          <w:b w:val="0"/>
          <w:i w:val="0"/>
          <w:strike w:val="0"/>
          <w:noProof w:val="0"/>
          <w:color w:val="000000"/>
          <w:position w:val="0"/>
          <w:sz w:val="20"/>
          <w:u w:val="none"/>
          <w:vertAlign w:val="baseline"/>
        </w:rPr>
        <w:t xml:space="preserve">"The FTCA confers on federal courts exclusive jurisdiction of civil actions on claims against the United States for money damages for personal injury caused by the negligent or wrongful acts or omissions of any federal employee while acting within the scope of his office or employment." </w:t>
      </w:r>
      <w:hyperlink r:id="rId67" w:history="1">
        <w:r>
          <w:rPr>
            <w:rFonts w:ascii="arial" w:eastAsia="arial" w:hAnsi="arial" w:cs="arial"/>
            <w:b w:val="0"/>
            <w:i/>
            <w:strike w:val="0"/>
            <w:noProof w:val="0"/>
            <w:color w:val="0077CC"/>
            <w:position w:val="0"/>
            <w:sz w:val="20"/>
            <w:u w:val="single"/>
            <w:vertAlign w:val="baseline"/>
          </w:rPr>
          <w:t>Esquivel-Solis v. United States</w:t>
        </w:r>
      </w:hyperlink>
      <w:hyperlink r:id="rId67" w:history="1">
        <w:r>
          <w:rPr>
            <w:rFonts w:ascii="arial" w:eastAsia="arial" w:hAnsi="arial" w:cs="arial"/>
            <w:b w:val="0"/>
            <w:i/>
            <w:strike w:val="0"/>
            <w:noProof w:val="0"/>
            <w:color w:val="0077CC"/>
            <w:position w:val="0"/>
            <w:sz w:val="20"/>
            <w:u w:val="single"/>
            <w:vertAlign w:val="baseline"/>
          </w:rPr>
          <w:t>, 472 F. App'x 338, 339 (5th Cir. 2012)</w:t>
        </w:r>
      </w:hyperlink>
      <w:r>
        <w:rPr>
          <w:rFonts w:ascii="arial" w:eastAsia="arial" w:hAnsi="arial" w:cs="arial"/>
          <w:b w:val="0"/>
          <w:i w:val="0"/>
          <w:strike w:val="0"/>
          <w:noProof w:val="0"/>
          <w:color w:val="000000"/>
          <w:position w:val="0"/>
          <w:sz w:val="20"/>
          <w:u w:val="none"/>
          <w:vertAlign w:val="baseline"/>
        </w:rPr>
        <w:t xml:space="preserve"> (citing </w:t>
      </w:r>
      <w:hyperlink r:id="rId68" w:history="1">
        <w:r>
          <w:rPr>
            <w:rFonts w:ascii="arial" w:eastAsia="arial" w:hAnsi="arial" w:cs="arial"/>
            <w:b w:val="0"/>
            <w:i/>
            <w:strike w:val="0"/>
            <w:noProof w:val="0"/>
            <w:color w:val="0077CC"/>
            <w:position w:val="0"/>
            <w:sz w:val="20"/>
            <w:u w:val="single"/>
            <w:vertAlign w:val="baseline"/>
          </w:rPr>
          <w:t>28 U.S.C. § 1346(b)(1)</w:t>
        </w:r>
      </w:hyperlink>
      <w:r>
        <w:rPr>
          <w:rFonts w:ascii="arial" w:eastAsia="arial" w:hAnsi="arial" w:cs="arial"/>
          <w:b w:val="0"/>
          <w:i w:val="0"/>
          <w:strike w:val="0"/>
          <w:noProof w:val="0"/>
          <w:color w:val="000000"/>
          <w:position w:val="0"/>
          <w:sz w:val="20"/>
          <w:u w:val="none"/>
          <w:vertAlign w:val="baseline"/>
        </w:rPr>
        <w:t>). The FTCA grants a limited waiver of sovereign immunity for tort suits brought against</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the United States or its agencies. </w:t>
      </w:r>
      <w:hyperlink r:id="rId69" w:history="1">
        <w:r>
          <w:rPr>
            <w:rFonts w:ascii="arial" w:eastAsia="arial" w:hAnsi="arial" w:cs="arial"/>
            <w:b w:val="0"/>
            <w:i/>
            <w:strike w:val="0"/>
            <w:noProof w:val="0"/>
            <w:color w:val="0077CC"/>
            <w:position w:val="0"/>
            <w:sz w:val="20"/>
            <w:u w:val="single"/>
            <w:vertAlign w:val="baseline"/>
          </w:rPr>
          <w:t>28 U.S.C. §§ 2674</w:t>
        </w:r>
      </w:hyperlink>
      <w:r>
        <w:rPr>
          <w:rFonts w:ascii="arial" w:eastAsia="arial" w:hAnsi="arial" w:cs="arial"/>
          <w:b w:val="0"/>
          <w:i w:val="0"/>
          <w:strike w:val="0"/>
          <w:noProof w:val="0"/>
          <w:color w:val="000000"/>
          <w:position w:val="0"/>
          <w:sz w:val="20"/>
          <w:u w:val="none"/>
          <w:vertAlign w:val="baseline"/>
        </w:rPr>
        <w:t xml:space="preserve">, </w:t>
      </w:r>
      <w:hyperlink r:id="rId70" w:history="1">
        <w:r>
          <w:rPr>
            <w:rFonts w:ascii="arial" w:eastAsia="arial" w:hAnsi="arial" w:cs="arial"/>
            <w:b w:val="0"/>
            <w:i/>
            <w:strike w:val="0"/>
            <w:noProof w:val="0"/>
            <w:color w:val="0077CC"/>
            <w:position w:val="0"/>
            <w:sz w:val="20"/>
            <w:u w:val="single"/>
            <w:vertAlign w:val="baseline"/>
          </w:rPr>
          <w:t>2679(a)</w:t>
        </w:r>
      </w:hyperlink>
      <w:r>
        <w:rPr>
          <w:rFonts w:ascii="arial" w:eastAsia="arial" w:hAnsi="arial" w:cs="arial"/>
          <w:b w:val="0"/>
          <w:i w:val="0"/>
          <w:strike w:val="0"/>
          <w:noProof w:val="0"/>
          <w:color w:val="000000"/>
          <w:position w:val="0"/>
          <w:sz w:val="20"/>
          <w:u w:val="none"/>
          <w:vertAlign w:val="baseline"/>
        </w:rPr>
        <w:t xml:space="preserve">. It allows the United States to be held liable for allegedly tortious conduct "in accordance with the law of the place where the act or omission occurred."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68" w:history="1">
        <w:r>
          <w:rPr>
            <w:rFonts w:ascii="arial" w:eastAsia="arial" w:hAnsi="arial" w:cs="arial"/>
            <w:b w:val="0"/>
            <w:i/>
            <w:strike w:val="0"/>
            <w:noProof w:val="0"/>
            <w:color w:val="0077CC"/>
            <w:position w:val="0"/>
            <w:sz w:val="20"/>
            <w:u w:val="single"/>
            <w:vertAlign w:val="baseline"/>
          </w:rPr>
          <w:t>§ 1346(b)(1)</w:t>
        </w:r>
      </w:hyperlink>
      <w:r>
        <w:rPr>
          <w:rFonts w:ascii="arial" w:eastAsia="arial" w:hAnsi="arial" w:cs="arial"/>
          <w:b w:val="0"/>
          <w:i w:val="0"/>
          <w:strike w:val="0"/>
          <w:noProof w:val="0"/>
          <w:color w:val="000000"/>
          <w:position w:val="0"/>
          <w:sz w:val="20"/>
          <w:u w:val="none"/>
          <w:vertAlign w:val="baseline"/>
        </w:rPr>
        <w:t xml:space="preserve">. Meaning in a case taking place in Texas, such as here, Texas tort law would apply. </w:t>
      </w:r>
      <w:r>
        <w:rPr>
          <w:rFonts w:ascii="arial" w:eastAsia="arial" w:hAnsi="arial" w:cs="arial"/>
          <w:b w:val="0"/>
          <w:i/>
          <w:strike w:val="0"/>
          <w:noProof w:val="0"/>
          <w:color w:val="000000"/>
          <w:position w:val="0"/>
          <w:sz w:val="20"/>
          <w:u w:val="none"/>
          <w:vertAlign w:val="baseline"/>
        </w:rPr>
        <w:t xml:space="preserve">See </w:t>
      </w:r>
      <w:r>
        <w:rPr>
          <w:rFonts w:ascii="arial" w:eastAsia="arial" w:hAnsi="arial" w:cs="arial"/>
          <w:b w:val="0"/>
          <w:i/>
          <w:strike w:val="0"/>
          <w:noProof w:val="0"/>
          <w:color w:val="000000"/>
          <w:position w:val="0"/>
          <w:sz w:val="20"/>
          <w:u w:val="none"/>
          <w:vertAlign w:val="baseline"/>
        </w:rPr>
        <w:t>Ayers</w:t>
      </w:r>
      <w:r>
        <w:rPr>
          <w:rFonts w:ascii="arial" w:eastAsia="arial" w:hAnsi="arial" w:cs="arial"/>
          <w:b w:val="0"/>
          <w:i w:val="0"/>
          <w:strike w:val="0"/>
          <w:noProof w:val="0"/>
          <w:color w:val="000000"/>
          <w:position w:val="0"/>
          <w:sz w:val="20"/>
          <w:u w:val="none"/>
          <w:vertAlign w:val="baseline"/>
        </w:rPr>
        <w:t>, 750 F.2d at 542 n.1.</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1. Failure to Protect</w:t>
      </w:r>
    </w:p>
    <w:p>
      <w:pPr>
        <w:keepNext w:val="0"/>
        <w:spacing w:before="200" w:after="0" w:line="260" w:lineRule="atLeast"/>
        <w:ind w:left="0" w:right="0" w:firstLine="0"/>
        <w:jc w:val="both"/>
      </w:pPr>
      <w:bookmarkStart w:id="72" w:name="Bookmark_para_55"/>
      <w:bookmarkEnd w:id="72"/>
      <w:r>
        <w:rPr>
          <w:rFonts w:ascii="arial" w:eastAsia="arial" w:hAnsi="arial" w:cs="arial"/>
          <w:b w:val="0"/>
          <w:i w:val="0"/>
          <w:strike w:val="0"/>
          <w:noProof w:val="0"/>
          <w:color w:val="000000"/>
          <w:position w:val="0"/>
          <w:sz w:val="20"/>
          <w:u w:val="none"/>
          <w:vertAlign w:val="baseline"/>
        </w:rPr>
        <w:t xml:space="preserve">Malachowski alleges that FCI-Big Spring Warden Keith and Unit Officer John Doe 2 caused him harm by failing to protect him from attack by four other inmates. In support of this claim, Malachowski states that evidence has revealed "that the four inmates intended to assault an individual responsible for providing information to staff regarding the use of contraband."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 Based on this information, Malachowski believes that "FBOP employees absolutely owed a duty to the subject individual providing information, and ultimately . . .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 Malachowski further claims that "[p]olicy and regulations (safety) provide that FBOP employees should have immediately removed . . . [the individuals responsible for the attack] from the compound for receiving 100 series infractions."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w:t>
      </w:r>
    </w:p>
    <w:p>
      <w:pPr>
        <w:keepNext w:val="0"/>
        <w:spacing w:before="200" w:after="0" w:line="260" w:lineRule="atLeast"/>
        <w:ind w:left="0" w:right="0" w:firstLine="0"/>
        <w:jc w:val="both"/>
      </w:pPr>
      <w:bookmarkStart w:id="73" w:name="Bookmark_para_56"/>
      <w:bookmarkEnd w:id="73"/>
      <w:r>
        <w:rPr>
          <w:rFonts w:ascii="arial" w:eastAsia="arial" w:hAnsi="arial" w:cs="arial"/>
          <w:b w:val="0"/>
          <w:i w:val="0"/>
          <w:strike w:val="0"/>
          <w:noProof w:val="0"/>
          <w:color w:val="000000"/>
          <w:position w:val="0"/>
          <w:sz w:val="20"/>
          <w:u w:val="none"/>
          <w:vertAlign w:val="baseline"/>
        </w:rPr>
        <w:t>According to Malachowski, the cameras within the facility "were inadequate and insufficient</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to provide safety and deter prohibited conduct," and that "during the course of May, 2018, through December 2018, dozens of similar attacks occurred" because of K2 being distributed within the prison.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 Because of the alleged "lack of supervision and exercise of authority," Malachowski claims he was subjected to an attack that caused him injuries.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w:t>
      </w:r>
    </w:p>
    <w:p>
      <w:pPr>
        <w:keepNext w:val="0"/>
        <w:spacing w:before="200" w:after="0" w:line="260" w:lineRule="atLeast"/>
        <w:ind w:left="0" w:right="0" w:firstLine="0"/>
        <w:jc w:val="both"/>
      </w:pPr>
      <w:bookmarkStart w:id="74" w:name="Bookmark_para_57"/>
      <w:bookmarkEnd w:id="74"/>
      <w:r>
        <w:rPr>
          <w:rFonts w:ascii="arial" w:eastAsia="arial" w:hAnsi="arial" w:cs="arial"/>
          <w:b w:val="0"/>
          <w:i w:val="0"/>
          <w:strike w:val="0"/>
          <w:noProof w:val="0"/>
          <w:color w:val="000000"/>
          <w:position w:val="0"/>
          <w:sz w:val="20"/>
          <w:u w:val="none"/>
          <w:vertAlign w:val="baseline"/>
        </w:rPr>
        <w:t>Accepting Malachowski's well-pleaded facts on true, he has pleaded a plausible failure-to-protect claim against the United States under the FTCA in connection with the attack of August 27, 2018. But since Malachowski's only claim under the FTCA is one against the United States, all claims against the FBOP are DISMISSED as frivolous and for failure to state a claim.</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2. Negligent medical treatment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FCI Big Spring</w:t>
      </w:r>
    </w:p>
    <w:p>
      <w:pPr>
        <w:keepNext w:val="0"/>
        <w:spacing w:before="200" w:after="0" w:line="260" w:lineRule="atLeast"/>
        <w:ind w:left="0" w:right="0" w:firstLine="0"/>
        <w:jc w:val="both"/>
      </w:pPr>
      <w:bookmarkStart w:id="75" w:name="Bookmark_para_58"/>
      <w:bookmarkEnd w:id="75"/>
      <w:r>
        <w:rPr>
          <w:rFonts w:ascii="arial" w:eastAsia="arial" w:hAnsi="arial" w:cs="arial"/>
          <w:b w:val="0"/>
          <w:i w:val="0"/>
          <w:strike w:val="0"/>
          <w:noProof w:val="0"/>
          <w:color w:val="000000"/>
          <w:position w:val="0"/>
          <w:sz w:val="20"/>
          <w:u w:val="none"/>
          <w:vertAlign w:val="baseline"/>
        </w:rPr>
        <w:t>Malachowski claims that FCI-Big Spring officials had a duty to provide further treatment to him after the attack because he continued to suffer symptoms, and their failure to do so potentially led to Malachowski's additional and continued symptoms. Dkt. No. 14 at 18.</w:t>
      </w:r>
    </w:p>
    <w:p>
      <w:pPr>
        <w:keepNext w:val="0"/>
        <w:spacing w:before="240" w:after="0" w:line="260" w:lineRule="atLeast"/>
        <w:ind w:left="0" w:right="0" w:firstLine="0"/>
        <w:jc w:val="both"/>
      </w:pPr>
      <w:bookmarkStart w:id="76" w:name="Bookmark_para_59"/>
      <w:bookmarkEnd w:id="76"/>
      <w:r>
        <w:rPr>
          <w:rFonts w:ascii="arial" w:eastAsia="arial" w:hAnsi="arial" w:cs="arial"/>
          <w:b w:val="0"/>
          <w:i w:val="0"/>
          <w:strike w:val="0"/>
          <w:noProof w:val="0"/>
          <w:color w:val="000000"/>
          <w:position w:val="0"/>
          <w:sz w:val="20"/>
          <w:u w:val="none"/>
          <w:vertAlign w:val="baseline"/>
        </w:rPr>
        <w:t>Under Texas tort law, a successful claim for medical negligence must prove "four elements: (1) a duty by the physician or hospital to act according to</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an applicable standard of care; (2) a breach of that standard of care; (3) injury; (4) a causal connection between the breach of care and the injury." </w:t>
      </w:r>
      <w:hyperlink r:id="rId71" w:history="1">
        <w:r>
          <w:rPr>
            <w:rFonts w:ascii="arial" w:eastAsia="arial" w:hAnsi="arial" w:cs="arial"/>
            <w:b w:val="0"/>
            <w:i/>
            <w:strike w:val="0"/>
            <w:noProof w:val="0"/>
            <w:color w:val="0077CC"/>
            <w:position w:val="0"/>
            <w:sz w:val="20"/>
            <w:u w:val="single"/>
            <w:vertAlign w:val="baseline"/>
          </w:rPr>
          <w:t>Scroggins v. United States</w:t>
        </w:r>
      </w:hyperlink>
      <w:hyperlink r:id="rId71" w:history="1">
        <w:r>
          <w:rPr>
            <w:rFonts w:ascii="arial" w:eastAsia="arial" w:hAnsi="arial" w:cs="arial"/>
            <w:b w:val="0"/>
            <w:i/>
            <w:strike w:val="0"/>
            <w:noProof w:val="0"/>
            <w:color w:val="0077CC"/>
            <w:position w:val="0"/>
            <w:sz w:val="20"/>
            <w:u w:val="single"/>
            <w:vertAlign w:val="baseline"/>
          </w:rPr>
          <w:t>, No. 4:19-cv-163-O, 2020 U.S. Dist. LEXIS 64712, 2020 WL 1862556, at *3 (N.D. Tex. Apr. 13, 2020)</w:t>
        </w:r>
      </w:hyperlink>
      <w:r>
        <w:rPr>
          <w:rFonts w:ascii="arial" w:eastAsia="arial" w:hAnsi="arial" w:cs="arial"/>
          <w:b w:val="0"/>
          <w:i w:val="0"/>
          <w:strike w:val="0"/>
          <w:noProof w:val="0"/>
          <w:color w:val="000000"/>
          <w:position w:val="0"/>
          <w:sz w:val="20"/>
          <w:u w:val="none"/>
          <w:vertAlign w:val="baseline"/>
        </w:rPr>
        <w:t xml:space="preserve"> (citing </w:t>
      </w:r>
      <w:hyperlink r:id="rId72" w:history="1">
        <w:r>
          <w:rPr>
            <w:rFonts w:ascii="arial" w:eastAsia="arial" w:hAnsi="arial" w:cs="arial"/>
            <w:b w:val="0"/>
            <w:i/>
            <w:strike w:val="0"/>
            <w:noProof w:val="0"/>
            <w:color w:val="0077CC"/>
            <w:position w:val="0"/>
            <w:sz w:val="20"/>
            <w:u w:val="single"/>
            <w:vertAlign w:val="baseline"/>
          </w:rPr>
          <w:t>Hannah v. United States</w:t>
        </w:r>
      </w:hyperlink>
      <w:hyperlink r:id="rId72" w:history="1">
        <w:r>
          <w:rPr>
            <w:rFonts w:ascii="arial" w:eastAsia="arial" w:hAnsi="arial" w:cs="arial"/>
            <w:b w:val="0"/>
            <w:i/>
            <w:strike w:val="0"/>
            <w:noProof w:val="0"/>
            <w:color w:val="0077CC"/>
            <w:position w:val="0"/>
            <w:sz w:val="20"/>
            <w:u w:val="single"/>
            <w:vertAlign w:val="baseline"/>
          </w:rPr>
          <w:t>, 523 F.3d 597, 601 (5th Cir. 2008)</w:t>
        </w:r>
      </w:hyperlink>
      <w:r>
        <w:rPr>
          <w:rFonts w:ascii="arial" w:eastAsia="arial" w:hAnsi="arial" w:cs="arial"/>
          <w:b w:val="0"/>
          <w:i w:val="0"/>
          <w:strike w:val="0"/>
          <w:noProof w:val="0"/>
          <w:color w:val="000000"/>
          <w:position w:val="0"/>
          <w:sz w:val="20"/>
          <w:u w:val="none"/>
          <w:vertAlign w:val="baseline"/>
        </w:rPr>
        <w:t xml:space="preserve">). Claims for both medical malpractice and medical negligence are subject to these elements. </w:t>
      </w:r>
      <w:r>
        <w:rPr>
          <w:rFonts w:ascii="arial" w:eastAsia="arial" w:hAnsi="arial" w:cs="arial"/>
          <w:b w:val="0"/>
          <w:i/>
          <w:strike w:val="0"/>
          <w:noProof w:val="0"/>
          <w:color w:val="000000"/>
          <w:position w:val="0"/>
          <w:sz w:val="20"/>
          <w:u w:val="none"/>
          <w:vertAlign w:val="baseline"/>
        </w:rPr>
        <w:t xml:space="preserve">See </w:t>
      </w:r>
      <w:hyperlink r:id="rId73" w:history="1">
        <w:r>
          <w:rPr>
            <w:rFonts w:ascii="arial" w:eastAsia="arial" w:hAnsi="arial" w:cs="arial"/>
            <w:b w:val="0"/>
            <w:i/>
            <w:strike w:val="0"/>
            <w:noProof w:val="0"/>
            <w:color w:val="0077CC"/>
            <w:position w:val="0"/>
            <w:sz w:val="20"/>
            <w:u w:val="single"/>
            <w:vertAlign w:val="baseline"/>
          </w:rPr>
          <w:t>Quijano v. U.S.</w:t>
        </w:r>
      </w:hyperlink>
      <w:hyperlink r:id="rId73" w:history="1">
        <w:r>
          <w:rPr>
            <w:rFonts w:ascii="arial" w:eastAsia="arial" w:hAnsi="arial" w:cs="arial"/>
            <w:b w:val="0"/>
            <w:i/>
            <w:strike w:val="0"/>
            <w:noProof w:val="0"/>
            <w:color w:val="0077CC"/>
            <w:position w:val="0"/>
            <w:sz w:val="20"/>
            <w:u w:val="single"/>
            <w:vertAlign w:val="baseline"/>
          </w:rPr>
          <w:t>, 325 F.3d 564, 567 (5th Cir. 2003)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7" w:name="Bookmark_para_60"/>
      <w:bookmarkEnd w:id="77"/>
      <w:r>
        <w:rPr>
          <w:rFonts w:ascii="arial" w:eastAsia="arial" w:hAnsi="arial" w:cs="arial"/>
          <w:b w:val="0"/>
          <w:i w:val="0"/>
          <w:strike w:val="0"/>
          <w:noProof w:val="0"/>
          <w:color w:val="000000"/>
          <w:position w:val="0"/>
          <w:sz w:val="20"/>
          <w:u w:val="none"/>
          <w:vertAlign w:val="baseline"/>
        </w:rPr>
        <w:t xml:space="preserve">Malachowski states that because of the advice of medical professionals who initially observed him after the attack, he should have been seen by medical professionals for further treatment, such as an MRI, because he continued to experience symptoms.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further claims that he was seen multiple times by medical professionals at FCI-Big Spring which, when construed in a light most favorable to him, plausibly supports that officials knew he was continuing to experience pain.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 Additionally, Malachowski claims that because of the attack, he continues to suffer from memory difficulties, a slight stutter, pressure in his head, severe migraines, blurred vision, nausea, and dizziness.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he claims that a dense mass was found in his thyroid—although, it is unclear if he complained to FCI-Big Spring officials about this issue.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w:t>
      </w:r>
    </w:p>
    <w:p>
      <w:pPr>
        <w:keepNext w:val="0"/>
        <w:spacing w:before="200" w:after="0" w:line="260" w:lineRule="atLeast"/>
        <w:ind w:left="0" w:right="0" w:firstLine="0"/>
        <w:jc w:val="both"/>
      </w:pPr>
      <w:bookmarkStart w:id="78" w:name="Bookmark_para_61"/>
      <w:bookmarkEnd w:id="78"/>
      <w:r>
        <w:rPr>
          <w:rFonts w:ascii="arial" w:eastAsia="arial" w:hAnsi="arial" w:cs="arial"/>
          <w:b w:val="0"/>
          <w:i w:val="0"/>
          <w:strike w:val="0"/>
          <w:noProof w:val="0"/>
          <w:color w:val="000000"/>
          <w:position w:val="0"/>
          <w:sz w:val="20"/>
          <w:u w:val="none"/>
          <w:vertAlign w:val="baseline"/>
        </w:rPr>
        <w:t>When accepting these facts as true, Malachowski has pleaded sufficient facts to support</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a plausible claim that he was caused physical injury by the negligent or wrongful acts or omissions of one or more federal employees at FCI-Big Spring while they were acting within the scope of their employment. Thus, he has pleaded a plausible claim of negligence against the United States under the FTCA, and this claim survives preliminary screening.</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GEO and GPCF</w:t>
      </w:r>
    </w:p>
    <w:p>
      <w:pPr>
        <w:keepNext w:val="0"/>
        <w:spacing w:before="200" w:after="0" w:line="260" w:lineRule="atLeast"/>
        <w:ind w:left="0" w:right="0" w:firstLine="0"/>
        <w:jc w:val="both"/>
      </w:pPr>
      <w:bookmarkStart w:id="79" w:name="Bookmark_para_62"/>
      <w:bookmarkEnd w:id="79"/>
      <w:r>
        <w:rPr>
          <w:rFonts w:ascii="arial" w:eastAsia="arial" w:hAnsi="arial" w:cs="arial"/>
          <w:b w:val="0"/>
          <w:i w:val="0"/>
          <w:strike w:val="0"/>
          <w:noProof w:val="0"/>
          <w:color w:val="000000"/>
          <w:position w:val="0"/>
          <w:sz w:val="20"/>
          <w:u w:val="none"/>
          <w:vertAlign w:val="baseline"/>
        </w:rPr>
        <w:t xml:space="preserve">As explained above in connection with potential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claims, while Malachowski complains of an inability to obtain proper evaluation and treatment while at GPCF, he does not appear to assert in this case negligence claims against GEO or its employees who operated GPCF in Oklahoma. Here again in connection with his negligence claims, he does not mention GEO or GPCF among the parties he sues—</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14 at 1-5—nor among his causes of action—</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26-33. And again, Malachowski does not reference GEO or GPCF in response to the Court's Questionnaire's directing to identify "each defendant you are bringing claims against."</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Dkt. No. 28 at 3, 6-7.</w:t>
      </w:r>
    </w:p>
    <w:p>
      <w:pPr>
        <w:keepNext w:val="0"/>
        <w:spacing w:before="200" w:after="0" w:line="260" w:lineRule="atLeast"/>
        <w:ind w:left="0" w:right="0" w:firstLine="0"/>
        <w:jc w:val="both"/>
      </w:pPr>
      <w:bookmarkStart w:id="81" w:name="Bookmark_para_63"/>
      <w:bookmarkEnd w:id="81"/>
      <w:r>
        <w:rPr>
          <w:rFonts w:ascii="arial" w:eastAsia="arial" w:hAnsi="arial" w:cs="arial"/>
          <w:b w:val="0"/>
          <w:i w:val="0"/>
          <w:strike w:val="0"/>
          <w:noProof w:val="0"/>
          <w:color w:val="000000"/>
          <w:position w:val="0"/>
          <w:sz w:val="20"/>
          <w:u w:val="none"/>
          <w:vertAlign w:val="baseline"/>
        </w:rPr>
        <w:t xml:space="preserve">Because it appears clear that Malachowski's intent with this suit was to bring claims only against the United States under the FTCA and BOP employees under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and it is equally clear that</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Malachowski understands that neither GEO nor any of its employees fit into these classes of claims, the Court declines to construe a negligence claim here against this private entity or its employees.</w:t>
      </w:r>
    </w:p>
    <w:p>
      <w:pPr>
        <w:keepNext w:val="0"/>
        <w:spacing w:before="240" w:after="0" w:line="260" w:lineRule="atLeast"/>
        <w:ind w:left="0" w:right="0" w:firstLine="0"/>
        <w:jc w:val="both"/>
      </w:pPr>
      <w:bookmarkStart w:id="82" w:name="Bookmark_para_64"/>
      <w:bookmarkEnd w:id="82"/>
      <w:bookmarkStart w:id="83" w:name="Bookmark_I6973M0K2D6N7S0020000400"/>
      <w:bookmarkEnd w:id="83"/>
      <w:r>
        <w:rPr>
          <w:rFonts w:ascii="arial" w:eastAsia="arial" w:hAnsi="arial" w:cs="arial"/>
          <w:b w:val="0"/>
          <w:i w:val="0"/>
          <w:strike w:val="0"/>
          <w:noProof w:val="0"/>
          <w:color w:val="000000"/>
          <w:position w:val="0"/>
          <w:sz w:val="20"/>
          <w:u w:val="none"/>
          <w:vertAlign w:val="baseline"/>
        </w:rPr>
        <w:t xml:space="preserve">The Court further notes it is unable to construe an FTCA claim against GEO or its employees because the FTCA authorizes only those claims arising from "the negligent or wrongful act or omission of any </w:t>
      </w:r>
      <w:r>
        <w:rPr>
          <w:rFonts w:ascii="arial" w:eastAsia="arial" w:hAnsi="arial" w:cs="arial"/>
          <w:b w:val="0"/>
          <w:i/>
          <w:strike w:val="0"/>
          <w:noProof w:val="0"/>
          <w:color w:val="000000"/>
          <w:position w:val="0"/>
          <w:sz w:val="20"/>
          <w:u w:val="none"/>
          <w:vertAlign w:val="baseline"/>
        </w:rPr>
        <w:t>employee of the [Federal] agency</w:t>
      </w:r>
      <w:r>
        <w:rPr>
          <w:rFonts w:ascii="arial" w:eastAsia="arial" w:hAnsi="arial" w:cs="arial"/>
          <w:b w:val="0"/>
          <w:i w:val="0"/>
          <w:strike w:val="0"/>
          <w:noProof w:val="0"/>
          <w:color w:val="000000"/>
          <w:position w:val="0"/>
          <w:sz w:val="20"/>
          <w:u w:val="none"/>
          <w:vertAlign w:val="baseline"/>
        </w:rPr>
        <w:t xml:space="preserve"> while acting within the scope of his office or employment. . . ." </w:t>
      </w:r>
      <w:hyperlink r:id="rId74" w:history="1">
        <w:r>
          <w:rPr>
            <w:rFonts w:ascii="arial" w:eastAsia="arial" w:hAnsi="arial" w:cs="arial"/>
            <w:b w:val="0"/>
            <w:i/>
            <w:strike w:val="0"/>
            <w:noProof w:val="0"/>
            <w:color w:val="0077CC"/>
            <w:position w:val="0"/>
            <w:sz w:val="20"/>
            <w:u w:val="single"/>
            <w:vertAlign w:val="baseline"/>
          </w:rPr>
          <w:t>28 U.S.C. § 2672</w:t>
        </w:r>
      </w:hyperlink>
      <w:r>
        <w:rPr>
          <w:rFonts w:ascii="arial" w:eastAsia="arial" w:hAnsi="arial" w:cs="arial"/>
          <w:b w:val="0"/>
          <w:i w:val="0"/>
          <w:strike w:val="0"/>
          <w:noProof w:val="0"/>
          <w:color w:val="000000"/>
          <w:position w:val="0"/>
          <w:sz w:val="20"/>
          <w:u w:val="none"/>
          <w:vertAlign w:val="baseline"/>
        </w:rPr>
        <w:t xml:space="preserve"> (emphasis added). Congress specifically excluded from the FTCA's waiver of sovereign immunity claims against </w:t>
      </w:r>
      <w:r>
        <w:rPr>
          <w:rFonts w:ascii="arial" w:eastAsia="arial" w:hAnsi="arial" w:cs="arial"/>
          <w:b w:val="0"/>
          <w:i/>
          <w:strike w:val="0"/>
          <w:noProof w:val="0"/>
          <w:color w:val="000000"/>
          <w:position w:val="0"/>
          <w:sz w:val="20"/>
          <w:u w:val="none"/>
          <w:vertAlign w:val="baseline"/>
        </w:rPr>
        <w:t>"any contractor with the United States</w:t>
      </w:r>
      <w:r>
        <w:rPr>
          <w:rFonts w:ascii="arial" w:eastAsia="arial" w:hAnsi="arial" w:cs="arial"/>
          <w:b w:val="0"/>
          <w:i w:val="0"/>
          <w:strike w:val="0"/>
          <w:noProof w:val="0"/>
          <w:color w:val="000000"/>
          <w:position w:val="0"/>
          <w:sz w:val="20"/>
          <w:u w:val="none"/>
          <w:vertAlign w:val="baseline"/>
        </w:rPr>
        <w:t xml:space="preserve">" </w:t>
      </w:r>
      <w:hyperlink r:id="rId75" w:history="1">
        <w:r>
          <w:rPr>
            <w:rFonts w:ascii="arial" w:eastAsia="arial" w:hAnsi="arial" w:cs="arial"/>
            <w:b w:val="0"/>
            <w:i/>
            <w:strike w:val="0"/>
            <w:noProof w:val="0"/>
            <w:color w:val="0077CC"/>
            <w:position w:val="0"/>
            <w:sz w:val="20"/>
            <w:u w:val="single"/>
            <w:vertAlign w:val="baseline"/>
          </w:rPr>
          <w:t>28 U.S.C.A. § 2671</w:t>
        </w:r>
      </w:hyperlink>
      <w:r>
        <w:rPr>
          <w:rFonts w:ascii="arial" w:eastAsia="arial" w:hAnsi="arial" w:cs="arial"/>
          <w:b w:val="0"/>
          <w:i w:val="0"/>
          <w:strike w:val="0"/>
          <w:noProof w:val="0"/>
          <w:color w:val="000000"/>
          <w:position w:val="0"/>
          <w:sz w:val="20"/>
          <w:u w:val="none"/>
          <w:vertAlign w:val="baseline"/>
        </w:rPr>
        <w:t xml:space="preserve"> (emphasis added). Companies that contract with the United States are generally deemed independent contractors and thus do not come within the definition of a federal agency for purposes of the FTCA. </w:t>
      </w:r>
      <w:bookmarkStart w:id="84" w:name="Bookmark_I6973M0K2D6N7S0010000400"/>
      <w:bookmarkEnd w:id="84"/>
      <w:hyperlink r:id="rId76" w:history="1">
        <w:r>
          <w:rPr>
            <w:rFonts w:ascii="arial" w:eastAsia="arial" w:hAnsi="arial" w:cs="arial"/>
            <w:b w:val="0"/>
            <w:i/>
            <w:strike w:val="0"/>
            <w:noProof w:val="0"/>
            <w:color w:val="0077CC"/>
            <w:position w:val="0"/>
            <w:sz w:val="20"/>
            <w:u w:val="single"/>
            <w:vertAlign w:val="baseline"/>
          </w:rPr>
          <w:t>Nevers v. U. S. Dep't of Just.</w:t>
        </w:r>
      </w:hyperlink>
      <w:hyperlink r:id="rId76" w:history="1">
        <w:r>
          <w:rPr>
            <w:rFonts w:ascii="arial" w:eastAsia="arial" w:hAnsi="arial" w:cs="arial"/>
            <w:b w:val="0"/>
            <w:i/>
            <w:strike w:val="0"/>
            <w:noProof w:val="0"/>
            <w:color w:val="0077CC"/>
            <w:position w:val="0"/>
            <w:sz w:val="20"/>
            <w:u w:val="single"/>
            <w:vertAlign w:val="baseline"/>
          </w:rPr>
          <w:t>, No. CV 21-1064, 2022 U.S. Dist. LEXIS 16574, 2022 WL 278927 at *4 (E.D. La. Jan. 31, 2022)</w:t>
        </w:r>
      </w:hyperlink>
      <w:r>
        <w:rPr>
          <w:rFonts w:ascii="arial" w:eastAsia="arial" w:hAnsi="arial" w:cs="arial"/>
          <w:b w:val="0"/>
          <w:i w:val="0"/>
          <w:strike w:val="0"/>
          <w:noProof w:val="0"/>
          <w:color w:val="000000"/>
          <w:position w:val="0"/>
          <w:sz w:val="20"/>
          <w:u w:val="none"/>
          <w:vertAlign w:val="baseline"/>
        </w:rPr>
        <w:t xml:space="preserve"> ("Plaintiff's claims . . . under the FTCA [against VOA a private company that contracts with the Federal Bureau of Prisons to operate half way houses] must be dismissed with prejudice because the FTCA does not authorize suit against private contractors."); </w:t>
      </w:r>
      <w:bookmarkStart w:id="85" w:name="Bookmark_I684SDXS2SF80G0040000400"/>
      <w:bookmarkEnd w:id="85"/>
      <w:hyperlink r:id="rId77" w:history="1">
        <w:r>
          <w:rPr>
            <w:rFonts w:ascii="arial" w:eastAsia="arial" w:hAnsi="arial" w:cs="arial"/>
            <w:b w:val="0"/>
            <w:i/>
            <w:strike w:val="0"/>
            <w:noProof w:val="0"/>
            <w:color w:val="0077CC"/>
            <w:position w:val="0"/>
            <w:sz w:val="20"/>
            <w:u w:val="single"/>
            <w:vertAlign w:val="baseline"/>
          </w:rPr>
          <w:t>Menteer v. Applebee</w:t>
        </w:r>
      </w:hyperlink>
      <w:hyperlink r:id="rId77" w:history="1">
        <w:r>
          <w:rPr>
            <w:rFonts w:ascii="arial" w:eastAsia="arial" w:hAnsi="arial" w:cs="arial"/>
            <w:b w:val="0"/>
            <w:i/>
            <w:strike w:val="0"/>
            <w:noProof w:val="0"/>
            <w:color w:val="0077CC"/>
            <w:position w:val="0"/>
            <w:sz w:val="20"/>
            <w:u w:val="single"/>
            <w:vertAlign w:val="baseline"/>
          </w:rPr>
          <w:t>, 196 F. App'x 624 (10th Cir. 2006)</w:t>
        </w:r>
      </w:hyperlink>
      <w:r>
        <w:rPr>
          <w:rFonts w:ascii="arial" w:eastAsia="arial" w:hAnsi="arial" w:cs="arial"/>
          <w:b w:val="0"/>
          <w:i w:val="0"/>
          <w:strike w:val="0"/>
          <w:noProof w:val="0"/>
          <w:color w:val="000000"/>
          <w:position w:val="0"/>
          <w:sz w:val="20"/>
          <w:u w:val="none"/>
          <w:vertAlign w:val="baseline"/>
        </w:rPr>
        <w:t xml:space="preserve"> (affirming dismissal of FTCA claim against a company who contracted with the United States</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Marshals Service to operate private prisons because the company was deemed an independent contractor); </w:t>
      </w:r>
      <w:bookmarkStart w:id="86" w:name="Bookmark_I684SDXT2D6N570010000400"/>
      <w:bookmarkEnd w:id="86"/>
      <w:hyperlink r:id="rId78" w:history="1">
        <w:r>
          <w:rPr>
            <w:rFonts w:ascii="arial" w:eastAsia="arial" w:hAnsi="arial" w:cs="arial"/>
            <w:b w:val="0"/>
            <w:i/>
            <w:strike w:val="0"/>
            <w:noProof w:val="0"/>
            <w:color w:val="0077CC"/>
            <w:position w:val="0"/>
            <w:sz w:val="20"/>
            <w:u w:val="single"/>
            <w:vertAlign w:val="baseline"/>
          </w:rPr>
          <w:t>Lopez-Heredia v. Univ. of Tex. Med. Branch Hosp.</w:t>
        </w:r>
      </w:hyperlink>
      <w:hyperlink r:id="rId78" w:history="1">
        <w:r>
          <w:rPr>
            <w:rFonts w:ascii="arial" w:eastAsia="arial" w:hAnsi="arial" w:cs="arial"/>
            <w:b w:val="0"/>
            <w:i/>
            <w:strike w:val="0"/>
            <w:noProof w:val="0"/>
            <w:color w:val="0077CC"/>
            <w:position w:val="0"/>
            <w:sz w:val="20"/>
            <w:u w:val="single"/>
            <w:vertAlign w:val="baseline"/>
          </w:rPr>
          <w:t>, 240 F. App'x 646, 647 (5th Cir. 2007)</w:t>
        </w:r>
      </w:hyperlink>
      <w:r>
        <w:rPr>
          <w:rFonts w:ascii="arial" w:eastAsia="arial" w:hAnsi="arial" w:cs="arial"/>
          <w:b w:val="0"/>
          <w:i w:val="0"/>
          <w:strike w:val="0"/>
          <w:noProof w:val="0"/>
          <w:color w:val="000000"/>
          <w:position w:val="0"/>
          <w:sz w:val="20"/>
          <w:u w:val="none"/>
          <w:vertAlign w:val="baseline"/>
        </w:rPr>
        <w:t xml:space="preserve"> ("The FTCA's waiver of sovereign immunity does not extend to negligent acts of independent contractors . . . .").</w:t>
      </w:r>
    </w:p>
    <w:p>
      <w:pPr>
        <w:keepNext w:val="0"/>
        <w:spacing w:before="200" w:after="0" w:line="260" w:lineRule="atLeast"/>
        <w:ind w:left="0" w:right="0" w:firstLine="0"/>
        <w:jc w:val="both"/>
      </w:pPr>
      <w:bookmarkStart w:id="87" w:name="Bookmark_para_65"/>
      <w:bookmarkEnd w:id="87"/>
      <w:r>
        <w:rPr>
          <w:rFonts w:ascii="arial" w:eastAsia="arial" w:hAnsi="arial" w:cs="arial"/>
          <w:b w:val="0"/>
          <w:i w:val="0"/>
          <w:strike w:val="0"/>
          <w:noProof w:val="0"/>
          <w:color w:val="000000"/>
          <w:position w:val="0"/>
          <w:sz w:val="20"/>
          <w:u w:val="none"/>
          <w:vertAlign w:val="baseline"/>
        </w:rPr>
        <w:t>Finally, even if the Court were to construe a state law negligence claim against GEO or its employees, those claims would fare no better. While clearly Malachowski believes his transfer to GPCF was done maliciously and with knowledge that he "would be unlikely to receive adequate medical care at a privately run facility," his allegations about not receiving adequate medical care at GPCF—even by the negligence standard—are conclusory at best and fail to plausibly establish that he was subjected to sub-standard medical care while there. And while he says he continues to suffer pain and other symptoms related to the attack, even accepting those allegations as true merely allows the Court to infer the possibility of sub-standard care, not its plausibility.</w:t>
      </w:r>
    </w:p>
    <w:p>
      <w:pPr>
        <w:keepNext w:val="0"/>
        <w:spacing w:before="200" w:after="0" w:line="260" w:lineRule="atLeast"/>
        <w:ind w:left="0" w:right="0" w:firstLine="0"/>
        <w:jc w:val="both"/>
      </w:pPr>
      <w:bookmarkStart w:id="88" w:name="Bookmark_para_66"/>
      <w:bookmarkEnd w:id="88"/>
      <w:r>
        <w:rPr>
          <w:rFonts w:ascii="arial" w:eastAsia="arial" w:hAnsi="arial" w:cs="arial"/>
          <w:b w:val="0"/>
          <w:i w:val="0"/>
          <w:strike w:val="0"/>
          <w:noProof w:val="0"/>
          <w:color w:val="000000"/>
          <w:position w:val="0"/>
          <w:sz w:val="20"/>
          <w:u w:val="none"/>
          <w:vertAlign w:val="baseline"/>
        </w:rPr>
        <w:t>For these reasons, the Court declines to construe a negligence claim against GEO or its employees at GPCF.</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3. Negligent handling of his property</w:t>
      </w:r>
    </w:p>
    <w:p>
      <w:pPr>
        <w:keepNext w:val="0"/>
        <w:spacing w:before="200" w:after="0" w:line="260" w:lineRule="atLeast"/>
        <w:ind w:left="0" w:right="0" w:firstLine="0"/>
        <w:jc w:val="both"/>
      </w:pPr>
      <w:bookmarkStart w:id="89" w:name="Bookmark_para_67"/>
      <w:bookmarkEnd w:id="89"/>
      <w:r>
        <w:rPr>
          <w:rFonts w:ascii="arial" w:eastAsia="arial" w:hAnsi="arial" w:cs="arial"/>
          <w:b w:val="0"/>
          <w:i w:val="0"/>
          <w:strike w:val="0"/>
          <w:noProof w:val="0"/>
          <w:color w:val="000000"/>
          <w:position w:val="0"/>
          <w:sz w:val="20"/>
          <w:u w:val="none"/>
          <w:vertAlign w:val="baseline"/>
        </w:rPr>
        <w:t>Malchowski's Complaint and Questionnaire Response briefly mention that he lost</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property due to FBOP officials "carelessness and negligence" during his transfer from USP Atlanta Satellite Camp.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25. Malachowski claims that FBOP Personnel "responsible for storing and packing . . . [his] property amid transfer from USP Atlanta Satellite Camp" were negligent in packing his property "resulting in the loss of approximately $350.00 worth of items purchased through commissary." Dkt. No. 28 at 7.</w:t>
      </w:r>
    </w:p>
    <w:p>
      <w:pPr>
        <w:keepNext w:val="0"/>
        <w:spacing w:before="240" w:after="0" w:line="260" w:lineRule="atLeast"/>
        <w:ind w:left="0" w:right="0" w:firstLine="0"/>
        <w:jc w:val="both"/>
      </w:pPr>
      <w:bookmarkStart w:id="90" w:name="Bookmark_para_68"/>
      <w:bookmarkEnd w:id="90"/>
      <w:r>
        <w:rPr>
          <w:rFonts w:ascii="arial" w:eastAsia="arial" w:hAnsi="arial" w:cs="arial"/>
          <w:b w:val="0"/>
          <w:i w:val="0"/>
          <w:strike w:val="0"/>
          <w:noProof w:val="0"/>
          <w:color w:val="000000"/>
          <w:position w:val="0"/>
          <w:sz w:val="20"/>
          <w:u w:val="none"/>
          <w:vertAlign w:val="baseline"/>
        </w:rPr>
        <w:t xml:space="preserve">Although the FTCA waives the United States immunity for federal tort claims, "[t]he FTCA exempts from this waiver certain categories of claims." </w:t>
      </w:r>
      <w:hyperlink r:id="rId79" w:history="1">
        <w:r>
          <w:rPr>
            <w:rFonts w:ascii="arial" w:eastAsia="arial" w:hAnsi="arial" w:cs="arial"/>
            <w:b w:val="0"/>
            <w:i/>
            <w:strike w:val="0"/>
            <w:noProof w:val="0"/>
            <w:color w:val="0077CC"/>
            <w:position w:val="0"/>
            <w:sz w:val="20"/>
            <w:u w:val="single"/>
            <w:vertAlign w:val="baseline"/>
          </w:rPr>
          <w:t>Ali v. Fed. Bureau of Prisons</w:t>
        </w:r>
      </w:hyperlink>
      <w:hyperlink r:id="rId79" w:history="1">
        <w:r>
          <w:rPr>
            <w:rFonts w:ascii="arial" w:eastAsia="arial" w:hAnsi="arial" w:cs="arial"/>
            <w:b w:val="0"/>
            <w:i/>
            <w:strike w:val="0"/>
            <w:noProof w:val="0"/>
            <w:color w:val="0077CC"/>
            <w:position w:val="0"/>
            <w:sz w:val="20"/>
            <w:u w:val="single"/>
            <w:vertAlign w:val="baseline"/>
          </w:rPr>
          <w:t>, 552 U.S. 214, 218, 128 S. Ct. 831, 169 L. Ed. 2d 680 (2008)</w:t>
        </w:r>
      </w:hyperlink>
      <w:r>
        <w:rPr>
          <w:rFonts w:ascii="arial" w:eastAsia="arial" w:hAnsi="arial" w:cs="arial"/>
          <w:b w:val="0"/>
          <w:i w:val="0"/>
          <w:strike w:val="0"/>
          <w:noProof w:val="0"/>
          <w:color w:val="000000"/>
          <w:position w:val="0"/>
          <w:sz w:val="20"/>
          <w:u w:val="none"/>
          <w:vertAlign w:val="baseline"/>
        </w:rPr>
        <w:t xml:space="preserve"> (citing </w:t>
      </w:r>
      <w:hyperlink r:id="rId80" w:history="1">
        <w:r>
          <w:rPr>
            <w:rFonts w:ascii="arial" w:eastAsia="arial" w:hAnsi="arial" w:cs="arial"/>
            <w:b w:val="0"/>
            <w:i/>
            <w:strike w:val="0"/>
            <w:noProof w:val="0"/>
            <w:color w:val="0077CC"/>
            <w:position w:val="0"/>
            <w:sz w:val="20"/>
            <w:u w:val="single"/>
            <w:vertAlign w:val="baseline"/>
          </w:rPr>
          <w:t>28 U.S.C. §§ 2680(a)-(n)</w:t>
        </w:r>
      </w:hyperlink>
      <w:r>
        <w:rPr>
          <w:rFonts w:ascii="arial" w:eastAsia="arial" w:hAnsi="arial" w:cs="arial"/>
          <w:b w:val="0"/>
          <w:i w:val="0"/>
          <w:strike w:val="0"/>
          <w:noProof w:val="0"/>
          <w:color w:val="000000"/>
          <w:position w:val="0"/>
          <w:sz w:val="20"/>
          <w:u w:val="none"/>
          <w:vertAlign w:val="baseline"/>
        </w:rPr>
        <w:t xml:space="preserve">). Most claims dealing with the detention of property by officers falls within </w:t>
      </w:r>
      <w:hyperlink r:id="rId80" w:history="1">
        <w:r>
          <w:rPr>
            <w:rFonts w:ascii="arial" w:eastAsia="arial" w:hAnsi="arial" w:cs="arial"/>
            <w:b w:val="0"/>
            <w:i/>
            <w:strike w:val="0"/>
            <w:noProof w:val="0"/>
            <w:color w:val="0077CC"/>
            <w:position w:val="0"/>
            <w:sz w:val="20"/>
            <w:u w:val="single"/>
            <w:vertAlign w:val="baseline"/>
          </w:rPr>
          <w:t>Section 2680(c)</w:t>
        </w:r>
      </w:hyperlink>
      <w:r>
        <w:rPr>
          <w:rFonts w:ascii="arial" w:eastAsia="arial" w:hAnsi="arial" w:cs="arial"/>
          <w:b w:val="0"/>
          <w:i w:val="0"/>
          <w:strike w:val="0"/>
          <w:noProof w:val="0"/>
          <w:color w:val="000000"/>
          <w:position w:val="0"/>
          <w:sz w:val="20"/>
          <w:u w:val="none"/>
          <w:vertAlign w:val="baseline"/>
        </w:rPr>
        <w:t>—one of the many categories of exemptions. This Section states that the United States does not waive its immunity for "[a]ny claim arising in respect of the assessment or collection of any tax or customs duty, or the detention of any goods, merchandise, or other property by any officer of customs or excise or any other law enforcement officer . . . ."</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w:t>
      </w:r>
      <w:hyperlink r:id="rId80" w:history="1">
        <w:r>
          <w:rPr>
            <w:rFonts w:ascii="arial" w:eastAsia="arial" w:hAnsi="arial" w:cs="arial"/>
            <w:b w:val="0"/>
            <w:i/>
            <w:strike w:val="0"/>
            <w:noProof w:val="0"/>
            <w:color w:val="0077CC"/>
            <w:position w:val="0"/>
            <w:sz w:val="20"/>
            <w:u w:val="single"/>
            <w:vertAlign w:val="baseline"/>
          </w:rPr>
          <w:t>28 U.S.C. § 2680(c)</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2" w:name="Bookmark_para_69"/>
      <w:bookmarkEnd w:id="92"/>
      <w:r>
        <w:rPr>
          <w:rFonts w:ascii="arial" w:eastAsia="arial" w:hAnsi="arial" w:cs="arial"/>
          <w:b w:val="0"/>
          <w:i w:val="0"/>
          <w:strike w:val="0"/>
          <w:noProof w:val="0"/>
          <w:color w:val="000000"/>
          <w:position w:val="0"/>
          <w:sz w:val="20"/>
          <w:u w:val="none"/>
          <w:vertAlign w:val="baseline"/>
        </w:rPr>
        <w:t xml:space="preserve">"The Fifth Circuit has held that </w:t>
      </w:r>
      <w:hyperlink r:id="rId80" w:history="1">
        <w:r>
          <w:rPr>
            <w:rFonts w:ascii="arial" w:eastAsia="arial" w:hAnsi="arial" w:cs="arial"/>
            <w:b w:val="0"/>
            <w:i/>
            <w:strike w:val="0"/>
            <w:noProof w:val="0"/>
            <w:color w:val="0077CC"/>
            <w:position w:val="0"/>
            <w:sz w:val="20"/>
            <w:u w:val="single"/>
            <w:vertAlign w:val="baseline"/>
          </w:rPr>
          <w:t>§ 2680(c)</w:t>
        </w:r>
      </w:hyperlink>
      <w:r>
        <w:rPr>
          <w:rFonts w:ascii="arial" w:eastAsia="arial" w:hAnsi="arial" w:cs="arial"/>
          <w:b w:val="0"/>
          <w:i w:val="0"/>
          <w:strike w:val="0"/>
          <w:noProof w:val="0"/>
          <w:color w:val="000000"/>
          <w:position w:val="0"/>
          <w:sz w:val="20"/>
          <w:u w:val="none"/>
          <w:vertAlign w:val="baseline"/>
        </w:rPr>
        <w:t xml:space="preserve"> is applicable to all claims arising from the detention of goods and merchandise by any federal law enforcement officer in the performance of his or her lawful</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duties." </w:t>
      </w:r>
      <w:hyperlink r:id="rId81" w:history="1">
        <w:r>
          <w:rPr>
            <w:rFonts w:ascii="arial" w:eastAsia="arial" w:hAnsi="arial" w:cs="arial"/>
            <w:b w:val="0"/>
            <w:i/>
            <w:strike w:val="0"/>
            <w:noProof w:val="0"/>
            <w:color w:val="0077CC"/>
            <w:position w:val="0"/>
            <w:sz w:val="20"/>
            <w:u w:val="single"/>
            <w:vertAlign w:val="baseline"/>
          </w:rPr>
          <w:t>Moler v. Gasaway</w:t>
        </w:r>
      </w:hyperlink>
      <w:hyperlink r:id="rId81" w:history="1">
        <w:r>
          <w:rPr>
            <w:rFonts w:ascii="arial" w:eastAsia="arial" w:hAnsi="arial" w:cs="arial"/>
            <w:b w:val="0"/>
            <w:i/>
            <w:strike w:val="0"/>
            <w:noProof w:val="0"/>
            <w:color w:val="0077CC"/>
            <w:position w:val="0"/>
            <w:sz w:val="20"/>
            <w:u w:val="single"/>
            <w:vertAlign w:val="baseline"/>
          </w:rPr>
          <w:t>, No. 2:19-CV-983, 2019 U.S. Dist. LEXIS 178352, 2019 WL 5078675, at *2 (W.D. La. Sept. 23, 2019)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hyperlink r:id="rId82" w:history="1">
        <w:r>
          <w:rPr>
            <w:rFonts w:ascii="arial" w:eastAsia="arial" w:hAnsi="arial" w:cs="arial"/>
            <w:b w:val="0"/>
            <w:i/>
            <w:strike w:val="0"/>
            <w:noProof w:val="0"/>
            <w:color w:val="0077CC"/>
            <w:position w:val="0"/>
            <w:sz w:val="20"/>
            <w:u w:val="single"/>
            <w:vertAlign w:val="baseline"/>
          </w:rPr>
          <w:t>No. 2:19-CV-983, 2019 U.S. Dist. LEXIS 175707, 2019 WL 5073832 (W.D. La. Oct. 9, 2019)</w:t>
        </w:r>
      </w:hyperlink>
      <w:r>
        <w:rPr>
          <w:rFonts w:ascii="arial" w:eastAsia="arial" w:hAnsi="arial" w:cs="arial"/>
          <w:b w:val="0"/>
          <w:i w:val="0"/>
          <w:strike w:val="0"/>
          <w:noProof w:val="0"/>
          <w:color w:val="000000"/>
          <w:position w:val="0"/>
          <w:sz w:val="20"/>
          <w:u w:val="none"/>
          <w:vertAlign w:val="baseline"/>
        </w:rPr>
        <w:t xml:space="preserve">. This includes situations like the one at issue here where a prisoner complains about the treatment of his property during a transfer between prisons. </w:t>
      </w:r>
      <w:hyperlink r:id="rId83" w:history="1">
        <w:r>
          <w:rPr>
            <w:rFonts w:ascii="arial" w:eastAsia="arial" w:hAnsi="arial" w:cs="arial"/>
            <w:b w:val="0"/>
            <w:i/>
            <w:strike w:val="0"/>
            <w:noProof w:val="0"/>
            <w:color w:val="0077CC"/>
            <w:position w:val="0"/>
            <w:sz w:val="20"/>
            <w:u w:val="single"/>
            <w:vertAlign w:val="baseline"/>
          </w:rPr>
          <w:t>Forbes v. Zook</w:t>
        </w:r>
      </w:hyperlink>
      <w:hyperlink r:id="rId83" w:history="1">
        <w:r>
          <w:rPr>
            <w:rFonts w:ascii="arial" w:eastAsia="arial" w:hAnsi="arial" w:cs="arial"/>
            <w:b w:val="0"/>
            <w:i/>
            <w:strike w:val="0"/>
            <w:noProof w:val="0"/>
            <w:color w:val="0077CC"/>
            <w:position w:val="0"/>
            <w:sz w:val="20"/>
            <w:u w:val="single"/>
            <w:vertAlign w:val="baseline"/>
          </w:rPr>
          <w:t>, No. 3:22-CV-687-E-BN, 2022 U.S. Dist. LEXIS 233867, 2022 WL 17979830, at *2 (N.D. Tex. Apr. 6, 2022)</w:t>
        </w:r>
      </w:hyperlink>
      <w:r>
        <w:rPr>
          <w:rFonts w:ascii="arial" w:eastAsia="arial" w:hAnsi="arial" w:cs="arial"/>
          <w:b w:val="0"/>
          <w:i w:val="0"/>
          <w:strike w:val="0"/>
          <w:noProof w:val="0"/>
          <w:color w:val="000000"/>
          <w:position w:val="0"/>
          <w:sz w:val="20"/>
          <w:u w:val="none"/>
          <w:vertAlign w:val="baseline"/>
        </w:rPr>
        <w:t xml:space="preserve"> (dismissing prisoner's claim under the FTCA that his personal property was lost during a transfer for lack of jurisdiction based on </w:t>
      </w:r>
      <w:hyperlink r:id="rId80" w:history="1">
        <w:r>
          <w:rPr>
            <w:rFonts w:ascii="arial" w:eastAsia="arial" w:hAnsi="arial" w:cs="arial"/>
            <w:b w:val="0"/>
            <w:i/>
            <w:strike w:val="0"/>
            <w:noProof w:val="0"/>
            <w:color w:val="0077CC"/>
            <w:position w:val="0"/>
            <w:sz w:val="20"/>
            <w:u w:val="single"/>
            <w:vertAlign w:val="baseline"/>
          </w:rPr>
          <w:t>28 U.S.C. § 2680(c)</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hyperlink r:id="rId84" w:history="1">
        <w:r>
          <w:rPr>
            <w:rFonts w:ascii="arial" w:eastAsia="arial" w:hAnsi="arial" w:cs="arial"/>
            <w:b w:val="0"/>
            <w:i/>
            <w:strike w:val="0"/>
            <w:noProof w:val="0"/>
            <w:color w:val="0077CC"/>
            <w:position w:val="0"/>
            <w:sz w:val="20"/>
            <w:u w:val="single"/>
            <w:vertAlign w:val="baseline"/>
          </w:rPr>
          <w:t>No. 3:22-CV-00687-E-BH, 2022 U.S. Dist. LEXIS 232325, 2022 WL 17978807 (N.D. Tex. Dec. 28, 2022)</w:t>
        </w:r>
      </w:hyperlink>
      <w:r>
        <w:rPr>
          <w:rFonts w:ascii="arial" w:eastAsia="arial" w:hAnsi="arial" w:cs="arial"/>
          <w:b w:val="0"/>
          <w:i w:val="0"/>
          <w:strike w:val="0"/>
          <w:noProof w:val="0"/>
          <w:color w:val="000000"/>
          <w:position w:val="0"/>
          <w:sz w:val="20"/>
          <w:u w:val="none"/>
          <w:vertAlign w:val="baseline"/>
        </w:rPr>
        <w:t xml:space="preserve">; </w:t>
      </w:r>
      <w:hyperlink r:id="rId85" w:history="1">
        <w:r>
          <w:rPr>
            <w:rFonts w:ascii="arial" w:eastAsia="arial" w:hAnsi="arial" w:cs="arial"/>
            <w:b w:val="0"/>
            <w:i/>
            <w:strike w:val="0"/>
            <w:noProof w:val="0"/>
            <w:color w:val="0077CC"/>
            <w:position w:val="0"/>
            <w:sz w:val="20"/>
            <w:u w:val="single"/>
            <w:vertAlign w:val="baseline"/>
          </w:rPr>
          <w:t>Moler v. Gasaway</w:t>
        </w:r>
      </w:hyperlink>
      <w:hyperlink r:id="rId85" w:history="1">
        <w:r>
          <w:rPr>
            <w:rFonts w:ascii="arial" w:eastAsia="arial" w:hAnsi="arial" w:cs="arial"/>
            <w:b w:val="0"/>
            <w:i/>
            <w:strike w:val="0"/>
            <w:noProof w:val="0"/>
            <w:color w:val="0077CC"/>
            <w:position w:val="0"/>
            <w:sz w:val="20"/>
            <w:u w:val="single"/>
            <w:vertAlign w:val="baseline"/>
          </w:rPr>
          <w:t>, 839 F. App'x 899, 900 (5th Cir. 2021)</w:t>
        </w:r>
      </w:hyperlink>
      <w:r>
        <w:rPr>
          <w:rFonts w:ascii="arial" w:eastAsia="arial" w:hAnsi="arial" w:cs="arial"/>
          <w:b w:val="0"/>
          <w:i w:val="0"/>
          <w:strike w:val="0"/>
          <w:noProof w:val="0"/>
          <w:color w:val="000000"/>
          <w:position w:val="0"/>
          <w:sz w:val="20"/>
          <w:u w:val="none"/>
          <w:vertAlign w:val="baseline"/>
        </w:rPr>
        <w:t xml:space="preserve"> (finding prisoner's argument that federal officials' loss of his items should not be considered under </w:t>
      </w:r>
      <w:hyperlink r:id="rId80" w:history="1">
        <w:r>
          <w:rPr>
            <w:rFonts w:ascii="arial" w:eastAsia="arial" w:hAnsi="arial" w:cs="arial"/>
            <w:b w:val="0"/>
            <w:i/>
            <w:strike w:val="0"/>
            <w:noProof w:val="0"/>
            <w:color w:val="0077CC"/>
            <w:position w:val="0"/>
            <w:sz w:val="20"/>
            <w:u w:val="single"/>
            <w:vertAlign w:val="baseline"/>
          </w:rPr>
          <w:t>28 U.S.C. § 2680(c)</w:t>
        </w:r>
      </w:hyperlink>
      <w:r>
        <w:rPr>
          <w:rFonts w:ascii="arial" w:eastAsia="arial" w:hAnsi="arial" w:cs="arial"/>
          <w:b w:val="0"/>
          <w:i w:val="0"/>
          <w:strike w:val="0"/>
          <w:noProof w:val="0"/>
          <w:color w:val="000000"/>
          <w:position w:val="0"/>
          <w:sz w:val="20"/>
          <w:u w:val="none"/>
          <w:vertAlign w:val="baseline"/>
        </w:rPr>
        <w:t xml:space="preserve">) without merit); </w:t>
      </w:r>
      <w:hyperlink r:id="rId79" w:history="1">
        <w:r>
          <w:rPr>
            <w:rFonts w:ascii="arial" w:eastAsia="arial" w:hAnsi="arial" w:cs="arial"/>
            <w:b w:val="0"/>
            <w:i/>
            <w:strike w:val="0"/>
            <w:noProof w:val="0"/>
            <w:color w:val="0077CC"/>
            <w:position w:val="0"/>
            <w:sz w:val="20"/>
            <w:u w:val="single"/>
            <w:vertAlign w:val="baseline"/>
          </w:rPr>
          <w:t>Ali v. Fed. Bureau of Prisons</w:t>
        </w:r>
      </w:hyperlink>
      <w:hyperlink r:id="rId79" w:history="1">
        <w:r>
          <w:rPr>
            <w:rFonts w:ascii="arial" w:eastAsia="arial" w:hAnsi="arial" w:cs="arial"/>
            <w:b w:val="0"/>
            <w:i/>
            <w:strike w:val="0"/>
            <w:noProof w:val="0"/>
            <w:color w:val="0077CC"/>
            <w:position w:val="0"/>
            <w:sz w:val="20"/>
            <w:u w:val="single"/>
            <w:vertAlign w:val="baseline"/>
          </w:rPr>
          <w:t>, 552 U.S. 214, 227-28, 128 S. Ct. 831, 169 L. Ed. 2d 680 (2008)</w:t>
        </w:r>
      </w:hyperlink>
      <w:r>
        <w:rPr>
          <w:rFonts w:ascii="arial" w:eastAsia="arial" w:hAnsi="arial" w:cs="arial"/>
          <w:b w:val="0"/>
          <w:i w:val="0"/>
          <w:strike w:val="0"/>
          <w:noProof w:val="0"/>
          <w:color w:val="000000"/>
          <w:position w:val="0"/>
          <w:sz w:val="20"/>
          <w:u w:val="none"/>
          <w:vertAlign w:val="baseline"/>
        </w:rPr>
        <w:t xml:space="preserve"> (affirming the Eleventh Circuit's finding that </w:t>
      </w:r>
      <w:hyperlink r:id="rId80" w:history="1">
        <w:r>
          <w:rPr>
            <w:rFonts w:ascii="arial" w:eastAsia="arial" w:hAnsi="arial" w:cs="arial"/>
            <w:b w:val="0"/>
            <w:i/>
            <w:strike w:val="0"/>
            <w:noProof w:val="0"/>
            <w:color w:val="0077CC"/>
            <w:position w:val="0"/>
            <w:sz w:val="20"/>
            <w:u w:val="single"/>
            <w:vertAlign w:val="baseline"/>
          </w:rPr>
          <w:t>§ 2680(c)</w:t>
        </w:r>
      </w:hyperlink>
      <w:r>
        <w:rPr>
          <w:rFonts w:ascii="arial" w:eastAsia="arial" w:hAnsi="arial" w:cs="arial"/>
          <w:b w:val="0"/>
          <w:i w:val="0"/>
          <w:strike w:val="0"/>
          <w:noProof w:val="0"/>
          <w:color w:val="000000"/>
          <w:position w:val="0"/>
          <w:sz w:val="20"/>
          <w:u w:val="none"/>
          <w:vertAlign w:val="baseline"/>
        </w:rPr>
        <w:t xml:space="preserve"> applied to a federal prisoner's claim that the loss of his property during a transfer violated the FTCA, and affirming the lower court's dismissal of the claim for lack of subject matter jurisdiction).</w:t>
      </w:r>
    </w:p>
    <w:p>
      <w:pPr>
        <w:keepNext w:val="0"/>
        <w:spacing w:before="240" w:after="0" w:line="260" w:lineRule="atLeast"/>
        <w:ind w:left="0" w:right="0" w:firstLine="0"/>
        <w:jc w:val="both"/>
      </w:pPr>
      <w:bookmarkStart w:id="93" w:name="Bookmark_para_70"/>
      <w:bookmarkEnd w:id="93"/>
      <w:r>
        <w:rPr>
          <w:rFonts w:ascii="arial" w:eastAsia="arial" w:hAnsi="arial" w:cs="arial"/>
          <w:b w:val="0"/>
          <w:i w:val="0"/>
          <w:strike w:val="0"/>
          <w:noProof w:val="0"/>
          <w:color w:val="000000"/>
          <w:position w:val="0"/>
          <w:sz w:val="20"/>
          <w:u w:val="none"/>
          <w:vertAlign w:val="baseline"/>
        </w:rPr>
        <w:t xml:space="preserve">The United States has not waived its immunity for Malachowski's lost property claim arising from his transfer from USP Atlanta Satellite Camp. Therefore, Malachowski's claim against the United States related to his lost property is DISMISSED under </w:t>
      </w:r>
      <w:hyperlink r:id="rId13" w:history="1">
        <w:r>
          <w:rPr>
            <w:rFonts w:ascii="arial" w:eastAsia="arial" w:hAnsi="arial" w:cs="arial"/>
            <w:b w:val="0"/>
            <w:i/>
            <w:strike w:val="0"/>
            <w:noProof w:val="0"/>
            <w:color w:val="0077CC"/>
            <w:position w:val="0"/>
            <w:sz w:val="20"/>
            <w:u w:val="single"/>
            <w:vertAlign w:val="baseline"/>
          </w:rPr>
          <w:t>28 U.S.C. § 1915A(b)(1)</w:t>
        </w:r>
      </w:hyperlink>
      <w:r>
        <w:rPr>
          <w:rFonts w:ascii="arial" w:eastAsia="arial" w:hAnsi="arial" w:cs="arial"/>
          <w:b w:val="0"/>
          <w:i w:val="0"/>
          <w:strike w:val="0"/>
          <w:noProof w:val="0"/>
          <w:color w:val="000000"/>
          <w:position w:val="0"/>
          <w:sz w:val="20"/>
          <w:u w:val="none"/>
          <w:vertAlign w:val="baseline"/>
        </w:rPr>
        <w:t xml:space="preserve"> as frivolous and for failure to state a claim.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IV. CONCLUSION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val="0"/>
          <w:strike w:val="0"/>
          <w:noProof w:val="0"/>
          <w:color w:val="000000"/>
          <w:position w:val="0"/>
          <w:sz w:val="20"/>
          <w:u w:val="single"/>
          <w:vertAlign w:val="baseline"/>
        </w:rPr>
        <w:t>Dismissed claims</w:t>
      </w:r>
    </w:p>
    <w:p>
      <w:pPr>
        <w:keepNext w:val="0"/>
        <w:spacing w:before="200" w:after="0" w:line="260" w:lineRule="atLeast"/>
        <w:ind w:left="0" w:right="0" w:firstLine="0"/>
        <w:jc w:val="both"/>
      </w:pPr>
      <w:bookmarkStart w:id="94" w:name="Bookmark_para_71"/>
      <w:bookmarkEnd w:id="94"/>
      <w:r>
        <w:rPr>
          <w:rFonts w:ascii="arial" w:eastAsia="arial" w:hAnsi="arial" w:cs="arial"/>
          <w:b w:val="0"/>
          <w:i w:val="0"/>
          <w:strike w:val="0"/>
          <w:noProof w:val="0"/>
          <w:color w:val="000000"/>
          <w:position w:val="0"/>
          <w:sz w:val="20"/>
          <w:u w:val="none"/>
          <w:vertAlign w:val="baseline"/>
        </w:rPr>
        <w:t>For the foregoing reasons, the Court ORDERS as follows:</w:t>
      </w:r>
    </w:p>
    <w:p>
      <w:pPr>
        <w:keepNext w:val="0"/>
        <w:spacing w:before="200" w:after="0" w:line="260" w:lineRule="atLeast"/>
        <w:ind w:left="0" w:right="0" w:firstLine="0"/>
        <w:jc w:val="both"/>
      </w:pPr>
      <w:bookmarkStart w:id="95" w:name="Bookmark_para_72"/>
      <w:bookmarkEnd w:id="95"/>
      <w:r>
        <w:rPr>
          <w:rFonts w:ascii="arial" w:eastAsia="arial" w:hAnsi="arial" w:cs="arial"/>
          <w:b w:val="0"/>
          <w:i w:val="0"/>
          <w:strike w:val="0"/>
          <w:noProof w:val="0"/>
          <w:color w:val="000000"/>
          <w:position w:val="0"/>
          <w:sz w:val="20"/>
          <w:u w:val="none"/>
          <w:vertAlign w:val="baseline"/>
        </w:rPr>
        <w:t xml:space="preserve">Malachowski's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claims against DSCC Officer FNU Maxy are DISMISSED as time-barred</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and for failure to state a claim upon which relief may be granted.</w:t>
      </w:r>
    </w:p>
    <w:p>
      <w:pPr>
        <w:keepNext w:val="0"/>
        <w:spacing w:before="240" w:after="0" w:line="260" w:lineRule="atLeast"/>
        <w:ind w:left="0" w:right="0" w:firstLine="0"/>
        <w:jc w:val="both"/>
      </w:pPr>
      <w:bookmarkStart w:id="96" w:name="Bookmark_para_73"/>
      <w:bookmarkEnd w:id="96"/>
      <w:r>
        <w:rPr>
          <w:rFonts w:ascii="arial" w:eastAsia="arial" w:hAnsi="arial" w:cs="arial"/>
          <w:b w:val="0"/>
          <w:i w:val="0"/>
          <w:strike w:val="0"/>
          <w:noProof w:val="0"/>
          <w:color w:val="000000"/>
          <w:position w:val="0"/>
          <w:sz w:val="20"/>
          <w:u w:val="none"/>
          <w:vertAlign w:val="baseline"/>
        </w:rPr>
        <w:t xml:space="preserve">Malachowski's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claim against DSCC Official John Doe 1 arising from his prison transfer is time-barred and DISMISSED for failure to state a claim upon which relief may be granted.</w:t>
      </w:r>
    </w:p>
    <w:p>
      <w:pPr>
        <w:keepNext w:val="0"/>
        <w:spacing w:before="240" w:after="0" w:line="260" w:lineRule="atLeast"/>
        <w:ind w:left="0" w:right="0" w:firstLine="0"/>
        <w:jc w:val="both"/>
      </w:pPr>
      <w:bookmarkStart w:id="97" w:name="Bookmark_para_74"/>
      <w:bookmarkEnd w:id="97"/>
      <w:r>
        <w:rPr>
          <w:rFonts w:ascii="arial" w:eastAsia="arial" w:hAnsi="arial" w:cs="arial"/>
          <w:b w:val="0"/>
          <w:i w:val="0"/>
          <w:strike w:val="0"/>
          <w:noProof w:val="0"/>
          <w:color w:val="000000"/>
          <w:position w:val="0"/>
          <w:sz w:val="20"/>
          <w:u w:val="none"/>
          <w:vertAlign w:val="baseline"/>
        </w:rPr>
        <w:t xml:space="preserve">Malachowski's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claim for retaliation against FCI-Big Spring Case Manager FNU Bush is DISMISSED for failure to state a claim upon which relief may be granted.</w:t>
      </w:r>
    </w:p>
    <w:p>
      <w:pPr>
        <w:keepNext w:val="0"/>
        <w:spacing w:before="240" w:after="0" w:line="260" w:lineRule="atLeast"/>
        <w:ind w:left="0" w:right="0" w:firstLine="0"/>
        <w:jc w:val="both"/>
      </w:pPr>
      <w:bookmarkStart w:id="98" w:name="Bookmark_para_75"/>
      <w:bookmarkEnd w:id="98"/>
      <w:r>
        <w:rPr>
          <w:rFonts w:ascii="arial" w:eastAsia="arial" w:hAnsi="arial" w:cs="arial"/>
          <w:b w:val="0"/>
          <w:i w:val="0"/>
          <w:strike w:val="0"/>
          <w:noProof w:val="0"/>
          <w:color w:val="000000"/>
          <w:position w:val="0"/>
          <w:sz w:val="20"/>
          <w:u w:val="none"/>
          <w:vertAlign w:val="baseline"/>
        </w:rPr>
        <w:t xml:space="preserve">Malachowski's failure-to-protect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claims against FCI-Big Spring Warden Billy Keith and Unit Correctional Officer John Doe 2 are DISMISSED as time-barred and for failure to state a claim upon which relief may be granted.</w:t>
      </w:r>
    </w:p>
    <w:p>
      <w:pPr>
        <w:keepNext w:val="0"/>
        <w:spacing w:before="240" w:after="0" w:line="260" w:lineRule="atLeast"/>
        <w:ind w:left="0" w:right="0" w:firstLine="0"/>
        <w:jc w:val="both"/>
      </w:pPr>
      <w:bookmarkStart w:id="99" w:name="Bookmark_para_76"/>
      <w:bookmarkEnd w:id="99"/>
      <w:r>
        <w:rPr>
          <w:rFonts w:ascii="arial" w:eastAsia="arial" w:hAnsi="arial" w:cs="arial"/>
          <w:b w:val="0"/>
          <w:i w:val="0"/>
          <w:strike w:val="0"/>
          <w:noProof w:val="0"/>
          <w:color w:val="000000"/>
          <w:position w:val="0"/>
          <w:sz w:val="20"/>
          <w:u w:val="none"/>
          <w:vertAlign w:val="baseline"/>
        </w:rPr>
        <w:t xml:space="preserve">Malachowski's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claims for deliberate indifference to his medical needs against FCI-Big Spring Correctional Officers FNU LNU are DISMISSED as frivolous and for failure to state a claim under </w:t>
      </w:r>
      <w:hyperlink r:id="rId13" w:history="1">
        <w:r>
          <w:rPr>
            <w:rFonts w:ascii="arial" w:eastAsia="arial" w:hAnsi="arial" w:cs="arial"/>
            <w:b w:val="0"/>
            <w:i/>
            <w:strike w:val="0"/>
            <w:noProof w:val="0"/>
            <w:color w:val="0077CC"/>
            <w:position w:val="0"/>
            <w:sz w:val="20"/>
            <w:u w:val="single"/>
            <w:vertAlign w:val="baseline"/>
          </w:rPr>
          <w:t>28 U.S.C. § 1915A(b)</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0" w:name="Bookmark_para_77"/>
      <w:bookmarkEnd w:id="100"/>
      <w:r>
        <w:rPr>
          <w:rFonts w:ascii="arial" w:eastAsia="arial" w:hAnsi="arial" w:cs="arial"/>
          <w:b w:val="0"/>
          <w:i w:val="0"/>
          <w:strike w:val="0"/>
          <w:noProof w:val="0"/>
          <w:color w:val="000000"/>
          <w:position w:val="0"/>
          <w:sz w:val="20"/>
          <w:u w:val="none"/>
          <w:vertAlign w:val="baseline"/>
        </w:rPr>
        <w:t>Malachowski's FTCA negligence claims against the United States for negligent hiring, training, supervision, and discipline are DISMISSED for failure to state a claim.</w:t>
      </w:r>
    </w:p>
    <w:p>
      <w:pPr>
        <w:keepNext w:val="0"/>
        <w:spacing w:before="200" w:after="0" w:line="260" w:lineRule="atLeast"/>
        <w:ind w:left="0" w:right="0" w:firstLine="0"/>
        <w:jc w:val="both"/>
      </w:pPr>
      <w:bookmarkStart w:id="101" w:name="Bookmark_para_78"/>
      <w:bookmarkEnd w:id="101"/>
      <w:r>
        <w:rPr>
          <w:rFonts w:ascii="arial" w:eastAsia="arial" w:hAnsi="arial" w:cs="arial"/>
          <w:b w:val="0"/>
          <w:i w:val="0"/>
          <w:strike w:val="0"/>
          <w:noProof w:val="0"/>
          <w:color w:val="000000"/>
          <w:position w:val="0"/>
          <w:sz w:val="20"/>
          <w:u w:val="none"/>
          <w:vertAlign w:val="baseline"/>
        </w:rPr>
        <w:t>Malachowski's FTCA negligence claim against the United States related to the loss of his property during a prison transfer is DISMISSED as frivolous and for failure to state a claim.</w:t>
      </w:r>
    </w:p>
    <w:p>
      <w:pPr>
        <w:keepNext w:val="0"/>
        <w:spacing w:before="200" w:after="0" w:line="260" w:lineRule="atLeast"/>
        <w:ind w:left="0" w:right="0" w:firstLine="0"/>
        <w:jc w:val="both"/>
      </w:pPr>
      <w:bookmarkStart w:id="102" w:name="Bookmark_para_79"/>
      <w:bookmarkEnd w:id="102"/>
      <w:r>
        <w:rPr>
          <w:rFonts w:ascii="arial" w:eastAsia="arial" w:hAnsi="arial" w:cs="arial"/>
          <w:b w:val="0"/>
          <w:i w:val="0"/>
          <w:strike w:val="0"/>
          <w:noProof w:val="0"/>
          <w:color w:val="000000"/>
          <w:position w:val="0"/>
          <w:sz w:val="20"/>
          <w:u w:val="none"/>
          <w:vertAlign w:val="baseline"/>
        </w:rPr>
        <w:t>Malachowski's claims against the FBOP are</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DISMISSED as frivolous and for failure to state a claim.</w:t>
      </w:r>
    </w:p>
    <w:p>
      <w:pPr>
        <w:keepNext w:val="0"/>
        <w:spacing w:before="240" w:after="0" w:line="260" w:lineRule="atLeast"/>
        <w:ind w:left="0" w:right="0" w:firstLine="0"/>
        <w:jc w:val="both"/>
      </w:pPr>
      <w:bookmarkStart w:id="103" w:name="Bookmark_para_80"/>
      <w:bookmarkEnd w:id="103"/>
      <w:r>
        <w:rPr>
          <w:rFonts w:ascii="arial" w:eastAsia="arial" w:hAnsi="arial" w:cs="arial"/>
          <w:b w:val="0"/>
          <w:i w:val="0"/>
          <w:strike w:val="0"/>
          <w:noProof w:val="0"/>
          <w:color w:val="000000"/>
          <w:position w:val="0"/>
          <w:sz w:val="20"/>
          <w:u w:val="none"/>
          <w:vertAlign w:val="baseline"/>
        </w:rPr>
        <w:t xml:space="preserve">With respect to the dismissal of Malachowski's claims above, this is a consent case assigned to the undersigned United States magistrate judge under </w:t>
      </w:r>
      <w:hyperlink r:id="rId86" w:history="1">
        <w:r>
          <w:rPr>
            <w:rFonts w:ascii="arial" w:eastAsia="arial" w:hAnsi="arial" w:cs="arial"/>
            <w:b w:val="0"/>
            <w:i/>
            <w:strike w:val="0"/>
            <w:noProof w:val="0"/>
            <w:color w:val="0077CC"/>
            <w:position w:val="0"/>
            <w:sz w:val="20"/>
            <w:u w:val="single"/>
            <w:vertAlign w:val="baseline"/>
          </w:rPr>
          <w:t>28 U.S.C. § 636(c)</w:t>
        </w:r>
      </w:hyperlink>
      <w:r>
        <w:rPr>
          <w:rFonts w:ascii="arial" w:eastAsia="arial" w:hAnsi="arial" w:cs="arial"/>
          <w:b w:val="0"/>
          <w:i w:val="0"/>
          <w:strike w:val="0"/>
          <w:noProof w:val="0"/>
          <w:color w:val="000000"/>
          <w:position w:val="0"/>
          <w:sz w:val="20"/>
          <w:u w:val="none"/>
          <w:vertAlign w:val="baseline"/>
        </w:rPr>
        <w:t xml:space="preserve"> with authority to enter judgment. Dkt. No. 25. Any appeal of these dismissals must be to the Court of Appeals for the Fifth Circuit under </w:t>
      </w:r>
      <w:hyperlink r:id="rId86" w:history="1">
        <w:r>
          <w:rPr>
            <w:rFonts w:ascii="arial" w:eastAsia="arial" w:hAnsi="arial" w:cs="arial"/>
            <w:b w:val="0"/>
            <w:i/>
            <w:strike w:val="0"/>
            <w:noProof w:val="0"/>
            <w:color w:val="0077CC"/>
            <w:position w:val="0"/>
            <w:sz w:val="20"/>
            <w:u w:val="single"/>
            <w:vertAlign w:val="baseline"/>
          </w:rPr>
          <w:t>28 U.S.C. § 636(c)(3)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val="0"/>
          <w:strike w:val="0"/>
          <w:noProof w:val="0"/>
          <w:color w:val="000000"/>
          <w:position w:val="0"/>
          <w:sz w:val="20"/>
          <w:u w:val="single"/>
          <w:vertAlign w:val="baseline"/>
        </w:rPr>
        <w:t>Surviving claims</w:t>
      </w:r>
    </w:p>
    <w:p>
      <w:pPr>
        <w:keepNext w:val="0"/>
        <w:spacing w:before="200" w:after="0" w:line="260" w:lineRule="atLeast"/>
        <w:ind w:left="0" w:right="0" w:firstLine="0"/>
        <w:jc w:val="both"/>
      </w:pPr>
      <w:bookmarkStart w:id="104" w:name="Bookmark_para_81"/>
      <w:bookmarkEnd w:id="104"/>
      <w:r>
        <w:rPr>
          <w:rFonts w:ascii="arial" w:eastAsia="arial" w:hAnsi="arial" w:cs="arial"/>
          <w:b w:val="0"/>
          <w:i w:val="0"/>
          <w:strike w:val="0"/>
          <w:noProof w:val="0"/>
          <w:color w:val="000000"/>
          <w:position w:val="0"/>
          <w:sz w:val="20"/>
          <w:u w:val="none"/>
          <w:vertAlign w:val="baseline"/>
        </w:rPr>
        <w:t>It is further ORDERED that:</w:t>
      </w:r>
    </w:p>
    <w:p>
      <w:pPr>
        <w:keepNext w:val="0"/>
        <w:spacing w:before="200" w:after="0" w:line="260" w:lineRule="atLeast"/>
        <w:ind w:left="0" w:right="0" w:firstLine="0"/>
        <w:jc w:val="both"/>
      </w:pPr>
      <w:bookmarkStart w:id="105" w:name="Bookmark_para_82"/>
      <w:bookmarkEnd w:id="105"/>
      <w:r>
        <w:rPr>
          <w:rFonts w:ascii="arial" w:eastAsia="arial" w:hAnsi="arial" w:cs="arial"/>
          <w:b w:val="0"/>
          <w:i w:val="0"/>
          <w:strike w:val="0"/>
          <w:noProof w:val="0"/>
          <w:color w:val="000000"/>
          <w:position w:val="0"/>
          <w:sz w:val="20"/>
          <w:u w:val="none"/>
          <w:vertAlign w:val="baseline"/>
        </w:rPr>
        <w:t>Malachowski has pleaded a plausible failure-to-protect claim against the United States under the FTCA in connection with the attack of August 27, 2018.</w:t>
      </w:r>
    </w:p>
    <w:p>
      <w:pPr>
        <w:keepNext w:val="0"/>
        <w:spacing w:before="200" w:after="0" w:line="260" w:lineRule="atLeast"/>
        <w:ind w:left="0" w:right="0" w:firstLine="0"/>
        <w:jc w:val="both"/>
      </w:pPr>
      <w:bookmarkStart w:id="106" w:name="Bookmark_para_83"/>
      <w:bookmarkEnd w:id="106"/>
      <w:r>
        <w:rPr>
          <w:rFonts w:ascii="arial" w:eastAsia="arial" w:hAnsi="arial" w:cs="arial"/>
          <w:b w:val="0"/>
          <w:i w:val="0"/>
          <w:strike w:val="0"/>
          <w:noProof w:val="0"/>
          <w:color w:val="000000"/>
          <w:position w:val="0"/>
          <w:sz w:val="20"/>
          <w:u w:val="none"/>
          <w:vertAlign w:val="baseline"/>
        </w:rPr>
        <w:t>Malachowski has pleaded a plausible claim of negligence against the United States under the FTCA in connection with his post-attack medical care while at FCI-Big Spring.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w:t>
      </w:r>
      <w:r>
        <w:rPr>
          <w:rFonts w:ascii="arial" w:eastAsia="arial" w:hAnsi="arial" w:cs="arial"/>
          <w:b/>
          <w:i w:val="0"/>
          <w:strike w:val="0"/>
          <w:noProof w:val="0"/>
          <w:color w:val="000000"/>
          <w:position w:val="0"/>
          <w:sz w:val="20"/>
          <w:u w:val="single"/>
          <w:vertAlign w:val="baseline"/>
        </w:rPr>
        <w:t>Malachowski's responsibility for serving the United States</w:t>
      </w:r>
    </w:p>
    <w:p>
      <w:pPr>
        <w:keepNext w:val="0"/>
        <w:spacing w:before="240" w:after="0" w:line="260" w:lineRule="atLeast"/>
        <w:ind w:left="0" w:right="0" w:firstLine="0"/>
        <w:jc w:val="both"/>
      </w:pPr>
      <w:bookmarkStart w:id="107" w:name="Bookmark_para_84"/>
      <w:bookmarkEnd w:id="107"/>
      <w:r>
        <w:rPr>
          <w:rFonts w:ascii="arial" w:eastAsia="arial" w:hAnsi="arial" w:cs="arial"/>
          <w:b w:val="0"/>
          <w:i w:val="0"/>
          <w:strike w:val="0"/>
          <w:noProof w:val="0"/>
          <w:color w:val="000000"/>
          <w:position w:val="0"/>
          <w:sz w:val="20"/>
          <w:u w:val="none"/>
          <w:vertAlign w:val="baseline"/>
        </w:rPr>
        <w:t xml:space="preserve">Malachowski paid the required filing fee in this civil action, thus he is responsible for serving the United States as required by </w:t>
      </w:r>
      <w:hyperlink r:id="rId87" w:history="1">
        <w:r>
          <w:rPr>
            <w:rFonts w:ascii="arial" w:eastAsia="arial" w:hAnsi="arial" w:cs="arial"/>
            <w:b w:val="0"/>
            <w:i/>
            <w:strike w:val="0"/>
            <w:noProof w:val="0"/>
            <w:color w:val="0077CC"/>
            <w:position w:val="0"/>
            <w:sz w:val="20"/>
            <w:u w:val="single"/>
            <w:vertAlign w:val="baseline"/>
          </w:rPr>
          <w:t>Rule 4(i) of the Federal Rules of Civil Procedure</w:t>
        </w:r>
      </w:hyperlink>
      <w:r>
        <w:rPr>
          <w:rFonts w:ascii="arial" w:eastAsia="arial" w:hAnsi="arial" w:cs="arial"/>
          <w:b w:val="0"/>
          <w:i w:val="0"/>
          <w:strike w:val="0"/>
          <w:noProof w:val="0"/>
          <w:color w:val="000000"/>
          <w:position w:val="0"/>
          <w:sz w:val="20"/>
          <w:u w:val="none"/>
          <w:vertAlign w:val="baseline"/>
        </w:rPr>
        <w:t xml:space="preserve">. The Clerk is DIRECTED to send Malachowski a copy of this Order, a copy of </w:t>
      </w:r>
      <w:hyperlink r:id="rId87" w:history="1">
        <w:r>
          <w:rPr>
            <w:rFonts w:ascii="arial" w:eastAsia="arial" w:hAnsi="arial" w:cs="arial"/>
            <w:b w:val="0"/>
            <w:i/>
            <w:strike w:val="0"/>
            <w:noProof w:val="0"/>
            <w:color w:val="0077CC"/>
            <w:position w:val="0"/>
            <w:sz w:val="20"/>
            <w:u w:val="single"/>
            <w:vertAlign w:val="baseline"/>
          </w:rPr>
          <w:t>Rule 4</w:t>
        </w:r>
      </w:hyperlink>
      <w:r>
        <w:rPr>
          <w:rFonts w:ascii="arial" w:eastAsia="arial" w:hAnsi="arial" w:cs="arial"/>
          <w:b w:val="0"/>
          <w:i w:val="0"/>
          <w:strike w:val="0"/>
          <w:noProof w:val="0"/>
          <w:color w:val="000000"/>
          <w:position w:val="0"/>
          <w:sz w:val="20"/>
          <w:u w:val="none"/>
          <w:vertAlign w:val="baseline"/>
        </w:rPr>
        <w:t>, and a form for Summons in a Civil Action (AO 440). Malachowski will have 90 days from the date of this Order to serve the United States.</w:t>
      </w:r>
    </w:p>
    <w:p>
      <w:pPr>
        <w:keepNext w:val="0"/>
        <w:spacing w:before="200" w:after="0" w:line="260" w:lineRule="atLeast"/>
        <w:ind w:left="0" w:right="0" w:firstLine="0"/>
        <w:jc w:val="both"/>
      </w:pPr>
      <w:bookmarkStart w:id="108" w:name="Bookmark_para_85"/>
      <w:bookmarkEnd w:id="108"/>
      <w:r>
        <w:rPr>
          <w:rFonts w:ascii="arial" w:eastAsia="arial" w:hAnsi="arial" w:cs="arial"/>
          <w:b w:val="0"/>
          <w:i w:val="0"/>
          <w:strike w:val="0"/>
          <w:noProof w:val="0"/>
          <w:color w:val="000000"/>
          <w:position w:val="0"/>
          <w:sz w:val="20"/>
          <w:u w:val="none"/>
          <w:vertAlign w:val="baseline"/>
        </w:rPr>
        <w:t>ORDERED this 9th day of February, 2023.</w:t>
      </w:r>
    </w:p>
    <w:p>
      <w:pPr>
        <w:keepNext w:val="0"/>
        <w:spacing w:before="200" w:after="0" w:line="260" w:lineRule="atLeast"/>
        <w:ind w:left="0" w:right="0" w:firstLine="0"/>
        <w:jc w:val="both"/>
      </w:pPr>
      <w:bookmarkStart w:id="109" w:name="Bookmark_para_86"/>
      <w:bookmarkEnd w:id="109"/>
      <w:r>
        <w:rPr>
          <w:rFonts w:ascii="arial" w:eastAsia="arial" w:hAnsi="arial" w:cs="arial"/>
          <w:b w:val="0"/>
          <w:i w:val="0"/>
          <w:strike w:val="0"/>
          <w:noProof w:val="0"/>
          <w:color w:val="000000"/>
          <w:position w:val="0"/>
          <w:sz w:val="20"/>
          <w:u w:val="none"/>
          <w:vertAlign w:val="baseline"/>
        </w:rPr>
        <w:t>/s/ John R. Parker</w:t>
      </w:r>
    </w:p>
    <w:p>
      <w:pPr>
        <w:keepNext w:val="0"/>
        <w:spacing w:before="200" w:after="0" w:line="260" w:lineRule="atLeast"/>
        <w:ind w:left="0" w:right="0" w:firstLine="0"/>
        <w:jc w:val="both"/>
      </w:pPr>
      <w:bookmarkStart w:id="110" w:name="Bookmark_para_87"/>
      <w:bookmarkEnd w:id="110"/>
      <w:r>
        <w:rPr>
          <w:rFonts w:ascii="arial" w:eastAsia="arial" w:hAnsi="arial" w:cs="arial"/>
          <w:b w:val="0"/>
          <w:i w:val="0"/>
          <w:strike w:val="0"/>
          <w:noProof w:val="0"/>
          <w:color w:val="000000"/>
          <w:position w:val="0"/>
          <w:sz w:val="20"/>
          <w:u w:val="none"/>
          <w:vertAlign w:val="baseline"/>
        </w:rPr>
        <w:t>JOHN R. PARKER</w:t>
      </w:r>
    </w:p>
    <w:p>
      <w:pPr>
        <w:keepNext w:val="0"/>
        <w:spacing w:before="200" w:after="0" w:line="260" w:lineRule="atLeast"/>
        <w:ind w:left="0" w:right="0" w:firstLine="0"/>
        <w:jc w:val="both"/>
      </w:pPr>
      <w:bookmarkStart w:id="111" w:name="Bookmark_para_88"/>
      <w:bookmarkEnd w:id="111"/>
      <w:r>
        <w:rPr>
          <w:rFonts w:ascii="arial" w:eastAsia="arial" w:hAnsi="arial" w:cs="arial"/>
          <w:b w:val="0"/>
          <w:i w:val="0"/>
          <w:strike w:val="0"/>
          <w:noProof w:val="0"/>
          <w:color w:val="000000"/>
          <w:position w:val="0"/>
          <w:sz w:val="20"/>
          <w:u w:val="none"/>
          <w:vertAlign w:val="baseline"/>
        </w:rPr>
        <w:t>UNITED STATES</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MAGISTRATE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JUDGMENT</w:t>
      </w:r>
    </w:p>
    <w:p>
      <w:pPr>
        <w:keepNext w:val="0"/>
        <w:spacing w:before="240" w:after="0" w:line="260" w:lineRule="atLeast"/>
        <w:ind w:left="0" w:right="0" w:firstLine="0"/>
        <w:jc w:val="both"/>
      </w:pPr>
      <w:bookmarkStart w:id="112" w:name="Bookmark_para_89"/>
      <w:bookmarkEnd w:id="112"/>
      <w:r>
        <w:rPr>
          <w:rFonts w:ascii="arial" w:eastAsia="arial" w:hAnsi="arial" w:cs="arial"/>
          <w:b w:val="0"/>
          <w:i w:val="0"/>
          <w:strike w:val="0"/>
          <w:noProof w:val="0"/>
          <w:color w:val="000000"/>
          <w:position w:val="0"/>
          <w:sz w:val="20"/>
          <w:u w:val="none"/>
          <w:vertAlign w:val="baseline"/>
        </w:rPr>
        <w:t xml:space="preserve">This same day, an Order was filed in this case dismissing Malachowski's claims below. In accordance with </w:t>
      </w:r>
      <w:hyperlink r:id="rId88" w:history="1">
        <w:r>
          <w:rPr>
            <w:rFonts w:ascii="arial" w:eastAsia="arial" w:hAnsi="arial" w:cs="arial"/>
            <w:b w:val="0"/>
            <w:i/>
            <w:strike w:val="0"/>
            <w:noProof w:val="0"/>
            <w:color w:val="0077CC"/>
            <w:position w:val="0"/>
            <w:sz w:val="20"/>
            <w:u w:val="single"/>
            <w:vertAlign w:val="baseline"/>
          </w:rPr>
          <w:t>Rule 54(b) of the Federal Rules of Civil Procedure</w:t>
        </w:r>
      </w:hyperlink>
      <w:r>
        <w:rPr>
          <w:rFonts w:ascii="arial" w:eastAsia="arial" w:hAnsi="arial" w:cs="arial"/>
          <w:b w:val="0"/>
          <w:i w:val="0"/>
          <w:strike w:val="0"/>
          <w:noProof w:val="0"/>
          <w:color w:val="000000"/>
          <w:position w:val="0"/>
          <w:sz w:val="20"/>
          <w:u w:val="none"/>
          <w:vertAlign w:val="baseline"/>
        </w:rPr>
        <w:t>, the Court finds that there is no just reason for delay and directs entry of judgment as follows:</w:t>
      </w:r>
    </w:p>
    <w:p>
      <w:pPr>
        <w:keepNext w:val="0"/>
        <w:spacing w:before="240" w:after="0" w:line="260" w:lineRule="atLeast"/>
        <w:ind w:left="0" w:right="0" w:firstLine="0"/>
        <w:jc w:val="both"/>
      </w:pPr>
      <w:bookmarkStart w:id="113" w:name="Bookmark_para_90"/>
      <w:bookmarkEnd w:id="113"/>
      <w:r>
        <w:rPr>
          <w:rFonts w:ascii="arial" w:eastAsia="arial" w:hAnsi="arial" w:cs="arial"/>
          <w:b w:val="0"/>
          <w:i w:val="0"/>
          <w:strike w:val="0"/>
          <w:noProof w:val="0"/>
          <w:color w:val="000000"/>
          <w:position w:val="0"/>
          <w:sz w:val="20"/>
          <w:u w:val="none"/>
          <w:vertAlign w:val="baseline"/>
        </w:rPr>
        <w:t xml:space="preserve">1. Malachowski's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claims against FNU Maxy are DISMISSED as time-barred and for failure to state a claim upon which relief may be granted.</w:t>
      </w:r>
    </w:p>
    <w:p>
      <w:pPr>
        <w:keepNext w:val="0"/>
        <w:spacing w:before="240" w:after="0" w:line="260" w:lineRule="atLeast"/>
        <w:ind w:left="0" w:right="0" w:firstLine="0"/>
        <w:jc w:val="both"/>
      </w:pPr>
      <w:bookmarkStart w:id="114" w:name="Bookmark_para_91"/>
      <w:bookmarkEnd w:id="114"/>
      <w:r>
        <w:rPr>
          <w:rFonts w:ascii="arial" w:eastAsia="arial" w:hAnsi="arial" w:cs="arial"/>
          <w:b w:val="0"/>
          <w:i w:val="0"/>
          <w:strike w:val="0"/>
          <w:noProof w:val="0"/>
          <w:color w:val="000000"/>
          <w:position w:val="0"/>
          <w:sz w:val="20"/>
          <w:u w:val="none"/>
          <w:vertAlign w:val="baseline"/>
        </w:rPr>
        <w:t xml:space="preserve">2. Malachowski's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claim against DSCC Official John Doe 1 arising from his prison transfer is time-barred and DISMISSED for failure to state a claim upon which relief may be granted.</w:t>
      </w:r>
    </w:p>
    <w:p>
      <w:pPr>
        <w:keepNext w:val="0"/>
        <w:spacing w:before="240" w:after="0" w:line="260" w:lineRule="atLeast"/>
        <w:ind w:left="0" w:right="0" w:firstLine="0"/>
        <w:jc w:val="both"/>
      </w:pPr>
      <w:bookmarkStart w:id="115" w:name="Bookmark_para_92"/>
      <w:bookmarkEnd w:id="115"/>
      <w:r>
        <w:rPr>
          <w:rFonts w:ascii="arial" w:eastAsia="arial" w:hAnsi="arial" w:cs="arial"/>
          <w:b w:val="0"/>
          <w:i w:val="0"/>
          <w:strike w:val="0"/>
          <w:noProof w:val="0"/>
          <w:color w:val="000000"/>
          <w:position w:val="0"/>
          <w:sz w:val="20"/>
          <w:u w:val="none"/>
          <w:vertAlign w:val="baseline"/>
        </w:rPr>
        <w:t xml:space="preserve">3. Malachowski's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claim for retaliation against FCI-Big Spring Case Manager FNU Bush is DISMISSED for failure to state a claim upon which relief may be granted.</w:t>
      </w:r>
    </w:p>
    <w:p>
      <w:pPr>
        <w:keepNext w:val="0"/>
        <w:spacing w:before="240" w:after="0" w:line="260" w:lineRule="atLeast"/>
        <w:ind w:left="0" w:right="0" w:firstLine="0"/>
        <w:jc w:val="both"/>
      </w:pPr>
      <w:bookmarkStart w:id="116" w:name="Bookmark_para_93"/>
      <w:bookmarkEnd w:id="116"/>
      <w:r>
        <w:rPr>
          <w:rFonts w:ascii="arial" w:eastAsia="arial" w:hAnsi="arial" w:cs="arial"/>
          <w:b w:val="0"/>
          <w:i w:val="0"/>
          <w:strike w:val="0"/>
          <w:noProof w:val="0"/>
          <w:color w:val="000000"/>
          <w:position w:val="0"/>
          <w:sz w:val="20"/>
          <w:u w:val="none"/>
          <w:vertAlign w:val="baseline"/>
        </w:rPr>
        <w:t xml:space="preserve">4. Malachowski's failure-to-protect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claims against FCI-Big Spring Warden Billy Keith and Unit Correctional Officer John Doe 2 are DISMISSED as time-barred and for failure to state a claim upon which relief may be granted.</w:t>
      </w:r>
    </w:p>
    <w:p>
      <w:pPr>
        <w:keepNext w:val="0"/>
        <w:spacing w:before="240" w:after="0" w:line="260" w:lineRule="atLeast"/>
        <w:ind w:left="0" w:right="0" w:firstLine="0"/>
        <w:jc w:val="both"/>
      </w:pPr>
      <w:bookmarkStart w:id="117" w:name="Bookmark_para_94"/>
      <w:bookmarkEnd w:id="117"/>
      <w:r>
        <w:rPr>
          <w:rFonts w:ascii="arial" w:eastAsia="arial" w:hAnsi="arial" w:cs="arial"/>
          <w:b w:val="0"/>
          <w:i w:val="0"/>
          <w:strike w:val="0"/>
          <w:noProof w:val="0"/>
          <w:color w:val="000000"/>
          <w:position w:val="0"/>
          <w:sz w:val="20"/>
          <w:u w:val="none"/>
          <w:vertAlign w:val="baseline"/>
        </w:rPr>
        <w:t xml:space="preserve">5. Malachowski's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claims for deliberate indifference to his medical needs against unknown defendants at FCI-Big Springs are DISMISSED as frivolous and for failure to state a claim under </w:t>
      </w:r>
      <w:hyperlink r:id="rId13" w:history="1">
        <w:r>
          <w:rPr>
            <w:rFonts w:ascii="arial" w:eastAsia="arial" w:hAnsi="arial" w:cs="arial"/>
            <w:b w:val="0"/>
            <w:i/>
            <w:strike w:val="0"/>
            <w:noProof w:val="0"/>
            <w:color w:val="0077CC"/>
            <w:position w:val="0"/>
            <w:sz w:val="20"/>
            <w:u w:val="single"/>
            <w:vertAlign w:val="baseline"/>
          </w:rPr>
          <w:t>28 U.S.C. § 1915A(b)</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8" w:name="Bookmark_para_95"/>
      <w:bookmarkEnd w:id="118"/>
      <w:r>
        <w:rPr>
          <w:rFonts w:ascii="arial" w:eastAsia="arial" w:hAnsi="arial" w:cs="arial"/>
          <w:b w:val="0"/>
          <w:i w:val="0"/>
          <w:strike w:val="0"/>
          <w:noProof w:val="0"/>
          <w:color w:val="000000"/>
          <w:position w:val="0"/>
          <w:sz w:val="20"/>
          <w:u w:val="none"/>
          <w:vertAlign w:val="baseline"/>
        </w:rPr>
        <w:t>6. Malachowski's FTCA negligence claims against the United States for negligent hiring,</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training, supervision, and discipline are DISMISSED for failure to state a claim.</w:t>
      </w:r>
    </w:p>
    <w:p>
      <w:pPr>
        <w:keepNext w:val="0"/>
        <w:spacing w:before="200" w:after="0" w:line="260" w:lineRule="atLeast"/>
        <w:ind w:left="0" w:right="0" w:firstLine="0"/>
        <w:jc w:val="both"/>
      </w:pPr>
      <w:bookmarkStart w:id="119" w:name="Bookmark_para_96"/>
      <w:bookmarkEnd w:id="119"/>
      <w:r>
        <w:rPr>
          <w:rFonts w:ascii="arial" w:eastAsia="arial" w:hAnsi="arial" w:cs="arial"/>
          <w:b w:val="0"/>
          <w:i w:val="0"/>
          <w:strike w:val="0"/>
          <w:noProof w:val="0"/>
          <w:color w:val="000000"/>
          <w:position w:val="0"/>
          <w:sz w:val="20"/>
          <w:u w:val="none"/>
          <w:vertAlign w:val="baseline"/>
        </w:rPr>
        <w:t>7. Malachowski's FTCA negligence claim against the United States related to the loss of his property during a prison transfer is DISMISSED as frivolous and for failure to state a claim.</w:t>
      </w:r>
    </w:p>
    <w:p>
      <w:pPr>
        <w:keepNext w:val="0"/>
        <w:spacing w:before="200" w:after="0" w:line="260" w:lineRule="atLeast"/>
        <w:ind w:left="0" w:right="0" w:firstLine="0"/>
        <w:jc w:val="both"/>
      </w:pPr>
      <w:bookmarkStart w:id="120" w:name="Bookmark_para_97"/>
      <w:bookmarkEnd w:id="120"/>
      <w:r>
        <w:rPr>
          <w:rFonts w:ascii="arial" w:eastAsia="arial" w:hAnsi="arial" w:cs="arial"/>
          <w:b w:val="0"/>
          <w:i w:val="0"/>
          <w:strike w:val="0"/>
          <w:noProof w:val="0"/>
          <w:color w:val="000000"/>
          <w:position w:val="0"/>
          <w:sz w:val="20"/>
          <w:u w:val="none"/>
          <w:vertAlign w:val="baseline"/>
        </w:rPr>
        <w:t>This is a final judgment with respect to the foregoing claims and Defendants. The remaining claims are Malachowski's failure-to-protect claim against the United States under the FTCA in connection with the attack of August 27, 2018, and Malachowski's negligence claim under the FTCA in connection with his post-attack medical care while at FCI-Big Spring. The Court's Order and Judgment dismisses with prejudice any other claims for relief asserted by Malachowski against the Defendants.</w:t>
      </w:r>
    </w:p>
    <w:p>
      <w:pPr>
        <w:keepNext w:val="0"/>
        <w:spacing w:before="200" w:after="0" w:line="260" w:lineRule="atLeast"/>
        <w:ind w:left="0" w:right="0" w:firstLine="0"/>
        <w:jc w:val="both"/>
      </w:pPr>
      <w:bookmarkStart w:id="121" w:name="Bookmark_para_98"/>
      <w:bookmarkEnd w:id="121"/>
      <w:r>
        <w:rPr>
          <w:rFonts w:ascii="arial" w:eastAsia="arial" w:hAnsi="arial" w:cs="arial"/>
          <w:b w:val="0"/>
          <w:i w:val="0"/>
          <w:strike w:val="0"/>
          <w:noProof w:val="0"/>
          <w:color w:val="000000"/>
          <w:position w:val="0"/>
          <w:sz w:val="20"/>
          <w:u w:val="none"/>
          <w:vertAlign w:val="baseline"/>
        </w:rPr>
        <w:t>ORDERED this 9th day of February, 2023.</w:t>
      </w:r>
    </w:p>
    <w:p>
      <w:pPr>
        <w:keepNext w:val="0"/>
        <w:spacing w:before="200" w:after="0" w:line="260" w:lineRule="atLeast"/>
        <w:ind w:left="0" w:right="0" w:firstLine="0"/>
        <w:jc w:val="both"/>
      </w:pPr>
      <w:bookmarkStart w:id="122" w:name="Bookmark_para_99"/>
      <w:bookmarkEnd w:id="122"/>
      <w:r>
        <w:rPr>
          <w:rFonts w:ascii="arial" w:eastAsia="arial" w:hAnsi="arial" w:cs="arial"/>
          <w:b w:val="0"/>
          <w:i w:val="0"/>
          <w:strike w:val="0"/>
          <w:noProof w:val="0"/>
          <w:color w:val="000000"/>
          <w:position w:val="0"/>
          <w:sz w:val="20"/>
          <w:u w:val="none"/>
          <w:vertAlign w:val="baseline"/>
        </w:rPr>
        <w:t>/s/ John R. Parker</w:t>
      </w:r>
    </w:p>
    <w:p>
      <w:pPr>
        <w:keepNext w:val="0"/>
        <w:spacing w:before="200" w:after="0" w:line="260" w:lineRule="atLeast"/>
        <w:ind w:left="0" w:right="0" w:firstLine="0"/>
        <w:jc w:val="both"/>
      </w:pPr>
      <w:bookmarkStart w:id="123" w:name="Bookmark_para_100"/>
      <w:bookmarkEnd w:id="123"/>
      <w:r>
        <w:rPr>
          <w:rFonts w:ascii="arial" w:eastAsia="arial" w:hAnsi="arial" w:cs="arial"/>
          <w:b w:val="0"/>
          <w:i w:val="0"/>
          <w:strike w:val="0"/>
          <w:noProof w:val="0"/>
          <w:color w:val="000000"/>
          <w:position w:val="0"/>
          <w:sz w:val="20"/>
          <w:u w:val="none"/>
          <w:vertAlign w:val="baseline"/>
        </w:rPr>
        <w:t>JOHN R. PARKER</w:t>
      </w:r>
    </w:p>
    <w:p>
      <w:pPr>
        <w:keepNext w:val="0"/>
        <w:spacing w:before="200" w:after="0" w:line="260" w:lineRule="atLeast"/>
        <w:ind w:left="0" w:right="0" w:firstLine="0"/>
        <w:jc w:val="both"/>
      </w:pPr>
      <w:bookmarkStart w:id="124" w:name="Bookmark_para_101"/>
      <w:bookmarkEnd w:id="124"/>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8" w:name="Bookmark_fnpara_1"/>
      <w:bookmarkEnd w:id="18"/>
      <w:r>
        <w:rPr>
          <w:rFonts w:ascii="arial" w:eastAsia="arial" w:hAnsi="arial" w:cs="arial"/>
          <w:b w:val="0"/>
          <w:i w:val="0"/>
          <w:strike w:val="0"/>
          <w:noProof w:val="0"/>
          <w:color w:val="000000"/>
          <w:position w:val="0"/>
          <w:sz w:val="18"/>
          <w:u w:val="none"/>
          <w:vertAlign w:val="baseline"/>
        </w:rPr>
        <w:t xml:space="preserve">Malachowski was convicted for his role in a continuing criminal enterprise that </w:t>
      </w:r>
      <w:r>
        <w:rPr>
          <w:rFonts w:ascii="arial" w:eastAsia="arial" w:hAnsi="arial" w:cs="arial"/>
          <w:b/>
          <w:i/>
          <w:strike w:val="0"/>
          <w:noProof w:val="0"/>
          <w:color w:val="000000"/>
          <w:position w:val="0"/>
          <w:sz w:val="18"/>
          <w:u w:val="single"/>
          <w:vertAlign w:val="baseline"/>
        </w:rPr>
        <w:t>smuggled</w:t>
      </w:r>
      <w:r>
        <w:rPr>
          <w:rFonts w:ascii="arial" w:eastAsia="arial" w:hAnsi="arial" w:cs="arial"/>
          <w:b w:val="0"/>
          <w:i w:val="0"/>
          <w:strike w:val="0"/>
          <w:noProof w:val="0"/>
          <w:color w:val="000000"/>
          <w:position w:val="0"/>
          <w:sz w:val="18"/>
          <w:u w:val="none"/>
          <w:vertAlign w:val="baseline"/>
        </w:rPr>
        <w:t xml:space="preserve"> and distributed thousands of kilograms of marijuana into the United States from Canada.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Case No. DNYN109CR000125-004 in the United States District Court for the Northern District of New York. Additionally, Malachowski was convicted for possession of multiple machine guns and firearm silencers, and for unlawful entry by an alien into the United States and illegal reentry after deportation or removal.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Case No. DNYN508CR000701-001, also in the United States District Court for the Northern District of New York.</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1" w:name="Bookmark_fnpara_2"/>
      <w:bookmarkEnd w:id="21"/>
      <w:r>
        <w:rPr>
          <w:rFonts w:ascii="arial" w:eastAsia="arial" w:hAnsi="arial" w:cs="arial"/>
          <w:b w:val="0"/>
          <w:i w:val="0"/>
          <w:strike w:val="0"/>
          <w:noProof w:val="0"/>
          <w:color w:val="000000"/>
          <w:position w:val="0"/>
          <w:sz w:val="18"/>
          <w:u w:val="none"/>
          <w:vertAlign w:val="baseline"/>
        </w:rPr>
        <w:t xml:space="preserve">Courts use questionnaires "to assist trial judges to bring into focus the factual and legal basses of prisoner's claims" and a prisoner's responses to the questionnaires are "in the nature of" a "more definite statement under </w:t>
      </w:r>
      <w:r>
        <w:rPr>
          <w:rFonts w:ascii="arial" w:eastAsia="arial" w:hAnsi="arial" w:cs="arial"/>
          <w:b/>
          <w:i/>
          <w:smallCaps/>
          <w:strike w:val="0"/>
          <w:noProof w:val="0"/>
          <w:color w:val="000000"/>
          <w:position w:val="0"/>
          <w:sz w:val="18"/>
          <w:u w:val="none"/>
          <w:vertAlign w:val="baseline"/>
        </w:rPr>
        <w:t>Fed. R. Civ. P.</w:t>
      </w:r>
      <w:r>
        <w:rPr>
          <w:rFonts w:ascii="arial" w:eastAsia="arial" w:hAnsi="arial" w:cs="arial"/>
          <w:b/>
          <w:i/>
          <w:strike w:val="0"/>
          <w:noProof w:val="0"/>
          <w:color w:val="000000"/>
          <w:position w:val="0"/>
          <w:sz w:val="18"/>
          <w:u w:val="none"/>
          <w:vertAlign w:val="baseline"/>
        </w:rPr>
        <w:t xml:space="preserve"> 12(E)</w:t>
      </w:r>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Spears v. McCotter</w:t>
        </w:r>
      </w:hyperlink>
      <w:hyperlink r:id="rId1" w:history="1">
        <w:r>
          <w:rPr>
            <w:rFonts w:ascii="arial" w:eastAsia="arial" w:hAnsi="arial" w:cs="arial"/>
            <w:b w:val="0"/>
            <w:i/>
            <w:strike w:val="0"/>
            <w:noProof w:val="0"/>
            <w:color w:val="0077CC"/>
            <w:position w:val="0"/>
            <w:sz w:val="18"/>
            <w:u w:val="single"/>
            <w:vertAlign w:val="baseline"/>
          </w:rPr>
          <w:t>, 766 F.2d 179, 181 (5th Cir. 1985)</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overruled on other grounds by </w:t>
      </w:r>
      <w:hyperlink r:id="rId2" w:history="1">
        <w:r>
          <w:rPr>
            <w:rFonts w:ascii="arial" w:eastAsia="arial" w:hAnsi="arial" w:cs="arial"/>
            <w:b w:val="0"/>
            <w:i/>
            <w:strike w:val="0"/>
            <w:noProof w:val="0"/>
            <w:color w:val="0077CC"/>
            <w:position w:val="0"/>
            <w:sz w:val="18"/>
            <w:u w:val="single"/>
            <w:vertAlign w:val="baseline"/>
          </w:rPr>
          <w:t>Neitzke v. Williams</w:t>
        </w:r>
      </w:hyperlink>
      <w:hyperlink r:id="rId2" w:history="1">
        <w:r>
          <w:rPr>
            <w:rFonts w:ascii="arial" w:eastAsia="arial" w:hAnsi="arial" w:cs="arial"/>
            <w:b w:val="0"/>
            <w:i/>
            <w:strike w:val="0"/>
            <w:noProof w:val="0"/>
            <w:color w:val="0077CC"/>
            <w:position w:val="0"/>
            <w:sz w:val="18"/>
            <w:u w:val="single"/>
            <w:vertAlign w:val="baseline"/>
          </w:rPr>
          <w:t>, 490 U.S. 319, 109 S. Ct. 1827, 104 L. Ed. 2d 338 (1989)</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8" w:name="Bookmark_fnpara_3"/>
      <w:bookmarkEnd w:id="38"/>
      <w:r>
        <w:rPr>
          <w:rFonts w:ascii="arial" w:eastAsia="arial" w:hAnsi="arial" w:cs="arial"/>
          <w:b w:val="0"/>
          <w:i w:val="0"/>
          <w:strike w:val="0"/>
          <w:noProof w:val="0"/>
          <w:color w:val="000000"/>
          <w:position w:val="0"/>
          <w:sz w:val="18"/>
          <w:u w:val="none"/>
          <w:vertAlign w:val="baseline"/>
        </w:rPr>
        <w:t xml:space="preserve">The Court notes the FCI-Big Spring is identified as a low security institution. </w:t>
      </w:r>
      <w:r>
        <w:rPr>
          <w:rFonts w:ascii="arial" w:eastAsia="arial" w:hAnsi="arial" w:cs="arial"/>
          <w:b w:val="0"/>
          <w:i/>
          <w:strike w:val="0"/>
          <w:noProof w:val="0"/>
          <w:color w:val="000000"/>
          <w:position w:val="0"/>
          <w:sz w:val="18"/>
          <w:u w:val="none"/>
          <w:vertAlign w:val="baseline"/>
        </w:rPr>
        <w:t>FCI Big Spring</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Fed. Bureau of Prisons</w:t>
      </w:r>
      <w:r>
        <w:rPr>
          <w:rFonts w:ascii="arial" w:eastAsia="arial" w:hAnsi="arial" w:cs="arial"/>
          <w:b w:val="0"/>
          <w:i w:val="0"/>
          <w:strike w:val="0"/>
          <w:noProof w:val="0"/>
          <w:color w:val="000000"/>
          <w:position w:val="0"/>
          <w:sz w:val="18"/>
          <w:u w:val="none"/>
          <w:vertAlign w:val="baseline"/>
        </w:rPr>
        <w:t>, https://www.bop.gov/locations/institutions/big/ (last visited Jan. 25, 2023).</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39" w:name="Bookmark_fnpara_4"/>
      <w:bookmarkEnd w:id="39"/>
      <w:r>
        <w:rPr>
          <w:rFonts w:ascii="arial" w:eastAsia="arial" w:hAnsi="arial" w:cs="arial"/>
          <w:b w:val="0"/>
          <w:i w:val="0"/>
          <w:strike w:val="0"/>
          <w:noProof w:val="0"/>
          <w:color w:val="000000"/>
          <w:position w:val="0"/>
          <w:sz w:val="18"/>
          <w:u w:val="none"/>
          <w:vertAlign w:val="baseline"/>
        </w:rPr>
        <w:t xml:space="preserve">In its Order denying Malachowski's Third Motion for Leave to Amend, the Court found that Malachowski had no standing to bring claims under the Privacy Act because such claims may be brought only by an "individual" which is defined under the Act as "a citizen of the United States or an alien lawfully admitted for permanent residence." </w:t>
      </w:r>
      <w:hyperlink r:id="rId3" w:history="1">
        <w:r>
          <w:rPr>
            <w:rFonts w:ascii="arial" w:eastAsia="arial" w:hAnsi="arial" w:cs="arial"/>
            <w:b w:val="0"/>
            <w:i/>
            <w:strike w:val="0"/>
            <w:noProof w:val="0"/>
            <w:color w:val="0077CC"/>
            <w:position w:val="0"/>
            <w:sz w:val="18"/>
            <w:u w:val="single"/>
            <w:vertAlign w:val="baseline"/>
          </w:rPr>
          <w:t>5 U.S.C. § 552a(a)(2)</w:t>
        </w:r>
      </w:hyperlink>
      <w:r>
        <w:rPr>
          <w:rFonts w:ascii="arial" w:eastAsia="arial" w:hAnsi="arial" w:cs="arial"/>
          <w:b w:val="0"/>
          <w:i w:val="0"/>
          <w:strike w:val="0"/>
          <w:noProof w:val="0"/>
          <w:color w:val="000000"/>
          <w:position w:val="0"/>
          <w:sz w:val="18"/>
          <w:u w:val="none"/>
          <w:vertAlign w:val="baseline"/>
        </w:rPr>
        <w:t>. But Malachowski's affirmed convictions for immigration-related offenses establish that he is neither a citizen of the United States nor lawfully admitted for permanent residence.</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46" w:name="Bookmark_fnpara_5"/>
      <w:bookmarkEnd w:id="46"/>
      <w:r>
        <w:rPr>
          <w:rFonts w:ascii="arial" w:eastAsia="arial" w:hAnsi="arial" w:cs="arial"/>
          <w:b w:val="0"/>
          <w:i w:val="0"/>
          <w:strike w:val="0"/>
          <w:noProof w:val="0"/>
          <w:color w:val="000000"/>
          <w:position w:val="0"/>
          <w:sz w:val="18"/>
          <w:u w:val="none"/>
          <w:vertAlign w:val="baseline"/>
        </w:rPr>
        <w:t xml:space="preserve">To be entitled to equitable tolling under Texas law, a plaintiff must demonstrate that he "actively pursued his judicial remedies but filed a defective pleading during the statutory period" or "was induced or tricked by his adversary's misconduct into allowing filing deadlines to pass." </w:t>
      </w:r>
      <w:hyperlink r:id="rId4" w:history="1">
        <w:r>
          <w:rPr>
            <w:rFonts w:ascii="arial" w:eastAsia="arial" w:hAnsi="arial" w:cs="arial"/>
            <w:b w:val="0"/>
            <w:i/>
            <w:strike w:val="0"/>
            <w:noProof w:val="0"/>
            <w:color w:val="0077CC"/>
            <w:position w:val="0"/>
            <w:sz w:val="18"/>
            <w:u w:val="single"/>
            <w:vertAlign w:val="baseline"/>
          </w:rPr>
          <w:t>Bailey v. Gardner</w:t>
        </w:r>
      </w:hyperlink>
      <w:hyperlink r:id="rId4" w:history="1">
        <w:r>
          <w:rPr>
            <w:rFonts w:ascii="arial" w:eastAsia="arial" w:hAnsi="arial" w:cs="arial"/>
            <w:b w:val="0"/>
            <w:i/>
            <w:strike w:val="0"/>
            <w:noProof w:val="0"/>
            <w:color w:val="0077CC"/>
            <w:position w:val="0"/>
            <w:sz w:val="18"/>
            <w:u w:val="single"/>
            <w:vertAlign w:val="baseline"/>
          </w:rPr>
          <w:t>, 154 S.W.3d 917, 920 (Tex. App.-Dallas 2005, no pet.)</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52" w:name="Bookmark_fnpara_6"/>
      <w:bookmarkEnd w:id="52"/>
      <w:r>
        <w:rPr>
          <w:rFonts w:ascii="arial" w:eastAsia="arial" w:hAnsi="arial" w:cs="arial"/>
          <w:b w:val="0"/>
          <w:i/>
          <w:strike w:val="0"/>
          <w:noProof w:val="0"/>
          <w:color w:val="000000"/>
          <w:position w:val="0"/>
          <w:sz w:val="18"/>
          <w:u w:val="none"/>
          <w:vertAlign w:val="baseline"/>
        </w:rPr>
        <w:t>FCI Big Spring</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Fed. Bureau of Prisons</w:t>
      </w:r>
      <w:r>
        <w:rPr>
          <w:rFonts w:ascii="arial" w:eastAsia="arial" w:hAnsi="arial" w:cs="arial"/>
          <w:b w:val="0"/>
          <w:i w:val="0"/>
          <w:strike w:val="0"/>
          <w:noProof w:val="0"/>
          <w:color w:val="000000"/>
          <w:position w:val="0"/>
          <w:sz w:val="18"/>
          <w:u w:val="none"/>
          <w:vertAlign w:val="baseline"/>
        </w:rPr>
        <w:t>, https://www.bop.gov/locations/institutions/big/ (last visited Jan. 25, 2023).</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60" w:name="Bookmark_fnpara_7"/>
      <w:bookmarkEnd w:id="60"/>
      <w:r>
        <w:rPr>
          <w:rFonts w:ascii="arial" w:eastAsia="arial" w:hAnsi="arial" w:cs="arial"/>
          <w:b w:val="0"/>
          <w:i w:val="0"/>
          <w:strike w:val="0"/>
          <w:noProof w:val="0"/>
          <w:color w:val="000000"/>
          <w:position w:val="0"/>
          <w:sz w:val="18"/>
          <w:u w:val="none"/>
          <w:vertAlign w:val="baseline"/>
        </w:rPr>
        <w:t xml:space="preserve">In a section of his Second Amended Complaint titled, "Allegations Common to All Causes of Action," Malachowski claims to have met multiple times with medical administrators at GPCF, but still did not receive proper treatment for the pain he was suffering. Dkt. No. 14 at 19. He says that "necessary evaluation" on his shoulder was "delayed twice" "[d]ue to for profit interests of GPCF."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24-25. And Malachowski claims that a critical time for detecting a dense mass found in his thyroid area had passed due to delays in receiving medical care.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25.</w:t>
      </w:r>
    </w:p>
  </w:footnote>
  <w:footnote w:id="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62" w:name="Bookmark_fnpara_8"/>
      <w:bookmarkEnd w:id="62"/>
      <w:r>
        <w:rPr>
          <w:rFonts w:ascii="arial" w:eastAsia="arial" w:hAnsi="arial" w:cs="arial"/>
          <w:b w:val="0"/>
          <w:i/>
          <w:strike w:val="0"/>
          <w:noProof w:val="0"/>
          <w:color w:val="000000"/>
          <w:position w:val="0"/>
          <w:sz w:val="18"/>
          <w:u w:val="none"/>
          <w:vertAlign w:val="baseline"/>
        </w:rPr>
        <w:t>Management &amp; Operations</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Geo the Geo Group, Inc.</w:t>
      </w:r>
      <w:r>
        <w:rPr>
          <w:rFonts w:ascii="arial" w:eastAsia="arial" w:hAnsi="arial" w:cs="arial"/>
          <w:b w:val="0"/>
          <w:i w:val="0"/>
          <w:strike w:val="0"/>
          <w:noProof w:val="0"/>
          <w:color w:val="000000"/>
          <w:position w:val="0"/>
          <w:sz w:val="18"/>
          <w:u w:val="none"/>
          <w:vertAlign w:val="baseline"/>
        </w:rPr>
        <w:t>, https://www.geogroup.com/Management_and_Operations (last visited Jan. 25, 2023).</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68" w:name="Bookmark_fnpara_9"/>
      <w:bookmarkEnd w:id="68"/>
      <w:r>
        <w:rPr>
          <w:rFonts w:ascii="arial" w:eastAsia="arial" w:hAnsi="arial" w:cs="arial"/>
          <w:b w:val="0"/>
          <w:i w:val="0"/>
          <w:strike w:val="0"/>
          <w:noProof w:val="0"/>
          <w:color w:val="000000"/>
          <w:position w:val="0"/>
          <w:sz w:val="18"/>
          <w:u w:val="none"/>
          <w:vertAlign w:val="baseline"/>
        </w:rPr>
        <w:t xml:space="preserve">Malachowski fails to provide any facts regarding how the United States was negligent in the hiring of its employees or to even point out which employees were negligently hired. </w:t>
      </w:r>
      <w:r>
        <w:rPr>
          <w:rFonts w:ascii="arial" w:eastAsia="arial" w:hAnsi="arial" w:cs="arial"/>
          <w:b w:val="0"/>
          <w:i/>
          <w:strike w:val="0"/>
          <w:noProof w:val="0"/>
          <w:color w:val="000000"/>
          <w:position w:val="0"/>
          <w:sz w:val="18"/>
          <w:u w:val="none"/>
          <w:vertAlign w:val="baseline"/>
        </w:rPr>
        <w:t xml:space="preserve">See </w:t>
      </w:r>
      <w:hyperlink r:id="rId5" w:history="1">
        <w:r>
          <w:rPr>
            <w:rFonts w:ascii="arial" w:eastAsia="arial" w:hAnsi="arial" w:cs="arial"/>
            <w:b w:val="0"/>
            <w:i/>
            <w:strike w:val="0"/>
            <w:noProof w:val="0"/>
            <w:color w:val="0077CC"/>
            <w:position w:val="0"/>
            <w:sz w:val="18"/>
            <w:u w:val="single"/>
            <w:vertAlign w:val="baseline"/>
          </w:rPr>
          <w:t>Wansey v. Hole</w:t>
        </w:r>
      </w:hyperlink>
      <w:hyperlink r:id="rId5" w:history="1">
        <w:r>
          <w:rPr>
            <w:rFonts w:ascii="arial" w:eastAsia="arial" w:hAnsi="arial" w:cs="arial"/>
            <w:b w:val="0"/>
            <w:i/>
            <w:strike w:val="0"/>
            <w:noProof w:val="0"/>
            <w:color w:val="0077CC"/>
            <w:position w:val="0"/>
            <w:sz w:val="18"/>
            <w:u w:val="single"/>
            <w:vertAlign w:val="baseline"/>
          </w:rPr>
          <w:t>, 379 S.W.3d 246 (Tex. 2012)</w:t>
        </w:r>
      </w:hyperlink>
      <w:r>
        <w:rPr>
          <w:rFonts w:ascii="arial" w:eastAsia="arial" w:hAnsi="arial" w:cs="arial"/>
          <w:b w:val="0"/>
          <w:i w:val="0"/>
          <w:strike w:val="0"/>
          <w:noProof w:val="0"/>
          <w:color w:val="000000"/>
          <w:position w:val="0"/>
          <w:sz w:val="18"/>
          <w:u w:val="none"/>
          <w:vertAlign w:val="baseline"/>
        </w:rPr>
        <w:t xml:space="preserve">. Similarly, Malachowski fails to provide any facts explaining the additional training that should have been provided to the federal employees at FCI-Big Springs to support his negligent training claim. </w:t>
      </w:r>
      <w:hyperlink r:id="rId6" w:history="1">
        <w:r>
          <w:rPr>
            <w:rFonts w:ascii="arial" w:eastAsia="arial" w:hAnsi="arial" w:cs="arial"/>
            <w:b w:val="0"/>
            <w:i/>
            <w:strike w:val="0"/>
            <w:noProof w:val="0"/>
            <w:color w:val="0077CC"/>
            <w:position w:val="0"/>
            <w:sz w:val="18"/>
            <w:u w:val="single"/>
            <w:vertAlign w:val="baseline"/>
          </w:rPr>
          <w:t>Dangerfield v. Ormsby</w:t>
        </w:r>
      </w:hyperlink>
      <w:hyperlink r:id="rId6" w:history="1">
        <w:r>
          <w:rPr>
            <w:rFonts w:ascii="arial" w:eastAsia="arial" w:hAnsi="arial" w:cs="arial"/>
            <w:b w:val="0"/>
            <w:i/>
            <w:strike w:val="0"/>
            <w:noProof w:val="0"/>
            <w:color w:val="0077CC"/>
            <w:position w:val="0"/>
            <w:sz w:val="18"/>
            <w:u w:val="single"/>
            <w:vertAlign w:val="baseline"/>
          </w:rPr>
          <w:t>, 264 S.W.3d 904 (Tex. App.—Fort Worth 2008, no pet.)</w:t>
        </w:r>
      </w:hyperlink>
      <w:r>
        <w:rPr>
          <w:rFonts w:ascii="arial" w:eastAsia="arial" w:hAnsi="arial" w:cs="arial"/>
          <w:b w:val="0"/>
          <w:i w:val="0"/>
          <w:strike w:val="0"/>
          <w:noProof w:val="0"/>
          <w:color w:val="000000"/>
          <w:position w:val="0"/>
          <w:sz w:val="18"/>
          <w:u w:val="none"/>
          <w:vertAlign w:val="baseline"/>
        </w:rPr>
        <w:t xml:space="preserve"> (explaining that a negligent training claim requires a plaintiff to prove "that a reasonably prudent employer would have provided training beyond that which was given and that failure to do so caused . . .[their] injuries.").</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70" w:name="Bookmark_fnpara_10"/>
      <w:bookmarkEnd w:id="70"/>
      <w:r>
        <w:rPr>
          <w:rFonts w:ascii="arial" w:eastAsia="arial" w:hAnsi="arial" w:cs="arial"/>
          <w:b w:val="0"/>
          <w:i w:val="0"/>
          <w:strike w:val="0"/>
          <w:noProof w:val="0"/>
          <w:color w:val="000000"/>
          <w:position w:val="0"/>
          <w:sz w:val="18"/>
          <w:u w:val="none"/>
          <w:vertAlign w:val="baseline"/>
        </w:rPr>
        <w:t xml:space="preserve">A liberal construction of Malachowski's pleadings suggests he may seek to make a claim against the United States for the retaliatory acts of its employees. However, retaliation is not a cognizable claim under the FTCA. </w:t>
      </w:r>
      <w:hyperlink r:id="rId7" w:history="1">
        <w:r>
          <w:rPr>
            <w:rFonts w:ascii="arial" w:eastAsia="arial" w:hAnsi="arial" w:cs="arial"/>
            <w:b w:val="0"/>
            <w:i/>
            <w:strike w:val="0"/>
            <w:noProof w:val="0"/>
            <w:color w:val="0077CC"/>
            <w:position w:val="0"/>
            <w:sz w:val="18"/>
            <w:u w:val="single"/>
            <w:vertAlign w:val="baseline"/>
          </w:rPr>
          <w:t>Wije v. United States</w:t>
        </w:r>
      </w:hyperlink>
      <w:hyperlink r:id="rId7" w:history="1">
        <w:r>
          <w:rPr>
            <w:rFonts w:ascii="arial" w:eastAsia="arial" w:hAnsi="arial" w:cs="arial"/>
            <w:b w:val="0"/>
            <w:i/>
            <w:strike w:val="0"/>
            <w:noProof w:val="0"/>
            <w:color w:val="0077CC"/>
            <w:position w:val="0"/>
            <w:sz w:val="18"/>
            <w:u w:val="single"/>
            <w:vertAlign w:val="baseline"/>
          </w:rPr>
          <w:t>, No. A-19-CV-00660-RP-SH, 2019 U.S. Dist. LEXIS 137115, 2019 WL 3812357 at *4 (W.D. Tex. Aug. 14, 2019)</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hyperlink r:id="rId8" w:history="1">
        <w:r>
          <w:rPr>
            <w:rFonts w:ascii="arial" w:eastAsia="arial" w:hAnsi="arial" w:cs="arial"/>
            <w:b w:val="0"/>
            <w:i/>
            <w:strike w:val="0"/>
            <w:noProof w:val="0"/>
            <w:color w:val="0077CC"/>
            <w:position w:val="0"/>
            <w:sz w:val="18"/>
            <w:u w:val="single"/>
            <w:vertAlign w:val="baseline"/>
          </w:rPr>
          <w:t>Dorsey v. Peter</w:t>
        </w:r>
      </w:hyperlink>
      <w:hyperlink r:id="rId8" w:history="1">
        <w:r>
          <w:rPr>
            <w:rFonts w:ascii="arial" w:eastAsia="arial" w:hAnsi="arial" w:cs="arial"/>
            <w:b w:val="0"/>
            <w:i/>
            <w:strike w:val="0"/>
            <w:noProof w:val="0"/>
            <w:color w:val="0077CC"/>
            <w:position w:val="0"/>
            <w:sz w:val="18"/>
            <w:u w:val="single"/>
            <w:vertAlign w:val="baseline"/>
          </w:rPr>
          <w:t>, No. 3:19-CV-0113, 2020 U.S. Dist. LEXIS 30231, 2020 WL 881134 (M.D. Pa. Feb. 21, 2020)</w:t>
        </w:r>
      </w:hyperlink>
      <w:r>
        <w:rPr>
          <w:rFonts w:ascii="arial" w:eastAsia="arial" w:hAnsi="arial" w:cs="arial"/>
          <w:b w:val="0"/>
          <w:i w:val="0"/>
          <w:strike w:val="0"/>
          <w:noProof w:val="0"/>
          <w:color w:val="000000"/>
          <w:position w:val="0"/>
          <w:sz w:val="18"/>
          <w:u w:val="none"/>
          <w:vertAlign w:val="baseline"/>
        </w:rPr>
        <w:t xml:space="preserve"> ("Because the FTCA contains no waiver of immunity for claims of federal constitutional violations . . . [a] retaliation claim is not cognizable under the FTCA . . . ").</w:t>
      </w:r>
    </w:p>
  </w:footnote>
  <w:footnote w:id="1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80" w:name="Bookmark_fnpara_11"/>
      <w:bookmarkEnd w:id="80"/>
      <w:r>
        <w:rPr>
          <w:rFonts w:ascii="arial" w:eastAsia="arial" w:hAnsi="arial" w:cs="arial"/>
          <w:b w:val="0"/>
          <w:i w:val="0"/>
          <w:strike w:val="0"/>
          <w:noProof w:val="0"/>
          <w:color w:val="000000"/>
          <w:position w:val="0"/>
          <w:sz w:val="18"/>
          <w:u w:val="none"/>
          <w:vertAlign w:val="baseline"/>
        </w:rPr>
        <w:t>As explained above, Malachowski's references to GPCF in the "Allegations Common to All Causes of Action" section of his Second Amended Complaint appear to be more in the way of background for his federal claims.</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91" w:name="Bookmark_fnpara_12"/>
      <w:bookmarkEnd w:id="91"/>
      <w:r>
        <w:rPr>
          <w:rFonts w:ascii="arial" w:eastAsia="arial" w:hAnsi="arial" w:cs="arial"/>
          <w:b w:val="0"/>
          <w:i w:val="0"/>
          <w:strike w:val="0"/>
          <w:noProof w:val="0"/>
          <w:color w:val="000000"/>
          <w:position w:val="0"/>
          <w:sz w:val="18"/>
          <w:u w:val="none"/>
          <w:vertAlign w:val="baseline"/>
        </w:rPr>
        <w:t xml:space="preserve">The Section goes on to discuss the forfeiture exception, an exception to the exceptions of the FTCA. </w:t>
      </w:r>
      <w:hyperlink r:id="rId9" w:history="1">
        <w:r>
          <w:rPr>
            <w:rFonts w:ascii="arial" w:eastAsia="arial" w:hAnsi="arial" w:cs="arial"/>
            <w:b w:val="0"/>
            <w:i/>
            <w:strike w:val="0"/>
            <w:noProof w:val="0"/>
            <w:color w:val="0077CC"/>
            <w:position w:val="0"/>
            <w:sz w:val="18"/>
            <w:u w:val="single"/>
            <w:vertAlign w:val="baseline"/>
          </w:rPr>
          <w:t>28 U.S.C. § 2680(C)(1)-(4)</w:t>
        </w:r>
      </w:hyperlink>
      <w:r>
        <w:rPr>
          <w:rFonts w:ascii="arial" w:eastAsia="arial" w:hAnsi="arial" w:cs="arial"/>
          <w:b w:val="0"/>
          <w:i w:val="0"/>
          <w:strike w:val="0"/>
          <w:noProof w:val="0"/>
          <w:color w:val="000000"/>
          <w:position w:val="0"/>
          <w:sz w:val="18"/>
          <w:u w:val="none"/>
          <w:vertAlign w:val="baseline"/>
        </w:rPr>
        <w:t>. However, Malachowski does not make any claim that this exception is applicable here nor does it appear from the facts that it would be.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Malachowski v. United States, 2023 U.S. Dist. LEXIS 74628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55-BGX1-JPP5-21WB-00000-00&amp;context=1519360" TargetMode="External" /><Relationship Id="rId11" Type="http://schemas.openxmlformats.org/officeDocument/2006/relationships/hyperlink" Target="https://advance.lexis.com/api/document?collection=cases&amp;id=urn:contentItem:6BBT-S003-RXCP-52WJ-00000-00&amp;context=1519360" TargetMode="External" /><Relationship Id="rId12" Type="http://schemas.openxmlformats.org/officeDocument/2006/relationships/hyperlink" Target="https://advance.lexis.com/api/document?collection=cases&amp;id=urn:contentItem:3S4X-DF70-003B-S21D-00000-00&amp;context=1519360" TargetMode="External" /><Relationship Id="rId13" Type="http://schemas.openxmlformats.org/officeDocument/2006/relationships/hyperlink" Target="https://advance.lexis.com/api/document?collection=statutes-legislation&amp;id=urn:contentItem:8SG9-5HW2-D6RV-H0RM-00000-00&amp;context=1519360" TargetMode="External" /><Relationship Id="rId14" Type="http://schemas.openxmlformats.org/officeDocument/2006/relationships/hyperlink" Target="https://advance.lexis.com/api/document?collection=cases&amp;id=urn:contentItem:3S4X-BDG0-003B-42B7-00000-00&amp;context=1519360" TargetMode="External" /><Relationship Id="rId15" Type="http://schemas.openxmlformats.org/officeDocument/2006/relationships/hyperlink" Target="https://advance.lexis.com/api/document?collection=cases&amp;id=urn:contentItem:4FS2-7JG0-0038-X20D-00000-00&amp;context=1519360" TargetMode="External" /><Relationship Id="rId16" Type="http://schemas.openxmlformats.org/officeDocument/2006/relationships/hyperlink" Target="https://advance.lexis.com/api/document?collection=cases&amp;id=urn:contentItem:5G99-0F51-F04K-N0H7-00000-00&amp;context=1519360" TargetMode="External" /><Relationship Id="rId17" Type="http://schemas.openxmlformats.org/officeDocument/2006/relationships/hyperlink" Target="https://advance.lexis.com/api/document?collection=cases&amp;id=urn:contentItem:5DJV-8YX1-F04K-F3F3-00000-00&amp;context=1519360" TargetMode="External" /><Relationship Id="rId18" Type="http://schemas.openxmlformats.org/officeDocument/2006/relationships/hyperlink" Target="https://advance.lexis.com/api/document?collection=statutes-legislation&amp;id=urn:contentItem:5GYC-1WP1-6N19-F0YK-00000-00&amp;context=1519360" TargetMode="External" /><Relationship Id="rId19" Type="http://schemas.openxmlformats.org/officeDocument/2006/relationships/hyperlink" Target="https://advance.lexis.com/api/document?collection=cases&amp;id=urn:contentItem:5KM2-96S1-F04K-N2N8-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W9Y-4KS0-TXFX-1325-00000-00&amp;context=1519360" TargetMode="External" /><Relationship Id="rId21" Type="http://schemas.openxmlformats.org/officeDocument/2006/relationships/hyperlink" Target="https://advance.lexis.com/api/document?collection=cases&amp;id=urn:contentItem:4NSN-8840-004C-002M-00000-00&amp;context=1519360" TargetMode="External" /><Relationship Id="rId22" Type="http://schemas.openxmlformats.org/officeDocument/2006/relationships/hyperlink" Target="https://advance.lexis.com/api/document?collection=cases&amp;id=urn:contentItem:527Y-21W1-JCNH-Y018-00000-00&amp;context=1519360" TargetMode="External" /><Relationship Id="rId23" Type="http://schemas.openxmlformats.org/officeDocument/2006/relationships/hyperlink" Target="https://advance.lexis.com/api/document?collection=cases&amp;id=urn:contentItem:4692-S0P0-0038-X3YW-00000-00&amp;context=1519360" TargetMode="External" /><Relationship Id="rId24" Type="http://schemas.openxmlformats.org/officeDocument/2006/relationships/hyperlink" Target="https://advance.lexis.com/api/document?collection=cases&amp;id=urn:contentItem:3S4X-9NJ0-003B-S50V-00000-00&amp;context=1519360" TargetMode="External" /><Relationship Id="rId25" Type="http://schemas.openxmlformats.org/officeDocument/2006/relationships/hyperlink" Target="https://advance.lexis.com/api/document?collection=cases&amp;id=urn:contentItem:58GS-4501-F04F-C0H0-00000-00&amp;context=1519360" TargetMode="External" /><Relationship Id="rId26" Type="http://schemas.openxmlformats.org/officeDocument/2006/relationships/hyperlink" Target="https://advance.lexis.com/api/document?collection=cases&amp;id=urn:contentItem:5MY8-3GR1-F04F-B0FF-00000-00&amp;context=1519360" TargetMode="External" /><Relationship Id="rId27" Type="http://schemas.openxmlformats.org/officeDocument/2006/relationships/hyperlink" Target="https://advance.lexis.com/api/document?collection=cases&amp;id=urn:contentItem:3S4X-CY50-0039-P333-00000-00&amp;context=1519360" TargetMode="External" /><Relationship Id="rId28" Type="http://schemas.openxmlformats.org/officeDocument/2006/relationships/hyperlink" Target="https://advance.lexis.com/api/document?collection=cases&amp;id=urn:contentItem:5VVG-X1T1-F4NT-X0YN-00000-00&amp;context=1519360" TargetMode="External" /><Relationship Id="rId29" Type="http://schemas.openxmlformats.org/officeDocument/2006/relationships/hyperlink" Target="https://advance.lexis.com/api/document?collection=statutes-legislation&amp;id=urn:contentItem:8S6M-T0S2-D6RV-H4B0-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8S6M-T0S2-D6RV-H4B1-00000-00&amp;context=1519360" TargetMode="External" /><Relationship Id="rId31" Type="http://schemas.openxmlformats.org/officeDocument/2006/relationships/hyperlink" Target="https://advance.lexis.com/api/document?collection=statutes-legislation&amp;id=urn:contentItem:6C7N-FD63-RRVR-741R-00000-00&amp;context=1519360" TargetMode="External" /><Relationship Id="rId32" Type="http://schemas.openxmlformats.org/officeDocument/2006/relationships/hyperlink" Target="https://advance.lexis.com/api/document?collection=cases&amp;id=urn:contentItem:44HY-DRG0-004B-Y058-00000-00&amp;context=1519360" TargetMode="External" /><Relationship Id="rId33" Type="http://schemas.openxmlformats.org/officeDocument/2006/relationships/hyperlink" Target="https://advance.lexis.com/api/document?collection=statutes-legislation&amp;id=urn:contentItem:8T9R-T3H2-D6RV-H37G-00000-00&amp;context=1519360" TargetMode="External" /><Relationship Id="rId34" Type="http://schemas.openxmlformats.org/officeDocument/2006/relationships/hyperlink" Target="https://advance.lexis.com/api/document?collection=statutes-legislation&amp;id=urn:contentItem:8T9R-T3X2-8T6X-731X-00000-00&amp;context=1519360" TargetMode="External" /><Relationship Id="rId35" Type="http://schemas.openxmlformats.org/officeDocument/2006/relationships/hyperlink" Target="https://advance.lexis.com/api/document?collection=statutes-legislation&amp;id=urn:contentItem:8T9R-T502-8T6X-7323-00000-00&amp;context=1519360" TargetMode="External" /><Relationship Id="rId36" Type="http://schemas.openxmlformats.org/officeDocument/2006/relationships/hyperlink" Target="https://advance.lexis.com/api/document?collection=cases&amp;id=urn:contentItem:650H-5M61-FJDY-X00P-00000-00&amp;context=1519360" TargetMode="External" /><Relationship Id="rId37" Type="http://schemas.openxmlformats.org/officeDocument/2006/relationships/hyperlink" Target="https://advance.lexis.com/api/document?collection=cases&amp;id=urn:contentItem:3S4X-7BW0-003B-S246-00000-00&amp;context=1519360" TargetMode="External" /><Relationship Id="rId38" Type="http://schemas.openxmlformats.org/officeDocument/2006/relationships/hyperlink" Target="https://advance.lexis.com/api/document?collection=cases&amp;id=urn:contentItem:650H-1571-F016-S005-00000-00&amp;context=1519360" TargetMode="External" /><Relationship Id="rId39" Type="http://schemas.openxmlformats.org/officeDocument/2006/relationships/hyperlink" Target="https://advance.lexis.com/api/document?collection=cases&amp;id=urn:contentItem:5Y92-04C1-JCRC-B14P-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NTV-D8X1-F04K-F1MM-00000-00&amp;context=1519360" TargetMode="External" /><Relationship Id="rId41" Type="http://schemas.openxmlformats.org/officeDocument/2006/relationships/hyperlink" Target="https://advance.lexis.com/api/document?collection=cases&amp;id=urn:contentItem:3S41-BSK0-003B-R3N1-00000-00&amp;context=1519360" TargetMode="External" /><Relationship Id="rId42" Type="http://schemas.openxmlformats.org/officeDocument/2006/relationships/hyperlink" Target="https://advance.lexis.com/api/document?collection=cases&amp;id=urn:contentItem:4NBR-F190-TVX1-B36F-00000-00&amp;context=1519360" TargetMode="External" /><Relationship Id="rId43" Type="http://schemas.openxmlformats.org/officeDocument/2006/relationships/hyperlink" Target="https://advance.lexis.com/api/document?collection=cases&amp;id=urn:contentItem:3XCF-BR70-0038-X26D-00000-00&amp;context=1519360" TargetMode="External" /><Relationship Id="rId44" Type="http://schemas.openxmlformats.org/officeDocument/2006/relationships/hyperlink" Target="https://advance.lexis.com/api/document?collection=cases&amp;id=urn:contentItem:4TMY-53H0-TX4N-G0F4-00000-00&amp;context=1519360" TargetMode="External" /><Relationship Id="rId45" Type="http://schemas.openxmlformats.org/officeDocument/2006/relationships/hyperlink" Target="https://advance.lexis.com/api/document?collection=cases&amp;id=urn:contentItem:576D-DTF1-F04K-N55R-00000-00&amp;context=1519360" TargetMode="External" /><Relationship Id="rId46" Type="http://schemas.openxmlformats.org/officeDocument/2006/relationships/hyperlink" Target="https://advance.lexis.com/api/document?collection=cases&amp;id=urn:contentItem:3S4X-1V40-008H-V0XR-00000-00&amp;context=1519360" TargetMode="External" /><Relationship Id="rId47" Type="http://schemas.openxmlformats.org/officeDocument/2006/relationships/hyperlink" Target="https://advance.lexis.com/api/document?collection=cases&amp;id=urn:contentItem:3S4X-5860-001B-K4HR-00000-00&amp;context=1519360" TargetMode="External" /><Relationship Id="rId48" Type="http://schemas.openxmlformats.org/officeDocument/2006/relationships/hyperlink" Target="https://advance.lexis.com/api/document?collection=cases&amp;id=urn:contentItem:3S4X-62P0-008H-V3NJ-00000-00&amp;context=1519360" TargetMode="External" /><Relationship Id="rId49" Type="http://schemas.openxmlformats.org/officeDocument/2006/relationships/hyperlink" Target="https://advance.lexis.com/api/document?collection=cases&amp;id=urn:contentItem:3S4W-YY60-003B-G2C4-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T5C-VXC0-0038-X2VT-00000-00&amp;context=1519360" TargetMode="External" /><Relationship Id="rId51" Type="http://schemas.openxmlformats.org/officeDocument/2006/relationships/hyperlink" Target="https://advance.lexis.com/api/document?collection=cases&amp;id=urn:contentItem:3S4X-FJG0-001T-D1R0-00000-00&amp;context=1519360" TargetMode="External" /><Relationship Id="rId52" Type="http://schemas.openxmlformats.org/officeDocument/2006/relationships/hyperlink" Target="https://advance.lexis.com/api/document?collection=cases&amp;id=urn:contentItem:3S4X-CFD0-008H-V0PC-00000-00&amp;context=1519360" TargetMode="External" /><Relationship Id="rId53" Type="http://schemas.openxmlformats.org/officeDocument/2006/relationships/hyperlink" Target="https://advance.lexis.com/api/document?collection=cases&amp;id=urn:contentItem:3S4X-1JT0-001B-K1F5-00000-00&amp;context=1519360" TargetMode="External" /><Relationship Id="rId54" Type="http://schemas.openxmlformats.org/officeDocument/2006/relationships/hyperlink" Target="https://advance.lexis.com/api/document?collection=cases&amp;id=urn:contentItem:3S4X-5RB0-0039-W25N-00000-00&amp;context=1519360" TargetMode="External" /><Relationship Id="rId55" Type="http://schemas.openxmlformats.org/officeDocument/2006/relationships/hyperlink" Target="https://advance.lexis.com/api/document?collection=statutes-legislation&amp;id=urn:contentItem:8S55-GYB2-D6RV-H436-00000-00&amp;context=1519360" TargetMode="External" /><Relationship Id="rId56" Type="http://schemas.openxmlformats.org/officeDocument/2006/relationships/hyperlink" Target="https://advance.lexis.com/api/document?collection=statutes-legislation&amp;id=urn:contentItem:8SG9-5HW2-D6RV-H0VJ-00000-00&amp;context=1519360" TargetMode="External" /><Relationship Id="rId57" Type="http://schemas.openxmlformats.org/officeDocument/2006/relationships/hyperlink" Target="https://advance.lexis.com/api/document?collection=cases&amp;id=urn:contentItem:57T4-JCN1-F04K-N0TK-00000-00&amp;context=1519360" TargetMode="External" /><Relationship Id="rId58" Type="http://schemas.openxmlformats.org/officeDocument/2006/relationships/hyperlink" Target="https://advance.lexis.com/api/document?collection=cases&amp;id=urn:contentItem:4KSD-WKJ0-0038-X4CX-00000-00&amp;context=1519360" TargetMode="External" /><Relationship Id="rId59" Type="http://schemas.openxmlformats.org/officeDocument/2006/relationships/hyperlink" Target="https://advance.lexis.com/api/document?collection=cases&amp;id=urn:contentItem:3Y2M-NYK0-0038-X475-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429P-8YJ0-0038-X1XV-00000-00&amp;context=1519360" TargetMode="External" /><Relationship Id="rId61" Type="http://schemas.openxmlformats.org/officeDocument/2006/relationships/hyperlink" Target="https://advance.lexis.com/api/document?collection=cases&amp;id=urn:contentItem:3S4X-HF30-0039-P0S5-00000-00&amp;context=1519360" TargetMode="External" /><Relationship Id="rId62" Type="http://schemas.openxmlformats.org/officeDocument/2006/relationships/hyperlink" Target="https://advance.lexis.com/api/document?collection=cases&amp;id=urn:contentItem:3S42-37R0-00B1-D1RD-00000-00&amp;context=1519360" TargetMode="External" /><Relationship Id="rId63" Type="http://schemas.openxmlformats.org/officeDocument/2006/relationships/hyperlink" Target="https://advance.lexis.com/api/document?collection=cases&amp;id=urn:contentItem:3S4X-HDM0-0039-P0P0-00000-00&amp;context=1519360" TargetMode="External" /><Relationship Id="rId64" Type="http://schemas.openxmlformats.org/officeDocument/2006/relationships/hyperlink" Target="https://advance.lexis.com/api/document?collection=cases&amp;id=urn:contentItem:54P4-JTW1-F04K-F1NJ-00000-00&amp;context=1519360" TargetMode="External" /><Relationship Id="rId65" Type="http://schemas.openxmlformats.org/officeDocument/2006/relationships/hyperlink" Target="https://advance.lexis.com/api/document?collection=cases&amp;id=urn:contentItem:4P24-96H0-004C-101T-00000-00&amp;context=1519360" TargetMode="External" /><Relationship Id="rId66" Type="http://schemas.openxmlformats.org/officeDocument/2006/relationships/hyperlink" Target="https://advance.lexis.com/api/document?collection=cases&amp;id=urn:contentItem:531W-VDX1-F04J-H00C-00000-00&amp;context=1519360" TargetMode="External" /><Relationship Id="rId67" Type="http://schemas.openxmlformats.org/officeDocument/2006/relationships/hyperlink" Target="https://advance.lexis.com/api/document?collection=cases&amp;id=urn:contentItem:563D-FGX1-F04K-N4M1-00000-00&amp;context=1519360" TargetMode="External" /><Relationship Id="rId68" Type="http://schemas.openxmlformats.org/officeDocument/2006/relationships/hyperlink" Target="https://advance.lexis.com/api/document?collection=statutes-legislation&amp;id=urn:contentItem:8SG9-5HW2-D6RV-H0GM-00000-00&amp;context=1519360" TargetMode="External" /><Relationship Id="rId69" Type="http://schemas.openxmlformats.org/officeDocument/2006/relationships/hyperlink" Target="https://advance.lexis.com/api/document?collection=statutes-legislation&amp;id=urn:contentItem:8SG9-5HW2-D6RV-H10D-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statutes-legislation&amp;id=urn:contentItem:8SG9-5HW2-D6RV-H10K-00000-00&amp;context=1519360" TargetMode="External" /><Relationship Id="rId71" Type="http://schemas.openxmlformats.org/officeDocument/2006/relationships/hyperlink" Target="https://advance.lexis.com/api/document?collection=cases&amp;id=urn:contentItem:5YNG-WS41-FFMK-M19B-00000-00&amp;context=1519360" TargetMode="External" /><Relationship Id="rId72" Type="http://schemas.openxmlformats.org/officeDocument/2006/relationships/hyperlink" Target="https://advance.lexis.com/api/document?collection=cases&amp;id=urn:contentItem:4S6X-KRS0-TXFX-72KG-00000-00&amp;context=1519360" TargetMode="External" /><Relationship Id="rId73" Type="http://schemas.openxmlformats.org/officeDocument/2006/relationships/hyperlink" Target="https://advance.lexis.com/api/document?collection=cases&amp;id=urn:contentItem:485R-J170-0038-X047-00000-00&amp;context=1519360" TargetMode="External" /><Relationship Id="rId74" Type="http://schemas.openxmlformats.org/officeDocument/2006/relationships/hyperlink" Target="https://advance.lexis.com/api/document?collection=statutes-legislation&amp;id=urn:contentItem:8SG9-5HW2-D6RV-H10B-00000-00&amp;context=1519360" TargetMode="External" /><Relationship Id="rId75" Type="http://schemas.openxmlformats.org/officeDocument/2006/relationships/hyperlink" Target="https://advance.lexis.com/api/document?collection=statutes-legislation&amp;id=urn:contentItem:8SG9-5HW2-D6RV-H109-00000-00&amp;context=1519360" TargetMode="External" /><Relationship Id="rId76" Type="http://schemas.openxmlformats.org/officeDocument/2006/relationships/hyperlink" Target="https://advance.lexis.com/api/document?collection=cases&amp;id=urn:contentItem:64NR-15J1-JB7K-22YJ-00000-00&amp;context=1519360" TargetMode="External" /><Relationship Id="rId77" Type="http://schemas.openxmlformats.org/officeDocument/2006/relationships/hyperlink" Target="https://advance.lexis.com/api/document?collection=cases&amp;id=urn:contentItem:4KMS-CPB0-0038-X327-00000-00&amp;context=1519360" TargetMode="External" /><Relationship Id="rId78" Type="http://schemas.openxmlformats.org/officeDocument/2006/relationships/hyperlink" Target="https://advance.lexis.com/api/document?collection=cases&amp;id=urn:contentItem:4P4N-55B0-TXFX-728R-00000-00&amp;context=1519360" TargetMode="External" /><Relationship Id="rId79" Type="http://schemas.openxmlformats.org/officeDocument/2006/relationships/hyperlink" Target="https://advance.lexis.com/api/document?collection=cases&amp;id=urn:contentItem:4RN5-0G70-TXFX-12B7-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statutes-legislation&amp;id=urn:contentItem:8SG9-5HW2-D6RV-H10M-00000-00&amp;context=1519360" TargetMode="External" /><Relationship Id="rId81" Type="http://schemas.openxmlformats.org/officeDocument/2006/relationships/hyperlink" Target="https://advance.lexis.com/api/document?collection=cases&amp;id=urn:contentItem:5X8N-BX11-JGHR-M48F-00000-00&amp;context=1519360" TargetMode="External" /><Relationship Id="rId82" Type="http://schemas.openxmlformats.org/officeDocument/2006/relationships/hyperlink" Target="https://advance.lexis.com/api/document?collection=cases&amp;id=urn:contentItem:5X7F-64D1-JCJ5-224W-00000-00&amp;context=1519360" TargetMode="External" /><Relationship Id="rId83" Type="http://schemas.openxmlformats.org/officeDocument/2006/relationships/hyperlink" Target="https://advance.lexis.com/api/document?collection=cases&amp;id=urn:contentItem:6775-F2C1-FCK4-G42W-00000-00&amp;context=1519360" TargetMode="External" /><Relationship Id="rId84" Type="http://schemas.openxmlformats.org/officeDocument/2006/relationships/hyperlink" Target="https://advance.lexis.com/api/document?collection=cases&amp;id=urn:contentItem:6769-C4K1-JCBX-S3HS-00000-00&amp;context=1519360" TargetMode="External" /><Relationship Id="rId85" Type="http://schemas.openxmlformats.org/officeDocument/2006/relationships/hyperlink" Target="https://advance.lexis.com/api/document?collection=cases&amp;id=urn:contentItem:6266-JFH1-JCRC-B09D-00000-00&amp;context=1519360" TargetMode="External" /><Relationship Id="rId86" Type="http://schemas.openxmlformats.org/officeDocument/2006/relationships/hyperlink" Target="https://advance.lexis.com/api/document?collection=statutes-legislation&amp;id=urn:contentItem:8SG9-5HW2-D6RV-H0BK-00000-00&amp;context=1519360" TargetMode="External" /><Relationship Id="rId87" Type="http://schemas.openxmlformats.org/officeDocument/2006/relationships/hyperlink" Target="https://advance.lexis.com/api/document?collection=statutes-legislation&amp;id=urn:contentItem:8MW9-RNG2-D6RV-H0KD-00000-00&amp;context=1519360" TargetMode="External" /><Relationship Id="rId88" Type="http://schemas.openxmlformats.org/officeDocument/2006/relationships/hyperlink" Target="https://advance.lexis.com/api/document?collection=statutes-legislation&amp;id=urn:contentItem:5GYC-2421-6N19-F161-00000-00&amp;context=1519360" TargetMode="External" /><Relationship Id="rId89" Type="http://schemas.openxmlformats.org/officeDocument/2006/relationships/theme" Target="theme/theme1.xml" /><Relationship Id="rId9" Type="http://schemas.openxmlformats.org/officeDocument/2006/relationships/hyperlink" Target="https://advance.lexis.com/api/document?collection=cases&amp;id=urn:contentItem:684J-2KW1-F60C-X21K-00000-00&amp;context=1519360" TargetMode="External" /><Relationship Id="rId90" Type="http://schemas.openxmlformats.org/officeDocument/2006/relationships/styles" Target="styles.xm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X-GND0-0039-P3C8-00000-00&amp;context=1519360" TargetMode="External" /><Relationship Id="rId2" Type="http://schemas.openxmlformats.org/officeDocument/2006/relationships/hyperlink" Target="https://advance.lexis.com/api/document?collection=cases&amp;id=urn:contentItem:3S4X-BDG0-003B-42B7-00000-00&amp;context=1519360" TargetMode="External" /><Relationship Id="rId3" Type="http://schemas.openxmlformats.org/officeDocument/2006/relationships/hyperlink" Target="https://advance.lexis.com/api/document?collection=statutes-legislation&amp;id=urn:contentItem:6D4J-X1B3-RRR2-R02D-00000-00&amp;context=1519360" TargetMode="External" /><Relationship Id="rId4" Type="http://schemas.openxmlformats.org/officeDocument/2006/relationships/hyperlink" Target="https://advance.lexis.com/api/document?collection=cases&amp;id=urn:contentItem:4FCT-MNS0-0039-4116-00000-00&amp;context=1519360" TargetMode="External" /><Relationship Id="rId5" Type="http://schemas.openxmlformats.org/officeDocument/2006/relationships/hyperlink" Target="https://advance.lexis.com/api/document?collection=cases&amp;id=urn:contentItem:560K-G7J1-F04K-D0MC-00000-00&amp;context=1519360" TargetMode="External" /><Relationship Id="rId6" Type="http://schemas.openxmlformats.org/officeDocument/2006/relationships/hyperlink" Target="https://advance.lexis.com/api/document?collection=cases&amp;id=urn:contentItem:4T78-BFK0-TX4N-G0Y6-00000-00&amp;context=1519360" TargetMode="External" /><Relationship Id="rId7" Type="http://schemas.openxmlformats.org/officeDocument/2006/relationships/hyperlink" Target="https://advance.lexis.com/api/document?collection=cases&amp;id=urn:contentItem:5WTG-N7K1-F1H1-238B-00000-00&amp;context=1519360" TargetMode="External" /><Relationship Id="rId8" Type="http://schemas.openxmlformats.org/officeDocument/2006/relationships/hyperlink" Target="https://advance.lexis.com/api/document?collection=cases&amp;id=urn:contentItem:5Y89-SC31-JFKM-63N9-00000-00&amp;context=1519360" TargetMode="External" /><Relationship Id="rId9" Type="http://schemas.openxmlformats.org/officeDocument/2006/relationships/hyperlink" Target="https://advance.lexis.com/api/document?collection=statutes-legislation&amp;id=urn:contentItem:8SG9-5HW2-D6RV-H10M-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Malachowski v. United States, 2023 U.S. Dist. LEXIS 74628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102</vt:lpwstr>
  </property>
  <property fmtid="{D5CDD505-2E9C-101B-9397-08002B2CF9AE}" pid="3" name="LADocCount">
    <vt:lpwstr>1</vt:lpwstr>
  </property>
  <property fmtid="{D5CDD505-2E9C-101B-9397-08002B2CF9AE}" pid="4" name="LADocumentID:102">
    <vt:lpwstr>Doc::urn:hlct:5|contextualFeaturePermID::1519360</vt:lpwstr>
  </property>
  <property fmtid="{D5CDD505-2E9C-101B-9397-08002B2CF9AE}" pid="5" name="UserPermID">
    <vt:lpwstr>urn:user:PA186186283</vt:lpwstr>
  </property>
</Properties>
</file>