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Salinas v. Southwestern Bell Tel. LP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Texas, Dallas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2023, Decided; February 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3:20-CV-1453-X</w:t>
      </w:r>
    </w:p>
    <w:p>
      <w:pPr>
        <w:keepNext w:val="0"/>
        <w:spacing w:after="0" w:line="240" w:lineRule="atLeast"/>
        <w:ind w:right="0"/>
        <w:jc w:val="both"/>
      </w:pPr>
      <w:bookmarkStart w:id="0" w:name="Bookmark_5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17486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1478504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HERMELINDA SALINAS et al., Plaintiffs, v. SOUTHWESTERN BELL TELEPHONE LP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Tovar v. Southwestern Bell Tel., L.P., 2022 U.S. Dist. LEXIS 112749, 2022 WL 2306926 (N.D. Tex., June 27,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billed, attorney's fees, per hour, reasonable hourly rate, hourly rate, duplicative, clerical, lodestar, agrees, reasonable rate, downward, paralegal, expended, emails, rates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Hermelinda Salinas, Sevetria Fields, Shaquinta Dagley-Bickems, Shirley Lugrand, Trina Taylor, Plaintiffs: Glen J Dunn, Jr, LEAD ATTORNEY, Glen J Dunn &amp; Associates Ltd, Chicago, IL; J Derek Braziel, Braziel Dixon, LLP, Dallas,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Southwestern Bell Telephone LP, also known as, AT&amp;T Communications Of Texas LLC, also known as, AT&amp;T Southwest, AT&amp;T Services Inc, Defendants: Melissa M Goodman, LEAD ATTORNEY, Haynes &amp; Boone LLP, Dallas, TX; Charles Henson Adams, Laura E O'Donnell, Haynes and Boone LLP, San Antonio,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BRANTLEY STARR,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BRANTLEY STARR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Hermelinda Salinas, Sevetria Fields, Shaquinta Dagley-Bickems, Shirley Lugrand, and Trina Taylor (collectively, "the Employees") move for attorney fees. [Doc. No. 45]. For the reasons below, the Court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the motion and </w:t>
      </w:r>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Defendants to pay $47,449.70 in attorney fees.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The Employees previously worked for Southwestern Bell Telephone L.P. and AT&amp;T Services, Inc. (collectively, "AT&amp;T") in AT&amp;T's call center. The Employees claim that AT&amp;T shorted them on overtime pay. Initially, the Employees joined a conditionally certified collective action pending before this Court.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But this Court decertified that collective action, so the Employees initiated the instant suit against AT&amp;T under the Fair Labor Standards Act ("FLSA"). After the parties engaged in significant discovery, AT&amp;T made each Employee an offer of judgment, each Employee accepted that offer, and the Court entered judgment. AT&amp;T's offers of judgment totaled $1,879.54, with each Employee receiving a portion of that amount.</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The Employees have submitted proof of fees for four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attorneys—J. Derek Braziel, Glen Dunn, Jeffrey Brown, and Elizabeth Beck—and one paralegal Maria Ruiz. The Employees request $93,636.25 in attorney fees.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Standards</w:t>
      </w:r>
    </w:p>
    <w:p>
      <w:pPr>
        <w:keepNext w:val="0"/>
        <w:spacing w:before="200" w:after="0" w:line="260" w:lineRule="atLeast"/>
        <w:ind w:left="0" w:right="0" w:firstLine="0"/>
        <w:jc w:val="both"/>
      </w:pPr>
      <w:bookmarkStart w:id="12" w:name="Bookmark_para_4"/>
      <w:bookmarkEnd w:id="12"/>
      <w:bookmarkStart w:id="13" w:name="Bookmark_I67H31PH28T3XC0020000400"/>
      <w:bookmarkEnd w:id="13"/>
      <w:r>
        <w:rPr>
          <w:rFonts w:ascii="arial" w:eastAsia="arial" w:hAnsi="arial" w:cs="arial"/>
          <w:b w:val="0"/>
          <w:i w:val="0"/>
          <w:strike w:val="0"/>
          <w:noProof w:val="0"/>
          <w:color w:val="000000"/>
          <w:position w:val="0"/>
          <w:sz w:val="20"/>
          <w:u w:val="none"/>
          <w:vertAlign w:val="baseline"/>
        </w:rPr>
        <w:t>After a plaintiff prevails in a FLSA case, "[t]he court . . . shall . . . allow a reasonable attorney's fee to be paid by the defendant."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"Once [a] district court concludes that a party is entitled to attorneys' fees, it must utilize the lodestar method to determine the amount to be awarded."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lodestar method requires the Court to "determine the reasonable number of hours expended on the litigation and the reasonable hourly rates for the participating attorneys, and then multiply the two figures together to arrive at the 'lodestar.'"</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After that multiplication, the Court may adjust that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number "upward or downward, depending on the circumstances of the case."</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19" w:name="Bookmark_para_5"/>
      <w:bookmarkEnd w:id="19"/>
      <w:bookmarkStart w:id="20" w:name="Bookmark_I67H31PH28T3XC0040000400"/>
      <w:bookmarkEnd w:id="20"/>
      <w:r>
        <w:rPr>
          <w:rFonts w:ascii="arial" w:eastAsia="arial" w:hAnsi="arial" w:cs="arial"/>
          <w:b w:val="0"/>
          <w:i w:val="0"/>
          <w:strike w:val="0"/>
          <w:noProof w:val="0"/>
          <w:color w:val="000000"/>
          <w:position w:val="0"/>
          <w:sz w:val="20"/>
          <w:u w:val="none"/>
          <w:vertAlign w:val="baseline"/>
        </w:rPr>
        <w:t>A plaintiff seeking attorney fees has the burden of "showing the reasonableness of the hours billed and that billing judgment was exercised."</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"Billing judgment requires documentation of the hours charged and of the hours written off as unproductive, excessive, or redundant."</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00" w:after="0" w:line="260" w:lineRule="atLeast"/>
        <w:ind w:left="0" w:right="0" w:firstLine="0"/>
        <w:jc w:val="both"/>
      </w:pPr>
      <w:bookmarkStart w:id="24" w:name="Bookmark_para_6"/>
      <w:bookmarkEnd w:id="24"/>
      <w:r>
        <w:rPr>
          <w:rFonts w:ascii="arial" w:eastAsia="arial" w:hAnsi="arial" w:cs="arial"/>
          <w:b w:val="0"/>
          <w:i w:val="0"/>
          <w:strike w:val="0"/>
          <w:noProof w:val="0"/>
          <w:color w:val="000000"/>
          <w:position w:val="0"/>
          <w:sz w:val="20"/>
          <w:u w:val="none"/>
          <w:vertAlign w:val="baseline"/>
        </w:rPr>
        <w:t>The Employees assert that Braziel billed 38.4 hours at a rate of $650 per hour, Dunn billed 97.3 hours at a rate of $595 per hour, Brown billed 12.2 hours at a rate of $590 per hour, Beck billed 11.3 hours at a rate of $350 per hour, and Ruiz billed 4.8 hours at a rate of $195 per hour.</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Court considers (A) hourly rates, (B) hours expended, and (C) lodestar adjustments.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Reasonable Hourly Rates</w:t>
      </w:r>
    </w:p>
    <w:p>
      <w:pPr>
        <w:keepNext w:val="0"/>
        <w:spacing w:before="200" w:after="0" w:line="260" w:lineRule="atLeast"/>
        <w:ind w:left="0" w:right="0" w:firstLine="0"/>
        <w:jc w:val="both"/>
      </w:pPr>
      <w:bookmarkStart w:id="28" w:name="Bookmark_para_7"/>
      <w:bookmarkEnd w:id="28"/>
      <w:r>
        <w:rPr>
          <w:rFonts w:ascii="arial" w:eastAsia="arial" w:hAnsi="arial" w:cs="arial"/>
          <w:b w:val="0"/>
          <w:i w:val="0"/>
          <w:strike w:val="0"/>
          <w:noProof w:val="0"/>
          <w:color w:val="000000"/>
          <w:position w:val="0"/>
          <w:sz w:val="20"/>
          <w:u w:val="none"/>
          <w:vertAlign w:val="baseline"/>
        </w:rPr>
        <w:t>The Employees request the following hourly rates: $650 for Braziel, $595 for Dunn, $590 for Brown, $350 for Beck, $495 for Hallock, and $195 for Ruiz. The Court considers each in turn.</w:t>
      </w:r>
    </w:p>
    <w:p>
      <w:pPr>
        <w:keepNext w:val="0"/>
        <w:spacing w:before="200" w:after="0" w:line="260" w:lineRule="atLeast"/>
        <w:ind w:left="0" w:right="0" w:firstLine="0"/>
        <w:jc w:val="both"/>
      </w:pPr>
      <w:bookmarkStart w:id="29" w:name="Bookmark_para_8"/>
      <w:bookmarkEnd w:id="29"/>
      <w:bookmarkStart w:id="30" w:name="Bookmark_I67H31PH28T3XH0030000400"/>
      <w:bookmarkEnd w:id="30"/>
      <w:bookmarkStart w:id="31" w:name="Bookmark_I67H31PH28T3XH0050000400"/>
      <w:bookmarkEnd w:id="31"/>
      <w:bookmarkStart w:id="32" w:name="Bookmark_I67H31PH2N1RJ00020000400"/>
      <w:bookmarkEnd w:id="32"/>
      <w:bookmarkStart w:id="33" w:name="Bookmark_I67H31PH2N1RJ00040000400"/>
      <w:bookmarkEnd w:id="33"/>
      <w:bookmarkStart w:id="34" w:name="Bookmark_I67H31PJ2N1RJ10010000400"/>
      <w:bookmarkEnd w:id="34"/>
      <w:bookmarkStart w:id="35" w:name="Bookmark_I67H31PJ2N1RJ10030000400"/>
      <w:bookmarkEnd w:id="35"/>
      <w:bookmarkStart w:id="36" w:name="Bookmark_I67H31PK2N1RJC0020000400"/>
      <w:bookmarkEnd w:id="36"/>
      <w:r>
        <w:rPr>
          <w:rFonts w:ascii="arial" w:eastAsia="arial" w:hAnsi="arial" w:cs="arial"/>
          <w:b w:val="0"/>
          <w:i w:val="0"/>
          <w:strike w:val="0"/>
          <w:noProof w:val="0"/>
          <w:color w:val="000000"/>
          <w:position w:val="0"/>
          <w:sz w:val="20"/>
          <w:u w:val="none"/>
          <w:vertAlign w:val="baseline"/>
        </w:rPr>
        <w:t>To determine whether an attorney's hourly rate is "reasonable," the Court must rely on "the prevailing rate . . . [in] the community in which the district court sits."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As the Northern District of Texas recently found, "[r]ecent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unpaid overtime cases indicate a range of $300-410 per hour for attorneys with substantial FLSA experience."</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And, in that case, the court even expanded the range, awarding $450 per hour for an experienced attorney.</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Predictably, attorneys with more experience trend towards the top end of that range. For instance, an attorney with twenty years of experience received $410</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and an attorney with "significant experience" received $400 in the Southern District of Texas.</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Conversely, courts have found reasonable rates for younger attorneys on FLSA matters to be closer to $275 or $300.</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For instance, the Northern District of Texas found that $300 per hour was a reasonable rate for an attorney with four to seven years of experience.</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In light of those numbers, the Court evaluates each attorney's hourly rate.</w:t>
      </w:r>
    </w:p>
    <w:p>
      <w:pPr>
        <w:keepNext w:val="0"/>
        <w:spacing w:before="200" w:after="0" w:line="260" w:lineRule="atLeast"/>
        <w:ind w:left="0" w:right="0" w:firstLine="0"/>
        <w:jc w:val="both"/>
      </w:pPr>
      <w:bookmarkStart w:id="52" w:name="Bookmark_para_9"/>
      <w:bookmarkEnd w:id="52"/>
      <w:bookmarkStart w:id="53" w:name="Bookmark_I67H31PK2N1RJC0040000400"/>
      <w:bookmarkEnd w:id="53"/>
      <w:r>
        <w:rPr>
          <w:rFonts w:ascii="arial" w:eastAsia="arial" w:hAnsi="arial" w:cs="arial"/>
          <w:b w:val="0"/>
          <w:i w:val="0"/>
          <w:strike w:val="0"/>
          <w:noProof w:val="0"/>
          <w:color w:val="000000"/>
          <w:position w:val="0"/>
          <w:sz w:val="20"/>
          <w:u w:val="none"/>
          <w:vertAlign w:val="baseline"/>
        </w:rPr>
        <w:t>First, Braziel has twenty-seven years of labor and employment experience and has acted as lead counsel in over 200 overtime cases.</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Given Braziel's significant experience, the Northern District of Texas recently found that a "reasonable hourly rate[] in the Dallas community [is] $450 for Mr. Braziel."</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The Court agrees. Braziel's reasonable hourly rate is $450.</w:t>
      </w:r>
    </w:p>
    <w:p>
      <w:pPr>
        <w:keepNext w:val="0"/>
        <w:spacing w:before="200" w:after="0" w:line="260" w:lineRule="atLeast"/>
        <w:ind w:left="0" w:right="0" w:firstLine="0"/>
        <w:jc w:val="both"/>
      </w:pPr>
      <w:bookmarkStart w:id="57" w:name="Bookmark_para_10"/>
      <w:bookmarkEnd w:id="57"/>
      <w:bookmarkStart w:id="58" w:name="Bookmark_I67H31PK2SF88P0010000400"/>
      <w:bookmarkEnd w:id="58"/>
      <w:bookmarkStart w:id="59" w:name="Bookmark_I67H31PK2SF88P0030000400"/>
      <w:bookmarkEnd w:id="59"/>
      <w:r>
        <w:rPr>
          <w:rFonts w:ascii="arial" w:eastAsia="arial" w:hAnsi="arial" w:cs="arial"/>
          <w:b w:val="0"/>
          <w:i w:val="0"/>
          <w:strike w:val="0"/>
          <w:noProof w:val="0"/>
          <w:color w:val="000000"/>
          <w:position w:val="0"/>
          <w:sz w:val="20"/>
          <w:u w:val="none"/>
          <w:vertAlign w:val="baseline"/>
        </w:rPr>
        <w:t>AT&amp;T disagrees,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contending that Braziel should receive an hourly rate of $350. </w:t>
      </w:r>
      <w:bookmarkStart w:id="60" w:name="Bookmark_I67H31PK2SF88P0050000400"/>
      <w:bookmarkEnd w:id="60"/>
      <w:bookmarkStart w:id="61" w:name="Bookmark_I67H31PK2N1RJG0020000400"/>
      <w:bookmarkEnd w:id="61"/>
      <w:r>
        <w:rPr>
          <w:rFonts w:ascii="arial" w:eastAsia="arial" w:hAnsi="arial" w:cs="arial"/>
          <w:b w:val="0"/>
          <w:i w:val="0"/>
          <w:strike w:val="0"/>
          <w:noProof w:val="0"/>
          <w:color w:val="000000"/>
          <w:position w:val="0"/>
          <w:sz w:val="20"/>
          <w:u w:val="none"/>
          <w:vertAlign w:val="baseline"/>
        </w:rPr>
        <w:t>Specifically, in a 2015 case, the Western District of Texas found that Braziel's reasonable rate was $350 per hour.</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Three years later, the Northern District of Texas cited that 2015 case and decided to "follow[] suit," concluding that "$350.00 per hour [is] a reasonable rate for Braziel."</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Thus, the argument goes, the Court shouldn't stray from those precedents. But that's wrong. </w:t>
      </w:r>
      <w:bookmarkStart w:id="66" w:name="Bookmark_I67H31PK2N1RJG0020000400_2"/>
      <w:bookmarkEnd w:id="66"/>
      <w:bookmarkStart w:id="67" w:name="Bookmark_I67H31PK2SF88P0050000400_2"/>
      <w:bookmarkEnd w:id="67"/>
      <w:r>
        <w:rPr>
          <w:rFonts w:ascii="arial" w:eastAsia="arial" w:hAnsi="arial" w:cs="arial"/>
          <w:b w:val="0"/>
          <w:i w:val="0"/>
          <w:strike w:val="0"/>
          <w:noProof w:val="0"/>
          <w:color w:val="000000"/>
          <w:position w:val="0"/>
          <w:sz w:val="20"/>
          <w:u w:val="none"/>
          <w:vertAlign w:val="baseline"/>
        </w:rPr>
        <w:t>On AT&amp;T's logic, Braziel's hourly rate is frozen in 2015—even though he has since accumulated seven additional years of experience and rampant inflation has increased attorneys' hourly rates.</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Further, that argument ignores the Northern District of Texas's more recent statement that a "reasonable hourly rate[] in the Dallas community [is] $450 for Mr. Braziel."</w:t>
      </w:r>
      <w:r>
        <w:rPr>
          <w:rFonts w:ascii="arial" w:eastAsia="arial" w:hAnsi="arial" w:cs="arial"/>
          <w:vertAlign w:val="superscript"/>
        </w:rPr>
        <w:footnoteReference w:customMarkFollows="1" w:id="22"/>
        <w:t xml:space="preserve">21</w:t>
      </w:r>
    </w:p>
    <w:p>
      <w:pPr>
        <w:keepNext w:val="0"/>
        <w:spacing w:before="200" w:after="0" w:line="260" w:lineRule="atLeast"/>
        <w:ind w:left="0" w:right="0" w:firstLine="0"/>
        <w:jc w:val="both"/>
      </w:pPr>
      <w:bookmarkStart w:id="72" w:name="Bookmark_para_11"/>
      <w:bookmarkEnd w:id="72"/>
      <w:bookmarkStart w:id="73" w:name="Bookmark_I67H31PK2N1RJG0040000400"/>
      <w:bookmarkEnd w:id="73"/>
      <w:r>
        <w:rPr>
          <w:rFonts w:ascii="arial" w:eastAsia="arial" w:hAnsi="arial" w:cs="arial"/>
          <w:b w:val="0"/>
          <w:i w:val="0"/>
          <w:strike w:val="0"/>
          <w:noProof w:val="0"/>
          <w:color w:val="000000"/>
          <w:position w:val="0"/>
          <w:sz w:val="20"/>
          <w:u w:val="none"/>
          <w:vertAlign w:val="baseline"/>
        </w:rPr>
        <w:t>Second, Dunn has over twenty years of experience and has been lead counsel in more than fifty wage and hour cases.</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Given Dunn's significant experience, the Northern District of Texas recently found that $412 was a reasonable hourly rate for Dunn.</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The Court agrees. Dunn's reasonable hourly rate is $412.</w:t>
      </w:r>
    </w:p>
    <w:p>
      <w:pPr>
        <w:keepNext w:val="0"/>
        <w:spacing w:before="200" w:after="0" w:line="260" w:lineRule="atLeast"/>
        <w:ind w:left="0" w:right="0" w:firstLine="0"/>
        <w:jc w:val="both"/>
      </w:pPr>
      <w:bookmarkStart w:id="77" w:name="Bookmark_para_12"/>
      <w:bookmarkEnd w:id="77"/>
      <w:bookmarkStart w:id="78" w:name="Bookmark_I67H31PK2HM6380010000400"/>
      <w:bookmarkEnd w:id="78"/>
      <w:bookmarkStart w:id="79" w:name="Bookmark_I67H31PK2HM6380050000400"/>
      <w:bookmarkEnd w:id="79"/>
      <w:r>
        <w:rPr>
          <w:rFonts w:ascii="arial" w:eastAsia="arial" w:hAnsi="arial" w:cs="arial"/>
          <w:b w:val="0"/>
          <w:i w:val="0"/>
          <w:strike w:val="0"/>
          <w:noProof w:val="0"/>
          <w:color w:val="000000"/>
          <w:position w:val="0"/>
          <w:sz w:val="20"/>
          <w:u w:val="none"/>
          <w:vertAlign w:val="baseline"/>
        </w:rPr>
        <w:t>Third, the Employees provide no information about Brown's experience or proficiency in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FLSA matters. Similarly, the Employees aver that Beck is "a 4th year lawyer," but they provide no other information about her FLSA experience.</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That's a problem for the Employees because "[t]he party seeking attorney's fees bears the burden of establishing the reasonableness of the rates billed."</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Without such information, the Court must ascertain a reasonable rate for a lawyer with less experience than Dunn or Braziel. The Court finds that, on the evidence before it, $300 is a reasonable rate for Brown and Beck.</w:t>
      </w:r>
      <w:r>
        <w:rPr>
          <w:rFonts w:ascii="arial" w:eastAsia="arial" w:hAnsi="arial" w:cs="arial"/>
          <w:vertAlign w:val="superscript"/>
        </w:rPr>
        <w:footnoteReference w:customMarkFollows="1" w:id="27"/>
        <w:t xml:space="preserve">26</w:t>
      </w:r>
    </w:p>
    <w:p>
      <w:pPr>
        <w:keepNext w:val="0"/>
        <w:spacing w:before="200" w:after="0" w:line="260" w:lineRule="atLeast"/>
        <w:ind w:left="0" w:right="0" w:firstLine="0"/>
        <w:jc w:val="both"/>
      </w:pPr>
      <w:bookmarkStart w:id="86" w:name="Bookmark_para_13"/>
      <w:bookmarkEnd w:id="86"/>
      <w:bookmarkStart w:id="87" w:name="Bookmark_I67H31PM2N1RJP0020000400"/>
      <w:bookmarkEnd w:id="87"/>
      <w:bookmarkStart w:id="88" w:name="Bookmark_I67H31PM2N1RJP0040000400"/>
      <w:bookmarkEnd w:id="88"/>
      <w:bookmarkStart w:id="89" w:name="Bookmark_I67H31PM2N1RJT0010000400"/>
      <w:bookmarkEnd w:id="89"/>
      <w:r>
        <w:rPr>
          <w:rFonts w:ascii="arial" w:eastAsia="arial" w:hAnsi="arial" w:cs="arial"/>
          <w:b w:val="0"/>
          <w:i w:val="0"/>
          <w:strike w:val="0"/>
          <w:noProof w:val="0"/>
          <w:color w:val="000000"/>
          <w:position w:val="0"/>
          <w:sz w:val="20"/>
          <w:u w:val="none"/>
          <w:vertAlign w:val="baseline"/>
        </w:rPr>
        <w:t>Fourth, Ruiz is a paralegal. Beyond that, the Employees provide no information concerning Ruiz's experience. Courts have found that "$95.00 per hour is the reasonable market rate for paralegal work in the Northern District of Texas."</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Recently, the Western District of Texas found that, for a paralegal with "approximately 13 years of experience," a reasonable hourly rate was $135.</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The Northern District of Texas recently found that, for a paralegal "with more than 30 years' experience," a reasonable hourly rate was $210.</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Because the Court has no information concerning Ruiz's experience, the Court will increase the $95 baseline only to account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for inflation. On the evidence before the Court, Ruiz's reasonable hourly rate is $100.</w:t>
      </w:r>
    </w:p>
    <w:p>
      <w:pPr>
        <w:keepNext w:val="0"/>
        <w:spacing w:before="200" w:after="0" w:line="260" w:lineRule="atLeast"/>
        <w:ind w:left="0" w:right="0" w:firstLine="0"/>
        <w:jc w:val="both"/>
      </w:pPr>
      <w:bookmarkStart w:id="97" w:name="Bookmark_para_14"/>
      <w:bookmarkEnd w:id="97"/>
      <w:bookmarkStart w:id="98" w:name="Bookmark_I67H31PM2N1RJT0050000400"/>
      <w:bookmarkEnd w:id="98"/>
      <w:bookmarkStart w:id="99" w:name="Bookmark_I67H31PN2HM63R0020000400"/>
      <w:bookmarkEnd w:id="99"/>
      <w:bookmarkStart w:id="100" w:name="Bookmark_I67H31PN2HM63R0040000400"/>
      <w:bookmarkEnd w:id="100"/>
      <w:r>
        <w:rPr>
          <w:rFonts w:ascii="arial" w:eastAsia="arial" w:hAnsi="arial" w:cs="arial"/>
          <w:b w:val="0"/>
          <w:i w:val="0"/>
          <w:strike w:val="0"/>
          <w:noProof w:val="0"/>
          <w:color w:val="000000"/>
          <w:position w:val="0"/>
          <w:sz w:val="20"/>
          <w:u w:val="none"/>
          <w:vertAlign w:val="baseline"/>
        </w:rPr>
        <w:t>AT&amp;T requests even greater reductions across the board, citing two surveys from the Texas State Bar called "2019 Income and Hourly Rates" and "2015 Hourly Fact Sheet."</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The Court finds neither survey persuasive. The Fifth Circuit has acknowledged the 2015 Fact Sheet's "age, provision of median rates only, and reflection of low response rates" and has thus warned of "the Fact Sheet's probative limitations."</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In fact, "the Texas Bar itself warns against using the Fact Sheet to set attorney fees."</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Even the more recent "State Bar data, which only report[s] median rates, do[es] not account for the rate that might be reasonably charged by an attorney with significant experience or expertise in the field, nor does it account for increases in rates since [its] publication in . . . 2019."</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Accordingly, the Court declines to follow the Texas State Bar's data.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Reasonable Hours Expended</w:t>
      </w:r>
    </w:p>
    <w:p>
      <w:pPr>
        <w:keepNext w:val="0"/>
        <w:spacing w:before="200" w:after="0" w:line="260" w:lineRule="atLeast"/>
        <w:ind w:left="0" w:right="0" w:firstLine="0"/>
        <w:jc w:val="both"/>
      </w:pPr>
      <w:bookmarkStart w:id="108" w:name="Bookmark_para_15"/>
      <w:bookmarkEnd w:id="108"/>
      <w:bookmarkStart w:id="109" w:name="Bookmark_I67H31PN2D6N3Y0010000400"/>
      <w:bookmarkEnd w:id="109"/>
      <w:r>
        <w:rPr>
          <w:rFonts w:ascii="arial" w:eastAsia="arial" w:hAnsi="arial" w:cs="arial"/>
          <w:b w:val="0"/>
          <w:i w:val="0"/>
          <w:strike w:val="0"/>
          <w:noProof w:val="0"/>
          <w:color w:val="000000"/>
          <w:position w:val="0"/>
          <w:sz w:val="20"/>
          <w:u w:val="none"/>
          <w:vertAlign w:val="baseline"/>
        </w:rPr>
        <w:t>The Employees assert that Braziel billed 38.4 hours, Dunn billed 97.3 hours, Brown billed 12.2 hours, Beck billed 11.3 hours, and Ruiz billed 4.8 hours. Although the Employees have the burden "of establishing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number of hours expended," the Court may use the attorneys' "hours recorded as a benchmark and then exclude any time that is excessive, duplicative, unnecessary, or inadequately documented."</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AT&amp;T asserts that the Employees' claimed time entries are (1) duplicative, (2) clerical, (3) unrelated, (4) unintelligible, (5) inconsistent, and (6) subject to reallocation. The Court considers each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Duplicative Work</w:t>
      </w:r>
    </w:p>
    <w:p>
      <w:pPr>
        <w:keepNext w:val="0"/>
        <w:spacing w:before="200" w:after="0" w:line="260" w:lineRule="atLeast"/>
        <w:ind w:left="0" w:right="0" w:firstLine="0"/>
        <w:jc w:val="both"/>
      </w:pPr>
      <w:bookmarkStart w:id="112" w:name="Bookmark_para_16"/>
      <w:bookmarkEnd w:id="112"/>
      <w:bookmarkStart w:id="113" w:name="Bookmark_I67H31PN2D6N3Y0030000400"/>
      <w:bookmarkEnd w:id="113"/>
      <w:bookmarkStart w:id="114" w:name="Bookmark_I67H31PN28T3YT0020000400"/>
      <w:bookmarkEnd w:id="114"/>
      <w:r>
        <w:rPr>
          <w:rFonts w:ascii="arial" w:eastAsia="arial" w:hAnsi="arial" w:cs="arial"/>
          <w:b w:val="0"/>
          <w:i w:val="0"/>
          <w:strike w:val="0"/>
          <w:noProof w:val="0"/>
          <w:color w:val="000000"/>
          <w:position w:val="0"/>
          <w:sz w:val="20"/>
          <w:u w:val="none"/>
          <w:vertAlign w:val="baseline"/>
        </w:rPr>
        <w:t>"The court should exclude all time that is . . . duplicative."</w:t>
      </w:r>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 xml:space="preserve"> For instance, the Northern District of Texas has excluded time "entries containing identical write-ups submitted by different attorneys on the same day or entries that refer to the same tasks on the same document."</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AT&amp;T provides myriad examples of duplicative billing.</w:t>
      </w:r>
      <w:r>
        <w:rPr>
          <w:rFonts w:ascii="arial" w:eastAsia="arial" w:hAnsi="arial" w:cs="arial"/>
          <w:vertAlign w:val="superscript"/>
        </w:rPr>
        <w:footnoteReference w:customMarkFollows="1" w:id="38"/>
        <w:t xml:space="preserve">37</w:t>
      </w:r>
      <w:r>
        <w:rPr>
          <w:rFonts w:ascii="arial" w:eastAsia="arial" w:hAnsi="arial" w:cs="arial"/>
          <w:b w:val="0"/>
          <w:i w:val="0"/>
          <w:strike w:val="0"/>
          <w:noProof w:val="0"/>
          <w:color w:val="000000"/>
          <w:position w:val="0"/>
          <w:sz w:val="20"/>
          <w:u w:val="none"/>
          <w:vertAlign w:val="baseline"/>
        </w:rPr>
        <w:t xml:space="preserve"> The Employees respond only by arguing in conclusory fashion that duplicative work on the complaint "is appropriate" and protesting that "[AT&amp;T's] own billing" is duplicative.</w:t>
      </w:r>
      <w:r>
        <w:rPr>
          <w:rFonts w:ascii="arial" w:eastAsia="arial" w:hAnsi="arial" w:cs="arial"/>
          <w:vertAlign w:val="superscript"/>
        </w:rPr>
        <w:footnoteReference w:customMarkFollows="1" w:id="39"/>
        <w:t xml:space="preserve">38</w:t>
      </w:r>
      <w:r>
        <w:rPr>
          <w:rFonts w:ascii="arial" w:eastAsia="arial" w:hAnsi="arial" w:cs="arial"/>
          <w:b w:val="0"/>
          <w:i w:val="0"/>
          <w:strike w:val="0"/>
          <w:noProof w:val="0"/>
          <w:color w:val="000000"/>
          <w:position w:val="0"/>
          <w:sz w:val="20"/>
          <w:u w:val="none"/>
          <w:vertAlign w:val="baseline"/>
        </w:rPr>
        <w:t xml:space="preserve"> But the Employees' conclusory assertion doesn't help the Employees meet their burden to show those entries aren't duplicative. And their </w:t>
      </w:r>
      <w:r>
        <w:rPr>
          <w:rFonts w:ascii="arial" w:eastAsia="arial" w:hAnsi="arial" w:cs="arial"/>
          <w:b w:val="0"/>
          <w:i/>
          <w:strike w:val="0"/>
          <w:noProof w:val="0"/>
          <w:color w:val="000000"/>
          <w:position w:val="0"/>
          <w:sz w:val="20"/>
          <w:u w:val="none"/>
          <w:vertAlign w:val="baseline"/>
        </w:rPr>
        <w:t>tu quoque</w:t>
      </w:r>
      <w:r>
        <w:rPr>
          <w:rFonts w:ascii="arial" w:eastAsia="arial" w:hAnsi="arial" w:cs="arial"/>
          <w:b w:val="0"/>
          <w:i w:val="0"/>
          <w:strike w:val="0"/>
          <w:noProof w:val="0"/>
          <w:color w:val="000000"/>
          <w:position w:val="0"/>
          <w:sz w:val="20"/>
          <w:u w:val="none"/>
          <w:vertAlign w:val="baseline"/>
        </w:rPr>
        <w:t xml:space="preserve"> argument has even less merit. Accordingly, the Court reduces Braziel's hours by 9 and Brown's hours by 5.05.</w:t>
      </w:r>
      <w:r>
        <w:rPr>
          <w:rFonts w:ascii="arial" w:eastAsia="arial" w:hAnsi="arial" w:cs="arial"/>
          <w:vertAlign w:val="superscript"/>
        </w:rPr>
        <w:footnoteReference w:customMarkFollows="1" w:id="40"/>
        <w:t xml:space="preserve">39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Clerical Tasks</w:t>
      </w:r>
    </w:p>
    <w:p>
      <w:pPr>
        <w:keepNext w:val="0"/>
        <w:spacing w:before="200" w:after="0" w:line="260" w:lineRule="atLeast"/>
        <w:ind w:left="0" w:right="0" w:firstLine="0"/>
        <w:jc w:val="both"/>
      </w:pPr>
      <w:bookmarkStart w:id="123" w:name="Bookmark_para_17"/>
      <w:bookmarkEnd w:id="123"/>
      <w:bookmarkStart w:id="124" w:name="Bookmark_I67H31PN28T3YT0040000400"/>
      <w:bookmarkEnd w:id="124"/>
      <w:bookmarkStart w:id="125" w:name="Bookmark_I67H31PN2D6N450010000400"/>
      <w:bookmarkEnd w:id="125"/>
      <w:bookmarkStart w:id="126" w:name="Bookmark_I67H31PN2D6N450030000400"/>
      <w:bookmarkEnd w:id="126"/>
      <w:r>
        <w:rPr>
          <w:rFonts w:ascii="arial" w:eastAsia="arial" w:hAnsi="arial" w:cs="arial"/>
          <w:b w:val="0"/>
          <w:i w:val="0"/>
          <w:strike w:val="0"/>
          <w:noProof w:val="0"/>
          <w:color w:val="000000"/>
          <w:position w:val="0"/>
          <w:sz w:val="20"/>
          <w:u w:val="none"/>
          <w:vertAlign w:val="baseline"/>
        </w:rPr>
        <w:t>"Clerical work is not recoverable in an award of attorneys' fees."</w:t>
      </w:r>
      <w:r>
        <w:rPr>
          <w:rFonts w:ascii="arial" w:eastAsia="arial" w:hAnsi="arial" w:cs="arial"/>
          <w:vertAlign w:val="superscript"/>
        </w:rPr>
        <w:footnoteReference w:customMarkFollows="1" w:id="41"/>
        <w:t xml:space="preserve">40</w:t>
      </w:r>
      <w:r>
        <w:rPr>
          <w:rFonts w:ascii="arial" w:eastAsia="arial" w:hAnsi="arial" w:cs="arial"/>
          <w:b w:val="0"/>
          <w:i w:val="0"/>
          <w:strike w:val="0"/>
          <w:noProof w:val="0"/>
          <w:color w:val="000000"/>
          <w:position w:val="0"/>
          <w:sz w:val="20"/>
          <w:u w:val="none"/>
          <w:vertAlign w:val="baseline"/>
        </w:rPr>
        <w:t xml:space="preserve"> "Clerical duties consist of . . . reviewing court notices, scheduling, notifying clients and counsel of deadlines, preparing filings, maintaining files, copying, printing, labeling, and emailing documents, and communicating with court staff."</w:t>
      </w:r>
      <w:r>
        <w:rPr>
          <w:rFonts w:ascii="arial" w:eastAsia="arial" w:hAnsi="arial" w:cs="arial"/>
          <w:vertAlign w:val="superscript"/>
        </w:rPr>
        <w:footnoteReference w:customMarkFollows="1" w:id="42"/>
        <w:t xml:space="preserve">41</w:t>
      </w:r>
      <w:r>
        <w:rPr>
          <w:rFonts w:ascii="arial" w:eastAsia="arial" w:hAnsi="arial" w:cs="arial"/>
          <w:b w:val="0"/>
          <w:i w:val="0"/>
          <w:strike w:val="0"/>
          <w:noProof w:val="0"/>
          <w:color w:val="000000"/>
          <w:position w:val="0"/>
          <w:sz w:val="20"/>
          <w:u w:val="none"/>
          <w:vertAlign w:val="baseline"/>
        </w:rPr>
        <w:t xml:space="preserve"> AT&amp;T identifies several examples of clerical work, including Dunn's myriad 0.1 hour "entries for 'Receipt and review of email from ECF.'"</w:t>
      </w:r>
      <w:r>
        <w:rPr>
          <w:rFonts w:ascii="arial" w:eastAsia="arial" w:hAnsi="arial" w:cs="arial"/>
          <w:vertAlign w:val="superscript"/>
        </w:rPr>
        <w:footnoteReference w:customMarkFollows="1" w:id="43"/>
        <w:t xml:space="preserve">42</w:t>
      </w:r>
      <w:r>
        <w:rPr>
          <w:rFonts w:ascii="arial" w:eastAsia="arial" w:hAnsi="arial" w:cs="arial"/>
          <w:b w:val="0"/>
          <w:i w:val="0"/>
          <w:strike w:val="0"/>
          <w:noProof w:val="0"/>
          <w:color w:val="000000"/>
          <w:position w:val="0"/>
          <w:sz w:val="20"/>
          <w:u w:val="none"/>
          <w:vertAlign w:val="baseline"/>
        </w:rPr>
        <w:t xml:space="preserve"> The Northern District of Texas recently found, consistently with courts across the country, that "reflexive billing for receipt of every ECF notification and time billed for calendaring meetings[] are clerical entries and should be stricken."</w:t>
      </w:r>
      <w:r>
        <w:rPr>
          <w:rFonts w:ascii="arial" w:eastAsia="arial" w:hAnsi="arial" w:cs="arial"/>
          <w:vertAlign w:val="superscript"/>
        </w:rPr>
        <w:footnoteReference w:customMarkFollows="1" w:id="44"/>
        <w:t xml:space="preserve">43</w:t>
      </w:r>
      <w:r>
        <w:rPr>
          <w:rFonts w:ascii="arial" w:eastAsia="arial" w:hAnsi="arial" w:cs="arial"/>
          <w:b w:val="0"/>
          <w:i w:val="0"/>
          <w:strike w:val="0"/>
          <w:noProof w:val="0"/>
          <w:color w:val="000000"/>
          <w:position w:val="0"/>
          <w:sz w:val="20"/>
          <w:u w:val="none"/>
          <w:vertAlign w:val="baseline"/>
        </w:rPr>
        <w:t xml:space="preserve"> The Court agrees and reduces Dunn's time by 7.4 hours, Braziel's time by 0.9 hours, and Brown's time by 2.3 hours.</w:t>
      </w:r>
      <w:r>
        <w:rPr>
          <w:rFonts w:ascii="arial" w:eastAsia="arial" w:hAnsi="arial" w:cs="arial"/>
          <w:vertAlign w:val="superscript"/>
        </w:rPr>
        <w:footnoteReference w:customMarkFollows="1" w:id="45"/>
        <w:t xml:space="preserve">44</w:t>
      </w:r>
    </w:p>
    <w:p>
      <w:pPr>
        <w:keepNext w:val="0"/>
        <w:spacing w:before="200" w:after="0" w:line="260" w:lineRule="atLeast"/>
        <w:ind w:left="0" w:right="0" w:firstLine="0"/>
        <w:jc w:val="both"/>
      </w:pPr>
      <w:bookmarkStart w:id="135" w:name="Bookmark_para_18"/>
      <w:bookmarkEnd w:id="135"/>
      <w:r>
        <w:rPr>
          <w:rFonts w:ascii="arial" w:eastAsia="arial" w:hAnsi="arial" w:cs="arial"/>
          <w:b w:val="0"/>
          <w:i w:val="0"/>
          <w:strike w:val="0"/>
          <w:noProof w:val="0"/>
          <w:color w:val="000000"/>
          <w:position w:val="0"/>
          <w:sz w:val="20"/>
          <w:u w:val="none"/>
          <w:vertAlign w:val="baseline"/>
        </w:rPr>
        <w:t>The Employees disagree, contending that Dunn didn't merely review the ECF emails "but also viewed the associated filing and then directed a member of the staff to take the appropriate action."</w:t>
      </w:r>
      <w:r>
        <w:rPr>
          <w:rFonts w:ascii="arial" w:eastAsia="arial" w:hAnsi="arial" w:cs="arial"/>
          <w:vertAlign w:val="superscript"/>
        </w:rPr>
        <w:footnoteReference w:customMarkFollows="1" w:id="46"/>
        <w:t xml:space="preserve">45</w:t>
      </w:r>
      <w:r>
        <w:rPr>
          <w:rFonts w:ascii="arial" w:eastAsia="arial" w:hAnsi="arial" w:cs="arial"/>
          <w:b w:val="0"/>
          <w:i w:val="0"/>
          <w:strike w:val="0"/>
          <w:noProof w:val="0"/>
          <w:color w:val="000000"/>
          <w:position w:val="0"/>
          <w:sz w:val="20"/>
          <w:u w:val="none"/>
          <w:vertAlign w:val="baseline"/>
        </w:rPr>
        <w:t xml:space="preserve"> But Dunn's time entries don't specify that Dunn communicated with staff concerning those emails.</w:t>
      </w:r>
      <w:r>
        <w:rPr>
          <w:rFonts w:ascii="arial" w:eastAsia="arial" w:hAnsi="arial" w:cs="arial"/>
          <w:vertAlign w:val="superscript"/>
        </w:rPr>
        <w:footnoteReference w:customMarkFollows="1" w:id="47"/>
        <w:t xml:space="preserve">46</w:t>
      </w:r>
      <w:r>
        <w:rPr>
          <w:rFonts w:ascii="arial" w:eastAsia="arial" w:hAnsi="arial" w:cs="arial"/>
          <w:b w:val="0"/>
          <w:i w:val="0"/>
          <w:strike w:val="0"/>
          <w:noProof w:val="0"/>
          <w:color w:val="000000"/>
          <w:position w:val="0"/>
          <w:sz w:val="20"/>
          <w:u w:val="none"/>
          <w:vertAlign w:val="baseline"/>
        </w:rPr>
        <w:t xml:space="preserve"> And, as the Employees admit, "Dunn did not bill for the review of the ECF attachment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or for the managerial actions."</w:t>
      </w:r>
      <w:r>
        <w:rPr>
          <w:rFonts w:ascii="arial" w:eastAsia="arial" w:hAnsi="arial" w:cs="arial"/>
          <w:vertAlign w:val="superscript"/>
        </w:rPr>
        <w:footnoteReference w:customMarkFollows="1" w:id="48"/>
        <w:t xml:space="preserve">47</w:t>
      </w:r>
      <w:r>
        <w:rPr>
          <w:rFonts w:ascii="arial" w:eastAsia="arial" w:hAnsi="arial" w:cs="arial"/>
          <w:b w:val="0"/>
          <w:i w:val="0"/>
          <w:strike w:val="0"/>
          <w:noProof w:val="0"/>
          <w:color w:val="000000"/>
          <w:position w:val="0"/>
          <w:sz w:val="20"/>
          <w:u w:val="none"/>
          <w:vertAlign w:val="baseline"/>
        </w:rPr>
        <w:t xml:space="preserve"> The Employees have not shown that Dunn's review of the ECF emails was anything more than clerical, and they have not responded to the other entries AT&amp;T identifies as clerical.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Unrelated Work</w:t>
      </w:r>
    </w:p>
    <w:p>
      <w:pPr>
        <w:keepNext w:val="0"/>
        <w:spacing w:before="200" w:after="0" w:line="260" w:lineRule="atLeast"/>
        <w:ind w:left="0" w:right="0" w:firstLine="0"/>
        <w:jc w:val="both"/>
      </w:pPr>
      <w:bookmarkStart w:id="139" w:name="Bookmark_para_19"/>
      <w:bookmarkEnd w:id="139"/>
      <w:r>
        <w:rPr>
          <w:rFonts w:ascii="arial" w:eastAsia="arial" w:hAnsi="arial" w:cs="arial"/>
          <w:b w:val="0"/>
          <w:i w:val="0"/>
          <w:strike w:val="0"/>
          <w:noProof w:val="0"/>
          <w:color w:val="000000"/>
          <w:position w:val="0"/>
          <w:sz w:val="20"/>
          <w:u w:val="none"/>
          <w:vertAlign w:val="baseline"/>
        </w:rPr>
        <w:t>AT&amp;T asks the Court to exclude a variety of entries that are allegedly unrelated to the instant matter, such as entries concerning "decertification in [a separate] case" and "a different lawsuit [] pending in the Western District of Texas."</w:t>
      </w:r>
      <w:r>
        <w:rPr>
          <w:rFonts w:ascii="arial" w:eastAsia="arial" w:hAnsi="arial" w:cs="arial"/>
          <w:vertAlign w:val="superscript"/>
        </w:rPr>
        <w:footnoteReference w:customMarkFollows="1" w:id="49"/>
        <w:t xml:space="preserve">48</w:t>
      </w:r>
      <w:r>
        <w:rPr>
          <w:rFonts w:ascii="arial" w:eastAsia="arial" w:hAnsi="arial" w:cs="arial"/>
          <w:b w:val="0"/>
          <w:i w:val="0"/>
          <w:strike w:val="0"/>
          <w:noProof w:val="0"/>
          <w:color w:val="000000"/>
          <w:position w:val="0"/>
          <w:sz w:val="20"/>
          <w:u w:val="none"/>
          <w:vertAlign w:val="baseline"/>
        </w:rPr>
        <w:t xml:space="preserve"> The Employees only address the first of those complaints, explaining that, following decertification of the collective action related to this matter, their counsel "had to have a discussion with each of the 289 opt-ins regarding whether they wished to pursue individual claims" and that such discussions "marked the beginning of this cause of action."</w:t>
      </w:r>
      <w:r>
        <w:rPr>
          <w:rFonts w:ascii="arial" w:eastAsia="arial" w:hAnsi="arial" w:cs="arial"/>
          <w:vertAlign w:val="superscript"/>
        </w:rPr>
        <w:footnoteReference w:customMarkFollows="1" w:id="50"/>
        <w:t xml:space="preserve">49</w:t>
      </w:r>
      <w:r>
        <w:rPr>
          <w:rFonts w:ascii="arial" w:eastAsia="arial" w:hAnsi="arial" w:cs="arial"/>
          <w:b w:val="0"/>
          <w:i w:val="0"/>
          <w:strike w:val="0"/>
          <w:noProof w:val="0"/>
          <w:color w:val="000000"/>
          <w:position w:val="0"/>
          <w:sz w:val="20"/>
          <w:u w:val="none"/>
          <w:vertAlign w:val="baseline"/>
        </w:rPr>
        <w:t xml:space="preserve"> The Court agrees, so it won't strike those entries.</w:t>
      </w:r>
    </w:p>
    <w:p>
      <w:pPr>
        <w:keepNext w:val="0"/>
        <w:spacing w:before="200" w:after="0" w:line="260" w:lineRule="atLeast"/>
        <w:ind w:left="0" w:right="0" w:firstLine="0"/>
        <w:jc w:val="both"/>
      </w:pPr>
      <w:bookmarkStart w:id="142" w:name="Bookmark_para_20"/>
      <w:bookmarkEnd w:id="142"/>
      <w:r>
        <w:rPr>
          <w:rFonts w:ascii="arial" w:eastAsia="arial" w:hAnsi="arial" w:cs="arial"/>
          <w:b w:val="0"/>
          <w:i w:val="0"/>
          <w:strike w:val="0"/>
          <w:noProof w:val="0"/>
          <w:color w:val="000000"/>
          <w:position w:val="0"/>
          <w:sz w:val="20"/>
          <w:u w:val="none"/>
          <w:vertAlign w:val="baseline"/>
        </w:rPr>
        <w:t>But the Employees have not justified the entries for related to the case pending in the Western District of Texas or those that proceeding decertification of the collective action. Accordingly, the Court strikes those time entries and reduces Dunn's time by 0.3 hours and Brown's time by 0.75 hours.</w:t>
      </w:r>
      <w:r>
        <w:rPr>
          <w:rFonts w:ascii="arial" w:eastAsia="arial" w:hAnsi="arial" w:cs="arial"/>
          <w:vertAlign w:val="superscript"/>
        </w:rPr>
        <w:footnoteReference w:customMarkFollows="1" w:id="51"/>
        <w:t xml:space="preserve">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Unintelligible Entries</w:t>
      </w:r>
      <w:r>
        <w:rPr>
          <w:rFonts w:ascii="arial" w:eastAsia="arial" w:hAnsi="arial" w:cs="arial"/>
          <w:b/>
          <w:i w:val="0"/>
          <w:strike w:val="0"/>
          <w:noProof w:val="0"/>
          <w:color w:val="000000"/>
          <w:position w:val="0"/>
          <w:sz w:val="20"/>
          <w:u w:val="none"/>
          <w:vertAlign w:val="baseline"/>
        </w:rPr>
        <w:t> [*11] </w:t>
      </w:r>
    </w:p>
    <w:p>
      <w:pPr>
        <w:keepNext w:val="0"/>
        <w:spacing w:before="200" w:after="0" w:line="260" w:lineRule="atLeast"/>
        <w:ind w:left="0" w:right="0" w:firstLine="0"/>
        <w:jc w:val="both"/>
      </w:pPr>
      <w:bookmarkStart w:id="144" w:name="Bookmark_para_21"/>
      <w:bookmarkEnd w:id="144"/>
      <w:bookmarkStart w:id="145" w:name="Bookmark_I67H31PN2D6N450050000400"/>
      <w:bookmarkEnd w:id="145"/>
      <w:bookmarkStart w:id="146" w:name="Bookmark_I67H31PN28T3YV0020000400"/>
      <w:bookmarkEnd w:id="146"/>
      <w:r>
        <w:rPr>
          <w:rFonts w:ascii="arial" w:eastAsia="arial" w:hAnsi="arial" w:cs="arial"/>
          <w:b w:val="0"/>
          <w:i w:val="0"/>
          <w:strike w:val="0"/>
          <w:noProof w:val="0"/>
          <w:color w:val="000000"/>
          <w:position w:val="0"/>
          <w:sz w:val="20"/>
          <w:u w:val="none"/>
          <w:vertAlign w:val="baseline"/>
        </w:rPr>
        <w:t>For an entry to qualify as part of the "reasonable number of hours expended on the litigation,"</w:t>
      </w:r>
      <w:r>
        <w:rPr>
          <w:rFonts w:ascii="arial" w:eastAsia="arial" w:hAnsi="arial" w:cs="arial"/>
          <w:vertAlign w:val="superscript"/>
        </w:rPr>
        <w:footnoteReference w:customMarkFollows="1" w:id="52"/>
        <w:t xml:space="preserve">51</w:t>
      </w:r>
      <w:r>
        <w:rPr>
          <w:rFonts w:ascii="arial" w:eastAsia="arial" w:hAnsi="arial" w:cs="arial"/>
          <w:b w:val="0"/>
          <w:i w:val="0"/>
          <w:strike w:val="0"/>
          <w:noProof w:val="0"/>
          <w:color w:val="000000"/>
          <w:position w:val="0"/>
          <w:sz w:val="20"/>
          <w:u w:val="none"/>
          <w:vertAlign w:val="baseline"/>
        </w:rPr>
        <w:t xml:space="preserve"> its description generally must contain some "hints or context clues to shed light on what [the] entr[y] . . . entailed."</w:t>
      </w:r>
      <w:r>
        <w:rPr>
          <w:rFonts w:ascii="arial" w:eastAsia="arial" w:hAnsi="arial" w:cs="arial"/>
          <w:vertAlign w:val="superscript"/>
        </w:rPr>
        <w:footnoteReference w:customMarkFollows="1" w:id="53"/>
        <w:t xml:space="preserve">52</w:t>
      </w:r>
      <w:r>
        <w:rPr>
          <w:rFonts w:ascii="arial" w:eastAsia="arial" w:hAnsi="arial" w:cs="arial"/>
          <w:b w:val="0"/>
          <w:i w:val="0"/>
          <w:strike w:val="0"/>
          <w:noProof w:val="0"/>
          <w:color w:val="000000"/>
          <w:position w:val="0"/>
          <w:sz w:val="20"/>
          <w:u w:val="none"/>
          <w:vertAlign w:val="baseline"/>
        </w:rPr>
        <w:t xml:space="preserve"> AT&amp;T argues that some of the entries don't contain enough context to determine what activity actually occurred. The Employees provide no response. The Court agrees with AT&amp;T and reduces Braziel's time by 10.9 hours, Beck's time by 7.9 hours, Ruiz's time by 4.8 hours.</w:t>
      </w:r>
      <w:r>
        <w:rPr>
          <w:rFonts w:ascii="arial" w:eastAsia="arial" w:hAnsi="arial" w:cs="arial"/>
          <w:vertAlign w:val="superscript"/>
        </w:rPr>
        <w:footnoteReference w:customMarkFollows="1" w:id="54"/>
        <w:t xml:space="preserve">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Inconsistent Entries</w:t>
      </w:r>
    </w:p>
    <w:p>
      <w:pPr>
        <w:keepNext w:val="0"/>
        <w:spacing w:before="200" w:after="0" w:line="260" w:lineRule="atLeast"/>
        <w:ind w:left="0" w:right="0" w:firstLine="0"/>
        <w:jc w:val="both"/>
      </w:pPr>
      <w:bookmarkStart w:id="152" w:name="Bookmark_para_22"/>
      <w:bookmarkEnd w:id="152"/>
      <w:bookmarkStart w:id="153" w:name="Bookmark_I67H31PN28T3YV0040000400"/>
      <w:bookmarkEnd w:id="153"/>
      <w:r>
        <w:rPr>
          <w:rFonts w:ascii="arial" w:eastAsia="arial" w:hAnsi="arial" w:cs="arial"/>
          <w:b w:val="0"/>
          <w:i w:val="0"/>
          <w:strike w:val="0"/>
          <w:noProof w:val="0"/>
          <w:color w:val="000000"/>
          <w:position w:val="0"/>
          <w:sz w:val="20"/>
          <w:u w:val="none"/>
          <w:vertAlign w:val="baseline"/>
        </w:rPr>
        <w:t>AT&amp;T asserts that both Dunn and Dunn's office manager, Pongpak Deepipat—in an affidavit—take credit for "creating [] pivot tables and analysis."</w:t>
      </w:r>
      <w:r>
        <w:rPr>
          <w:rFonts w:ascii="arial" w:eastAsia="arial" w:hAnsi="arial" w:cs="arial"/>
          <w:vertAlign w:val="superscript"/>
        </w:rPr>
        <w:footnoteReference w:customMarkFollows="1" w:id="55"/>
        <w:t xml:space="preserve">54</w:t>
      </w:r>
      <w:r>
        <w:rPr>
          <w:rFonts w:ascii="arial" w:eastAsia="arial" w:hAnsi="arial" w:cs="arial"/>
          <w:b w:val="0"/>
          <w:i w:val="0"/>
          <w:strike w:val="0"/>
          <w:noProof w:val="0"/>
          <w:color w:val="000000"/>
          <w:position w:val="0"/>
          <w:sz w:val="20"/>
          <w:u w:val="none"/>
          <w:vertAlign w:val="baseline"/>
        </w:rPr>
        <w:t xml:space="preserve"> The Employees explain this supposed inconsistency, noting that "Mr. Dunn often sat with Mr. Deepipat during these reviews [of the tables], because the data was rarely easy to interpret."</w:t>
      </w:r>
      <w:r>
        <w:rPr>
          <w:rFonts w:ascii="arial" w:eastAsia="arial" w:hAnsi="arial" w:cs="arial"/>
          <w:vertAlign w:val="superscript"/>
        </w:rPr>
        <w:footnoteReference w:customMarkFollows="1" w:id="56"/>
        <w:t xml:space="preserve">55</w:t>
      </w:r>
      <w:r>
        <w:rPr>
          <w:rFonts w:ascii="arial" w:eastAsia="arial" w:hAnsi="arial" w:cs="arial"/>
          <w:b w:val="0"/>
          <w:i w:val="0"/>
          <w:strike w:val="0"/>
          <w:noProof w:val="0"/>
          <w:color w:val="000000"/>
          <w:position w:val="0"/>
          <w:sz w:val="20"/>
          <w:u w:val="none"/>
          <w:vertAlign w:val="baseline"/>
        </w:rPr>
        <w:t xml:space="preserve"> On the same facts, the Northern District of Texas recently concluded in a related case that the Employees' "explanation [was] persuasive," and the Court agrees.</w:t>
      </w:r>
      <w:r>
        <w:rPr>
          <w:rFonts w:ascii="arial" w:eastAsia="arial" w:hAnsi="arial" w:cs="arial"/>
          <w:vertAlign w:val="superscript"/>
        </w:rPr>
        <w:footnoteReference w:customMarkFollows="1" w:id="57"/>
        <w:t xml:space="preserve">56</w:t>
      </w:r>
      <w:r>
        <w:rPr>
          <w:rFonts w:ascii="arial" w:eastAsia="arial" w:hAnsi="arial" w:cs="arial"/>
          <w:b w:val="0"/>
          <w:i w:val="0"/>
          <w:strike w:val="0"/>
          <w:noProof w:val="0"/>
          <w:color w:val="000000"/>
          <w:position w:val="0"/>
          <w:sz w:val="20"/>
          <w:u w:val="none"/>
          <w:vertAlign w:val="baseline"/>
        </w:rPr>
        <w:t xml:space="preserve"> The Court will not strike Dunn's entries concerning the pivot tables and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Reallocation</w:t>
      </w:r>
    </w:p>
    <w:p>
      <w:pPr>
        <w:keepNext w:val="0"/>
        <w:spacing w:before="200" w:after="0" w:line="260" w:lineRule="atLeast"/>
        <w:ind w:left="0" w:right="0" w:firstLine="0"/>
        <w:jc w:val="both"/>
      </w:pPr>
      <w:bookmarkStart w:id="158" w:name="Bookmark_para_23"/>
      <w:bookmarkEnd w:id="158"/>
      <w:bookmarkStart w:id="159" w:name="Bookmark_I67H31PN2HM6420010000400"/>
      <w:bookmarkEnd w:id="159"/>
      <w:r>
        <w:rPr>
          <w:rFonts w:ascii="arial" w:eastAsia="arial" w:hAnsi="arial" w:cs="arial"/>
          <w:b w:val="0"/>
          <w:i w:val="0"/>
          <w:strike w:val="0"/>
          <w:noProof w:val="0"/>
          <w:color w:val="000000"/>
          <w:position w:val="0"/>
          <w:sz w:val="20"/>
          <w:u w:val="none"/>
          <w:vertAlign w:val="baseline"/>
        </w:rPr>
        <w:t>AT&amp;T argues that "far too much of the work was done by senior attorneys" in this matter.</w:t>
      </w:r>
      <w:r>
        <w:rPr>
          <w:rFonts w:ascii="arial" w:eastAsia="arial" w:hAnsi="arial" w:cs="arial"/>
          <w:vertAlign w:val="superscript"/>
        </w:rPr>
        <w:footnoteReference w:customMarkFollows="1" w:id="58"/>
        <w:t xml:space="preserve">57</w:t>
      </w:r>
      <w:r>
        <w:rPr>
          <w:rFonts w:ascii="arial" w:eastAsia="arial" w:hAnsi="arial" w:cs="arial"/>
          <w:b w:val="0"/>
          <w:i w:val="0"/>
          <w:strike w:val="0"/>
          <w:noProof w:val="0"/>
          <w:color w:val="000000"/>
          <w:position w:val="0"/>
          <w:sz w:val="20"/>
          <w:u w:val="none"/>
          <w:vertAlign w:val="baseline"/>
        </w:rPr>
        <w:t xml:space="preserve"> Thus, the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argument goes, the Court should "reallocate[]" many of the hours billed by the senior attorneys to more junior attorneys.</w:t>
      </w:r>
      <w:r>
        <w:rPr>
          <w:rFonts w:ascii="arial" w:eastAsia="arial" w:hAnsi="arial" w:cs="arial"/>
          <w:vertAlign w:val="superscript"/>
        </w:rPr>
        <w:footnoteReference w:customMarkFollows="1" w:id="59"/>
        <w:t xml:space="preserve">58</w:t>
      </w:r>
      <w:r>
        <w:rPr>
          <w:rFonts w:ascii="arial" w:eastAsia="arial" w:hAnsi="arial" w:cs="arial"/>
          <w:b w:val="0"/>
          <w:i w:val="0"/>
          <w:strike w:val="0"/>
          <w:noProof w:val="0"/>
          <w:color w:val="000000"/>
          <w:position w:val="0"/>
          <w:sz w:val="20"/>
          <w:u w:val="none"/>
          <w:vertAlign w:val="baseline"/>
        </w:rPr>
        <w:t xml:space="preserve"> The Northern District of Texas recently rejected that argument in a related case, concluding that "this strategy . . . is not supported by the caselaw."</w:t>
      </w:r>
      <w:r>
        <w:rPr>
          <w:rFonts w:ascii="arial" w:eastAsia="arial" w:hAnsi="arial" w:cs="arial"/>
          <w:vertAlign w:val="superscript"/>
        </w:rPr>
        <w:footnoteReference w:customMarkFollows="1" w:id="60"/>
        <w:t xml:space="preserve">59</w:t>
      </w:r>
      <w:r>
        <w:rPr>
          <w:rFonts w:ascii="arial" w:eastAsia="arial" w:hAnsi="arial" w:cs="arial"/>
          <w:b w:val="0"/>
          <w:i w:val="0"/>
          <w:strike w:val="0"/>
          <w:noProof w:val="0"/>
          <w:color w:val="000000"/>
          <w:position w:val="0"/>
          <w:sz w:val="20"/>
          <w:u w:val="none"/>
          <w:vertAlign w:val="baseline"/>
        </w:rPr>
        <w:t xml:space="preserve"> The Court agrees. AT&amp;T hasn't provided any on-point caselaw permitting the Court to artificially transfer one attorney's hours to his co-counsel, so the Court declines to engage in any such reallocation.</w:t>
      </w:r>
    </w:p>
    <w:p>
      <w:pPr>
        <w:keepNext w:val="0"/>
        <w:spacing w:before="200" w:after="0" w:line="260" w:lineRule="atLeast"/>
        <w:ind w:left="0" w:right="0" w:firstLine="0"/>
        <w:jc w:val="both"/>
      </w:pPr>
      <w:bookmarkStart w:id="164" w:name="Bookmark_para_24"/>
      <w:bookmarkEnd w:id="164"/>
      <w:r>
        <w:rPr>
          <w:rFonts w:ascii="arial" w:eastAsia="arial" w:hAnsi="arial" w:cs="arial"/>
          <w:b w:val="0"/>
          <w:i w:val="0"/>
          <w:strike w:val="0"/>
          <w:noProof w:val="0"/>
          <w:color w:val="000000"/>
          <w:position w:val="0"/>
          <w:sz w:val="20"/>
          <w:u w:val="none"/>
          <w:vertAlign w:val="baseline"/>
        </w:rPr>
        <w:t>In sum, the Court awards the Employees attorney fees in the amount of $47,449.70. That consists of $36,915.20 for Dunn's time,</w:t>
      </w:r>
      <w:r>
        <w:rPr>
          <w:rFonts w:ascii="arial" w:eastAsia="arial" w:hAnsi="arial" w:cs="arial"/>
          <w:vertAlign w:val="superscript"/>
        </w:rPr>
        <w:footnoteReference w:customMarkFollows="1" w:id="61"/>
        <w:t xml:space="preserve">60</w:t>
      </w:r>
      <w:r>
        <w:rPr>
          <w:rFonts w:ascii="arial" w:eastAsia="arial" w:hAnsi="arial" w:cs="arial"/>
          <w:b w:val="0"/>
          <w:i w:val="0"/>
          <w:strike w:val="0"/>
          <w:noProof w:val="0"/>
          <w:color w:val="000000"/>
          <w:position w:val="0"/>
          <w:sz w:val="20"/>
          <w:u w:val="none"/>
          <w:vertAlign w:val="baseline"/>
        </w:rPr>
        <w:t xml:space="preserve"> $8,284.50 for Braziel's time,</w:t>
      </w:r>
      <w:r>
        <w:rPr>
          <w:rFonts w:ascii="arial" w:eastAsia="arial" w:hAnsi="arial" w:cs="arial"/>
          <w:vertAlign w:val="superscript"/>
        </w:rPr>
        <w:footnoteReference w:customMarkFollows="1" w:id="62"/>
        <w:t xml:space="preserve">61</w:t>
      </w:r>
      <w:r>
        <w:rPr>
          <w:rFonts w:ascii="arial" w:eastAsia="arial" w:hAnsi="arial" w:cs="arial"/>
          <w:b w:val="0"/>
          <w:i w:val="0"/>
          <w:strike w:val="0"/>
          <w:noProof w:val="0"/>
          <w:color w:val="000000"/>
          <w:position w:val="0"/>
          <w:sz w:val="20"/>
          <w:u w:val="none"/>
          <w:vertAlign w:val="baseline"/>
        </w:rPr>
        <w:t xml:space="preserve"> $1,230 for Brown's time,</w:t>
      </w:r>
      <w:r>
        <w:rPr>
          <w:rFonts w:ascii="arial" w:eastAsia="arial" w:hAnsi="arial" w:cs="arial"/>
          <w:vertAlign w:val="superscript"/>
        </w:rPr>
        <w:footnoteReference w:customMarkFollows="1" w:id="63"/>
        <w:t xml:space="preserve">62</w:t>
      </w:r>
      <w:r>
        <w:rPr>
          <w:rFonts w:ascii="arial" w:eastAsia="arial" w:hAnsi="arial" w:cs="arial"/>
          <w:b w:val="0"/>
          <w:i w:val="0"/>
          <w:strike w:val="0"/>
          <w:noProof w:val="0"/>
          <w:color w:val="000000"/>
          <w:position w:val="0"/>
          <w:sz w:val="20"/>
          <w:u w:val="none"/>
          <w:vertAlign w:val="baseline"/>
        </w:rPr>
        <w:t xml:space="preserve"> $1,020 for Beck's time,</w:t>
      </w:r>
      <w:r>
        <w:rPr>
          <w:rFonts w:ascii="arial" w:eastAsia="arial" w:hAnsi="arial" w:cs="arial"/>
          <w:vertAlign w:val="superscript"/>
        </w:rPr>
        <w:footnoteReference w:customMarkFollows="1" w:id="64"/>
        <w:t xml:space="preserve">63</w:t>
      </w:r>
      <w:r>
        <w:rPr>
          <w:rFonts w:ascii="arial" w:eastAsia="arial" w:hAnsi="arial" w:cs="arial"/>
          <w:b w:val="0"/>
          <w:i w:val="0"/>
          <w:strike w:val="0"/>
          <w:noProof w:val="0"/>
          <w:color w:val="000000"/>
          <w:position w:val="0"/>
          <w:sz w:val="20"/>
          <w:u w:val="none"/>
          <w:vertAlign w:val="baseline"/>
        </w:rPr>
        <w:t xml:space="preserve"> and $0 for Ruiz's time.</w:t>
      </w:r>
      <w:r>
        <w:rPr>
          <w:rFonts w:ascii="arial" w:eastAsia="arial" w:hAnsi="arial" w:cs="arial"/>
          <w:vertAlign w:val="superscript"/>
        </w:rPr>
        <w:footnoteReference w:customMarkFollows="1" w:id="65"/>
        <w:t xml:space="preserve">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strike w:val="0"/>
          <w:noProof w:val="0"/>
          <w:color w:val="000000"/>
          <w:position w:val="0"/>
          <w:sz w:val="20"/>
          <w:u w:val="none"/>
          <w:vertAlign w:val="baseline"/>
        </w:rPr>
        <w:t>Johnson</w:t>
      </w:r>
      <w:r>
        <w:rPr>
          <w:rFonts w:ascii="arial" w:eastAsia="arial" w:hAnsi="arial" w:cs="arial"/>
          <w:b/>
          <w:i w:val="0"/>
          <w:strike w:val="0"/>
          <w:noProof w:val="0"/>
          <w:color w:val="000000"/>
          <w:position w:val="0"/>
          <w:sz w:val="20"/>
          <w:u w:val="none"/>
          <w:vertAlign w:val="baseline"/>
        </w:rPr>
        <w:t xml:space="preserve"> Factors</w:t>
      </w:r>
    </w:p>
    <w:p>
      <w:pPr>
        <w:keepNext w:val="0"/>
        <w:spacing w:before="200" w:after="0" w:line="260" w:lineRule="atLeast"/>
        <w:ind w:left="0" w:right="0" w:firstLine="0"/>
        <w:jc w:val="both"/>
      </w:pPr>
      <w:bookmarkStart w:id="170" w:name="Bookmark_para_25"/>
      <w:bookmarkEnd w:id="170"/>
      <w:bookmarkStart w:id="171" w:name="Bookmark_I67H31PN2HM6420030000400"/>
      <w:bookmarkEnd w:id="171"/>
      <w:r>
        <w:rPr>
          <w:rFonts w:ascii="arial" w:eastAsia="arial" w:hAnsi="arial" w:cs="arial"/>
          <w:b w:val="0"/>
          <w:i w:val="0"/>
          <w:strike w:val="0"/>
          <w:noProof w:val="0"/>
          <w:color w:val="000000"/>
          <w:position w:val="0"/>
          <w:sz w:val="20"/>
          <w:u w:val="none"/>
          <w:vertAlign w:val="baseline"/>
        </w:rPr>
        <w:t>Once a court has determined the proper lodestar amount, "there is a strong presumption that the lodestar figure is reasonable."</w:t>
      </w:r>
      <w:r>
        <w:rPr>
          <w:rFonts w:ascii="arial" w:eastAsia="arial" w:hAnsi="arial" w:cs="arial"/>
          <w:vertAlign w:val="superscript"/>
        </w:rPr>
        <w:footnoteReference w:customMarkFollows="1" w:id="66"/>
        <w:t xml:space="preserve">65</w:t>
      </w:r>
      <w:r>
        <w:rPr>
          <w:rFonts w:ascii="arial" w:eastAsia="arial" w:hAnsi="arial" w:cs="arial"/>
          <w:b w:val="0"/>
          <w:i w:val="0"/>
          <w:strike w:val="0"/>
          <w:noProof w:val="0"/>
          <w:color w:val="000000"/>
          <w:position w:val="0"/>
          <w:sz w:val="20"/>
          <w:u w:val="none"/>
          <w:vertAlign w:val="baseline"/>
        </w:rPr>
        <w:t xml:space="preserve"> A litigant can overcome that presumption only in "rare circumstances" when "the lodestar does not adequately take into account a factor that may properly be considered in determining a reasonable fee."</w:t>
      </w:r>
      <w:r>
        <w:rPr>
          <w:rFonts w:ascii="arial" w:eastAsia="arial" w:hAnsi="arial" w:cs="arial"/>
          <w:vertAlign w:val="superscript"/>
        </w:rPr>
        <w:footnoteReference w:customMarkFollows="1" w:id="67"/>
        <w:t xml:space="preserve">66</w:t>
      </w:r>
      <w:r>
        <w:rPr>
          <w:rFonts w:ascii="arial" w:eastAsia="arial" w:hAnsi="arial" w:cs="arial"/>
          <w:b w:val="0"/>
          <w:i w:val="0"/>
          <w:strike w:val="0"/>
          <w:noProof w:val="0"/>
          <w:color w:val="000000"/>
          <w:position w:val="0"/>
          <w:sz w:val="20"/>
          <w:u w:val="none"/>
          <w:vertAlign w:val="baseline"/>
        </w:rPr>
        <w:t xml:space="preserve"> Those factors include</w:t>
      </w:r>
    </w:p>
    <w:p>
      <w:pPr>
        <w:keepNext w:val="0"/>
        <w:spacing w:before="200" w:after="0" w:line="260" w:lineRule="atLeast"/>
        <w:ind w:left="400" w:right="0" w:firstLine="0"/>
        <w:jc w:val="both"/>
      </w:pPr>
      <w:bookmarkStart w:id="175" w:name="Bookmark_para_26"/>
      <w:bookmarkEnd w:id="175"/>
      <w:bookmarkStart w:id="176" w:name="Bookmark_I1V8XMJ32GF0000720600019"/>
      <w:bookmarkEnd w:id="176"/>
      <w:bookmarkStart w:id="177" w:name="Bookmark_I67H31PN2HM6420050000400"/>
      <w:bookmarkEnd w:id="177"/>
      <w:r>
        <w:rPr>
          <w:rFonts w:ascii="arial" w:eastAsia="arial" w:hAnsi="arial" w:cs="arial"/>
          <w:b w:val="0"/>
          <w:i w:val="0"/>
          <w:strike w:val="0"/>
          <w:noProof w:val="0"/>
          <w:color w:val="000000"/>
          <w:position w:val="0"/>
          <w:sz w:val="20"/>
          <w:u w:val="none"/>
          <w:vertAlign w:val="baseline"/>
        </w:rPr>
        <w:t>(1) the time and labor required to represent the client or clients; (2) the novelty and difficulty of the issues in the case;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(3) the skill required to perform the legal services properly; (4) the preclusion of other employment by the attorney; (5) the customary fee charged for those services in the relevant community; (6) whether the fee is fixed or contingent; (7) the time limitations imposed by the client or circumstances; (8) the amount involved and the results obtained; (9) the experience, reputation, and ability of the attorney; (10) the undesirability of the case; (11) the nature and length of the professional relationship with the client; and (12) awards in similar cases.</w:t>
      </w:r>
      <w:r>
        <w:rPr>
          <w:rFonts w:ascii="arial" w:eastAsia="arial" w:hAnsi="arial" w:cs="arial"/>
          <w:vertAlign w:val="superscript"/>
        </w:rPr>
        <w:footnoteReference w:customMarkFollows="1" w:id="68"/>
        <w:t xml:space="preserve">67</w:t>
      </w:r>
    </w:p>
    <w:p>
      <w:pPr>
        <w:keepNext w:val="0"/>
        <w:spacing w:before="200" w:after="0" w:line="260" w:lineRule="atLeast"/>
        <w:ind w:left="0" w:right="0" w:firstLine="0"/>
        <w:jc w:val="both"/>
      </w:pPr>
      <w:bookmarkStart w:id="180" w:name="Bookmark_para_27"/>
      <w:bookmarkEnd w:id="180"/>
      <w:bookmarkStart w:id="181" w:name="Bookmark_I67H31PP2D6N4C0020000400"/>
      <w:bookmarkEnd w:id="181"/>
      <w:r>
        <w:rPr>
          <w:rFonts w:ascii="arial" w:eastAsia="arial" w:hAnsi="arial" w:cs="arial"/>
          <w:b w:val="0"/>
          <w:i w:val="0"/>
          <w:strike w:val="0"/>
          <w:noProof w:val="0"/>
          <w:color w:val="000000"/>
          <w:position w:val="0"/>
          <w:sz w:val="20"/>
          <w:u w:val="none"/>
          <w:vertAlign w:val="baseline"/>
        </w:rPr>
        <w:t>First, AT&amp;T focuses on that eighth factor, noting the "low judgment amount of $1,879.54" and thus arguing that the Employees' attorneys weren't all that successful.</w:t>
      </w:r>
      <w:r>
        <w:rPr>
          <w:rFonts w:ascii="arial" w:eastAsia="arial" w:hAnsi="arial" w:cs="arial"/>
          <w:vertAlign w:val="superscript"/>
        </w:rPr>
        <w:footnoteReference w:customMarkFollows="1" w:id="69"/>
        <w:t xml:space="preserve">68</w:t>
      </w:r>
      <w:r>
        <w:rPr>
          <w:rFonts w:ascii="arial" w:eastAsia="arial" w:hAnsi="arial" w:cs="arial"/>
          <w:b w:val="0"/>
          <w:i w:val="0"/>
          <w:strike w:val="0"/>
          <w:noProof w:val="0"/>
          <w:color w:val="000000"/>
          <w:position w:val="0"/>
          <w:sz w:val="20"/>
          <w:u w:val="none"/>
          <w:vertAlign w:val="baseline"/>
        </w:rPr>
        <w:t xml:space="preserve"> Further, AT&amp;T argues, the ratio between the proposed attorney fees ($93,636.25) and the judgment amount ($1,879.54) contravenes caselaw disallowing such extreme ratios and requiring proportionality.</w:t>
      </w:r>
      <w:r>
        <w:rPr>
          <w:rFonts w:ascii="arial" w:eastAsia="arial" w:hAnsi="arial" w:cs="arial"/>
          <w:vertAlign w:val="superscript"/>
        </w:rPr>
        <w:footnoteReference w:customMarkFollows="1" w:id="70"/>
        <w:t xml:space="preserve">69</w:t>
      </w:r>
    </w:p>
    <w:p>
      <w:pPr>
        <w:keepNext w:val="0"/>
        <w:spacing w:before="200" w:after="0" w:line="260" w:lineRule="atLeast"/>
        <w:ind w:left="0" w:right="0" w:firstLine="0"/>
        <w:jc w:val="both"/>
      </w:pPr>
      <w:bookmarkStart w:id="185" w:name="Bookmark_para_28"/>
      <w:bookmarkEnd w:id="185"/>
      <w:bookmarkStart w:id="186" w:name="Bookmark_I67H31PP2D6N4C0040000400"/>
      <w:bookmarkEnd w:id="186"/>
      <w:bookmarkStart w:id="187" w:name="Bookmark_I67H31PP2SF89S0010000400"/>
      <w:bookmarkEnd w:id="187"/>
      <w:r>
        <w:rPr>
          <w:rFonts w:ascii="arial" w:eastAsia="arial" w:hAnsi="arial" w:cs="arial"/>
          <w:b w:val="0"/>
          <w:i w:val="0"/>
          <w:strike w:val="0"/>
          <w:noProof w:val="0"/>
          <w:color w:val="000000"/>
          <w:position w:val="0"/>
          <w:sz w:val="20"/>
          <w:u w:val="none"/>
          <w:vertAlign w:val="baseline"/>
        </w:rPr>
        <w:t xml:space="preserve">The Court disagrees. "[T]here is no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proportionality rule."</w:t>
      </w:r>
      <w:r>
        <w:rPr>
          <w:rFonts w:ascii="arial" w:eastAsia="arial" w:hAnsi="arial" w:cs="arial"/>
          <w:vertAlign w:val="superscript"/>
        </w:rPr>
        <w:footnoteReference w:customMarkFollows="1" w:id="71"/>
        <w:t xml:space="preserve">70</w:t>
      </w:r>
      <w:r>
        <w:rPr>
          <w:rFonts w:ascii="arial" w:eastAsia="arial" w:hAnsi="arial" w:cs="arial"/>
          <w:b w:val="0"/>
          <w:i w:val="0"/>
          <w:strike w:val="0"/>
          <w:noProof w:val="0"/>
          <w:color w:val="000000"/>
          <w:position w:val="0"/>
          <w:sz w:val="20"/>
          <w:u w:val="none"/>
          <w:vertAlign w:val="baseline"/>
        </w:rPr>
        <w:t xml:space="preserve"> And strict proportionality would contravene "the FLSA attorneys' fee provision, which provides an incentive for attorneys to take up meritorious claims that would ordinarily result in relatively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small awards."</w:t>
      </w:r>
      <w:r>
        <w:rPr>
          <w:rFonts w:ascii="arial" w:eastAsia="arial" w:hAnsi="arial" w:cs="arial"/>
          <w:vertAlign w:val="superscript"/>
        </w:rPr>
        <w:footnoteReference w:customMarkFollows="1" w:id="72"/>
        <w:t xml:space="preserve">71</w:t>
      </w:r>
      <w:r>
        <w:rPr>
          <w:rFonts w:ascii="arial" w:eastAsia="arial" w:hAnsi="arial" w:cs="arial"/>
          <w:b w:val="0"/>
          <w:i w:val="0"/>
          <w:strike w:val="0"/>
          <w:noProof w:val="0"/>
          <w:color w:val="000000"/>
          <w:position w:val="0"/>
          <w:sz w:val="20"/>
          <w:u w:val="none"/>
          <w:vertAlign w:val="baseline"/>
        </w:rPr>
        <w:t xml:space="preserve"> Thus, it's unsurprising that, in the FLSA context, "the difference in the results achieved and the attorneys' fees awarded is likely to be substantial."</w:t>
      </w:r>
      <w:r>
        <w:rPr>
          <w:rFonts w:ascii="arial" w:eastAsia="arial" w:hAnsi="arial" w:cs="arial"/>
          <w:vertAlign w:val="superscript"/>
        </w:rPr>
        <w:footnoteReference w:customMarkFollows="1" w:id="73"/>
        <w:t xml:space="preserve">72</w:t>
      </w:r>
    </w:p>
    <w:p>
      <w:pPr>
        <w:keepNext w:val="0"/>
        <w:spacing w:before="200" w:after="0" w:line="260" w:lineRule="atLeast"/>
        <w:ind w:left="0" w:right="0" w:firstLine="0"/>
        <w:jc w:val="both"/>
      </w:pPr>
      <w:bookmarkStart w:id="193" w:name="Bookmark_para_29"/>
      <w:bookmarkEnd w:id="193"/>
      <w:r>
        <w:rPr>
          <w:rFonts w:ascii="arial" w:eastAsia="arial" w:hAnsi="arial" w:cs="arial"/>
          <w:b w:val="0"/>
          <w:i w:val="0"/>
          <w:strike w:val="0"/>
          <w:noProof w:val="0"/>
          <w:color w:val="000000"/>
          <w:position w:val="0"/>
          <w:sz w:val="20"/>
          <w:u w:val="none"/>
          <w:vertAlign w:val="baseline"/>
        </w:rPr>
        <w:t xml:space="preserve">Second, AT&amp;T argues that the second </w:t>
      </w:r>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 factor supports a downward adjustment because "[t]his was a straightforward case that did not present complicated legal issues."</w:t>
      </w:r>
      <w:r>
        <w:rPr>
          <w:rFonts w:ascii="arial" w:eastAsia="arial" w:hAnsi="arial" w:cs="arial"/>
          <w:vertAlign w:val="superscript"/>
        </w:rPr>
        <w:footnoteReference w:customMarkFollows="1" w:id="74"/>
        <w:t xml:space="preserve">73</w:t>
      </w:r>
      <w:r>
        <w:rPr>
          <w:rFonts w:ascii="arial" w:eastAsia="arial" w:hAnsi="arial" w:cs="arial"/>
          <w:b w:val="0"/>
          <w:i w:val="0"/>
          <w:strike w:val="0"/>
          <w:noProof w:val="0"/>
          <w:color w:val="000000"/>
          <w:position w:val="0"/>
          <w:sz w:val="20"/>
          <w:u w:val="none"/>
          <w:vertAlign w:val="baseline"/>
        </w:rPr>
        <w:t xml:space="preserve"> The Court disagrees. AT&amp;T provided "hundreds of thousands of lines of raw data" during discovery that the Employees' counsel had to sift through, which added factual complexity to this case.</w:t>
      </w:r>
      <w:r>
        <w:rPr>
          <w:rFonts w:ascii="arial" w:eastAsia="arial" w:hAnsi="arial" w:cs="arial"/>
          <w:vertAlign w:val="superscript"/>
        </w:rPr>
        <w:footnoteReference w:customMarkFollows="1" w:id="75"/>
        <w:t xml:space="preserve">74</w:t>
      </w:r>
      <w:r>
        <w:rPr>
          <w:rFonts w:ascii="arial" w:eastAsia="arial" w:hAnsi="arial" w:cs="arial"/>
          <w:b w:val="0"/>
          <w:i w:val="0"/>
          <w:strike w:val="0"/>
          <w:noProof w:val="0"/>
          <w:color w:val="000000"/>
          <w:position w:val="0"/>
          <w:sz w:val="20"/>
          <w:u w:val="none"/>
          <w:vertAlign w:val="baseline"/>
        </w:rPr>
        <w:t xml:space="preserve"> Accordingly, the Court will not adjust downward on the ground of simplicity.</w:t>
      </w:r>
    </w:p>
    <w:p>
      <w:pPr>
        <w:keepNext w:val="0"/>
        <w:spacing w:before="200" w:after="0" w:line="260" w:lineRule="atLeast"/>
        <w:ind w:left="0" w:right="0" w:firstLine="0"/>
        <w:jc w:val="both"/>
      </w:pPr>
      <w:bookmarkStart w:id="196" w:name="Bookmark_para_30"/>
      <w:bookmarkEnd w:id="196"/>
      <w:r>
        <w:rPr>
          <w:rFonts w:ascii="arial" w:eastAsia="arial" w:hAnsi="arial" w:cs="arial"/>
          <w:b w:val="0"/>
          <w:i w:val="0"/>
          <w:strike w:val="0"/>
          <w:noProof w:val="0"/>
          <w:color w:val="000000"/>
          <w:position w:val="0"/>
          <w:sz w:val="20"/>
          <w:u w:val="none"/>
          <w:vertAlign w:val="baseline"/>
        </w:rPr>
        <w:t xml:space="preserve">Third, AT&amp;T confusingly contends that the fourth </w:t>
      </w:r>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 factor supports a downward adjustment because the Employees' "senior lawyers were precluded from taking on other matters by their work on this case" only because they "perform[ed] nearly all tasks personally rather than engaging in appropriate delegation to more junior lawyers."</w:t>
      </w:r>
      <w:r>
        <w:rPr>
          <w:rFonts w:ascii="arial" w:eastAsia="arial" w:hAnsi="arial" w:cs="arial"/>
          <w:vertAlign w:val="superscript"/>
        </w:rPr>
        <w:footnoteReference w:customMarkFollows="1" w:id="76"/>
        <w:t xml:space="preserve">75</w:t>
      </w:r>
      <w:r>
        <w:rPr>
          <w:rFonts w:ascii="arial" w:eastAsia="arial" w:hAnsi="arial" w:cs="arial"/>
          <w:b w:val="0"/>
          <w:i w:val="0"/>
          <w:strike w:val="0"/>
          <w:noProof w:val="0"/>
          <w:color w:val="000000"/>
          <w:position w:val="0"/>
          <w:sz w:val="20"/>
          <w:u w:val="none"/>
          <w:vertAlign w:val="baseline"/>
        </w:rPr>
        <w:t xml:space="preserve"> AT&amp;T doesn't explain how the lawyers' preclusion from other matters supports a downward adjustment, so its curt </w:t>
      </w:r>
      <w:r>
        <w:rPr>
          <w:rFonts w:ascii="arial" w:eastAsia="arial" w:hAnsi="arial" w:cs="arial"/>
          <w:b w:val="0"/>
          <w:i/>
          <w:strike w:val="0"/>
          <w:noProof w:val="0"/>
          <w:color w:val="000000"/>
          <w:position w:val="0"/>
          <w:sz w:val="20"/>
          <w:u w:val="none"/>
          <w:vertAlign w:val="baseline"/>
        </w:rPr>
        <w:t>non sequitur</w:t>
      </w:r>
      <w:r>
        <w:rPr>
          <w:rFonts w:ascii="arial" w:eastAsia="arial" w:hAnsi="arial" w:cs="arial"/>
          <w:b w:val="0"/>
          <w:i w:val="0"/>
          <w:strike w:val="0"/>
          <w:noProof w:val="0"/>
          <w:color w:val="000000"/>
          <w:position w:val="0"/>
          <w:sz w:val="20"/>
          <w:u w:val="none"/>
          <w:vertAlign w:val="baseline"/>
        </w:rPr>
        <w:t xml:space="preserve"> fails to show that this is the sort of "rare case" on which the Court should adjust downward.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98" w:name="Bookmark_para_31"/>
      <w:bookmarkEnd w:id="198"/>
      <w:r>
        <w:rPr>
          <w:rFonts w:ascii="arial" w:eastAsia="arial" w:hAnsi="arial" w:cs="arial"/>
          <w:b w:val="0"/>
          <w:i w:val="0"/>
          <w:strike w:val="0"/>
          <w:noProof w:val="0"/>
          <w:color w:val="000000"/>
          <w:position w:val="0"/>
          <w:sz w:val="20"/>
          <w:u w:val="none"/>
          <w:vertAlign w:val="baseline"/>
        </w:rPr>
        <w:t>For the foregoing reasons,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Court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the motion and </w:t>
      </w:r>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AT&amp;T to pay the Employees $47,449.70 in attorney fees.</w:t>
      </w:r>
    </w:p>
    <w:p>
      <w:pPr>
        <w:keepNext w:val="0"/>
        <w:spacing w:before="200" w:after="0" w:line="260" w:lineRule="atLeast"/>
        <w:ind w:left="0" w:right="0" w:firstLine="0"/>
        <w:jc w:val="both"/>
      </w:pPr>
      <w:bookmarkStart w:id="199" w:name="Bookmark_para_32"/>
      <w:bookmarkEnd w:id="199"/>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 xml:space="preserve"> this 2nd day of February, 2023.</w:t>
      </w:r>
    </w:p>
    <w:p>
      <w:pPr>
        <w:keepNext w:val="0"/>
        <w:spacing w:before="200" w:after="0" w:line="260" w:lineRule="atLeast"/>
        <w:ind w:left="0" w:right="0" w:firstLine="0"/>
        <w:jc w:val="both"/>
      </w:pPr>
      <w:bookmarkStart w:id="200" w:name="Bookmark_para_33"/>
      <w:bookmarkEnd w:id="200"/>
      <w:r>
        <w:rPr>
          <w:rFonts w:ascii="arial" w:eastAsia="arial" w:hAnsi="arial" w:cs="arial"/>
          <w:b w:val="0"/>
          <w:i w:val="0"/>
          <w:strike w:val="0"/>
          <w:noProof w:val="0"/>
          <w:color w:val="000000"/>
          <w:position w:val="0"/>
          <w:sz w:val="20"/>
          <w:u w:val="none"/>
          <w:vertAlign w:val="baseline"/>
        </w:rPr>
        <w:t>/s/ Brantley Starr</w:t>
      </w:r>
    </w:p>
    <w:p>
      <w:pPr>
        <w:keepNext w:val="0"/>
        <w:spacing w:before="200" w:after="0" w:line="260" w:lineRule="atLeast"/>
        <w:ind w:left="0" w:right="0" w:firstLine="0"/>
        <w:jc w:val="both"/>
      </w:pPr>
      <w:bookmarkStart w:id="201" w:name="Bookmark_para_34"/>
      <w:bookmarkEnd w:id="201"/>
      <w:r>
        <w:rPr>
          <w:rFonts w:ascii="arial" w:eastAsia="arial" w:hAnsi="arial" w:cs="arial"/>
          <w:b w:val="0"/>
          <w:i w:val="0"/>
          <w:strike w:val="0"/>
          <w:noProof w:val="0"/>
          <w:color w:val="000000"/>
          <w:position w:val="0"/>
          <w:sz w:val="20"/>
          <w:u w:val="none"/>
          <w:vertAlign w:val="baseline"/>
        </w:rPr>
        <w:t>BRANTLEY STARR</w:t>
      </w:r>
    </w:p>
    <w:p>
      <w:pPr>
        <w:keepNext w:val="0"/>
        <w:spacing w:before="200" w:after="0" w:line="260" w:lineRule="atLeast"/>
        <w:ind w:left="0" w:right="0" w:firstLine="0"/>
        <w:jc w:val="both"/>
      </w:pPr>
      <w:bookmarkStart w:id="202" w:name="Bookmark_para_35"/>
      <w:bookmarkEnd w:id="202"/>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The Employees also request fees for an attorney named Michael Hallock. Doc. No. 45 at 6. But Dunn's affidavit notes that he "waived the billing for [Hallock's] activity." Doc. No. 46-2 at 5. Because the Employees provide no evidence of Hallock's billed hours, the Court awards no attorney fees for Hallock's work on this matter.</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hyperlink r:id="rId1" w:history="1">
        <w:r>
          <w:rPr>
            <w:rFonts w:ascii="arial" w:eastAsia="arial" w:hAnsi="arial" w:cs="arial"/>
            <w:b w:val="0"/>
            <w:i/>
            <w:strike w:val="0"/>
            <w:noProof w:val="0"/>
            <w:color w:val="0077CC"/>
            <w:position w:val="0"/>
            <w:sz w:val="18"/>
            <w:u w:val="single"/>
            <w:vertAlign w:val="baseline"/>
          </w:rPr>
          <w:t>29 U.S.C. § 216(b)</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5" w:name="Bookmark_fnpara_3"/>
      <w:bookmarkEnd w:id="15"/>
      <w:bookmarkStart w:id="16" w:name="Bookmark_I67H31PH28T3XC0010000400"/>
      <w:bookmarkEnd w:id="16"/>
      <w:hyperlink r:id="rId2" w:history="1">
        <w:r>
          <w:rPr>
            <w:rFonts w:ascii="arial" w:eastAsia="arial" w:hAnsi="arial" w:cs="arial"/>
            <w:b w:val="0"/>
            <w:i/>
            <w:strike w:val="0"/>
            <w:noProof w:val="0"/>
            <w:color w:val="0077CC"/>
            <w:position w:val="0"/>
            <w:sz w:val="18"/>
            <w:u w:val="single"/>
            <w:vertAlign w:val="baseline"/>
          </w:rPr>
          <w:t>Wegner v. Standard Ins. Co.</w:t>
        </w:r>
      </w:hyperlink>
      <w:hyperlink r:id="rId2" w:history="1">
        <w:r>
          <w:rPr>
            <w:rFonts w:ascii="arial" w:eastAsia="arial" w:hAnsi="arial" w:cs="arial"/>
            <w:b w:val="0"/>
            <w:i/>
            <w:strike w:val="0"/>
            <w:noProof w:val="0"/>
            <w:color w:val="0077CC"/>
            <w:position w:val="0"/>
            <w:sz w:val="18"/>
            <w:u w:val="single"/>
            <w:vertAlign w:val="baseline"/>
          </w:rPr>
          <w:t>, 129 F.3d 814, 822 (5th Cir. 1997)</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7" w:name="Bookmark_fnpara_4"/>
      <w:bookmarkEnd w:id="1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(cleaned up).</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8" w:name="Bookmark_fnpara_5"/>
      <w:bookmarkEnd w:id="18"/>
      <w:r>
        <w:rPr>
          <w:rFonts w:ascii="arial" w:eastAsia="arial" w:hAnsi="arial" w:cs="arial"/>
          <w:b w:val="0"/>
          <w:i/>
          <w:strike w:val="0"/>
          <w:noProof w:val="0"/>
          <w:color w:val="000000"/>
          <w:position w:val="0"/>
          <w:sz w:val="18"/>
          <w:u w:val="none"/>
          <w:vertAlign w:val="baseline"/>
        </w:rPr>
        <w:t>Id.</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1" w:name="Bookmark_fnpara_6"/>
      <w:bookmarkEnd w:id="21"/>
      <w:bookmarkStart w:id="22" w:name="Bookmark_I67H31PH28T3XC0030000400"/>
      <w:bookmarkEnd w:id="22"/>
      <w:hyperlink r:id="rId3" w:history="1">
        <w:r>
          <w:rPr>
            <w:rFonts w:ascii="arial" w:eastAsia="arial" w:hAnsi="arial" w:cs="arial"/>
            <w:b w:val="0"/>
            <w:i/>
            <w:strike w:val="0"/>
            <w:noProof w:val="0"/>
            <w:color w:val="0077CC"/>
            <w:position w:val="0"/>
            <w:sz w:val="18"/>
            <w:u w:val="single"/>
            <w:vertAlign w:val="baseline"/>
          </w:rPr>
          <w:t>Tovar v. Sw. Bell Tel., L.P.</w:t>
        </w:r>
      </w:hyperlink>
      <w:hyperlink r:id="rId3" w:history="1">
        <w:r>
          <w:rPr>
            <w:rFonts w:ascii="arial" w:eastAsia="arial" w:hAnsi="arial" w:cs="arial"/>
            <w:b w:val="0"/>
            <w:i/>
            <w:strike w:val="0"/>
            <w:noProof w:val="0"/>
            <w:color w:val="0077CC"/>
            <w:position w:val="0"/>
            <w:sz w:val="18"/>
            <w:u w:val="single"/>
            <w:vertAlign w:val="baseline"/>
          </w:rPr>
          <w:t>, No. 3:20-CV-1455-B, 2022 U.S. Dist. LEXIS 112749, 2022 WL 2306926, at *4 (N.D. Tex. June 27, 2022)</w:t>
        </w:r>
      </w:hyperlink>
      <w:r>
        <w:rPr>
          <w:rFonts w:ascii="arial" w:eastAsia="arial" w:hAnsi="arial" w:cs="arial"/>
          <w:b w:val="0"/>
          <w:i w:val="0"/>
          <w:strike w:val="0"/>
          <w:noProof w:val="0"/>
          <w:color w:val="000000"/>
          <w:position w:val="0"/>
          <w:sz w:val="18"/>
          <w:u w:val="none"/>
          <w:vertAlign w:val="baseline"/>
        </w:rPr>
        <w:t xml:space="preserve"> (Boyle, J.).</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3" w:name="Bookmark_fnpara_7"/>
      <w:bookmarkEnd w:id="2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(cleaned up).</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5" w:name="Bookmark_fnpara_8"/>
      <w:bookmarkEnd w:id="25"/>
      <w:bookmarkStart w:id="26" w:name="Bookmark_I67H31PH28T3XH0010000400"/>
      <w:bookmarkEnd w:id="26"/>
      <w:r>
        <w:rPr>
          <w:rFonts w:ascii="arial" w:eastAsia="arial" w:hAnsi="arial" w:cs="arial"/>
          <w:b w:val="0"/>
          <w:i w:val="0"/>
          <w:strike w:val="0"/>
          <w:noProof w:val="0"/>
          <w:color w:val="000000"/>
          <w:position w:val="0"/>
          <w:sz w:val="18"/>
          <w:u w:val="none"/>
          <w:vertAlign w:val="baseline"/>
        </w:rPr>
        <w:t xml:space="preserve">The Employees' math seems to be a bit off. That's not shocking, as their lawyers made a similar error in a related case. </w:t>
      </w:r>
      <w:r>
        <w:rPr>
          <w:rFonts w:ascii="arial" w:eastAsia="arial" w:hAnsi="arial" w:cs="arial"/>
          <w:b w:val="0"/>
          <w:i/>
          <w:strike w:val="0"/>
          <w:noProof w:val="0"/>
          <w:color w:val="000000"/>
          <w:position w:val="0"/>
          <w:sz w:val="18"/>
          <w:u w:val="none"/>
          <w:vertAlign w:val="baseline"/>
        </w:rPr>
        <w:t xml:space="preserve">See </w:t>
      </w:r>
      <w:bookmarkStart w:id="27" w:name="Bookmark_I67H31PH28T3XC0050000400"/>
      <w:bookmarkEnd w:id="27"/>
      <w:hyperlink r:id="rId3" w:history="1">
        <w:r>
          <w:rPr>
            <w:rFonts w:ascii="arial" w:eastAsia="arial" w:hAnsi="arial" w:cs="arial"/>
            <w:b w:val="0"/>
            <w:i/>
            <w:strike w:val="0"/>
            <w:noProof w:val="0"/>
            <w:color w:val="0077CC"/>
            <w:position w:val="0"/>
            <w:sz w:val="18"/>
            <w:u w:val="single"/>
            <w:vertAlign w:val="baseline"/>
          </w:rPr>
          <w:t>2022 U.S. Dist. LEXIS 112749, [WL] at *2 n.7</w:t>
        </w:r>
      </w:hyperlink>
      <w:r>
        <w:rPr>
          <w:rFonts w:ascii="arial" w:eastAsia="arial" w:hAnsi="arial" w:cs="arial"/>
          <w:b w:val="0"/>
          <w:i w:val="0"/>
          <w:strike w:val="0"/>
          <w:noProof w:val="0"/>
          <w:color w:val="000000"/>
          <w:position w:val="0"/>
          <w:sz w:val="18"/>
          <w:u w:val="none"/>
          <w:vertAlign w:val="baseline"/>
        </w:rPr>
        <w:t xml:space="preserve"> ("The actual sum of charges between the three attorneys is $92,777.75, but Plaintiffs claim $92,777.45 in their motion."). The Employees assert that Braziel worked 38.4 hours at a rate of $650 per hour, which equals $24,960. Doc. No. 46-1 at 8-11. They assert that Ruiz worked 4.8 hours at a rate of $195 per hour, which equals $936.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They assert that Beck worked 11.3 hours at a rate of $350 per hour, which equals $3,955.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They assert that Dunn worked 97.3 hours at a rate of $595, which equals $57,893.50. Doc. No. 46-2 at 1-6. They assert that Brown billed 12.15 hours at a rate of $590 per hour, which equals $7,168.50.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14. But the Employees only seek $7,022.25 for Brown.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 That's likely because Brown appears to have erroneously reduced his rate to $5 for one of his entries.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21. In any event, adding those numbers ($24,960 + $936 + $3,955 + $57,893.50 + $7,168.50), the Court gets $94,913, which is $1,276.75 more than the $93,636.25 that the Employees requested. Because the Employees don't show their work, the Court cannot determine where they took $1,276.75 off their requested fees. In any event, the Court will determine the appropriate attorney fees based on the lodestar method, regardless of the Employees' math error and regardless of Brown's erroneous billing rate.</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37" w:name="Bookmark_fnpara_9"/>
      <w:bookmarkEnd w:id="37"/>
      <w:bookmarkStart w:id="38" w:name="Bookmark_I67H31PH28T3XH0020000400"/>
      <w:bookmarkEnd w:id="38"/>
      <w:hyperlink r:id="rId4" w:history="1">
        <w:r>
          <w:rPr>
            <w:rFonts w:ascii="arial" w:eastAsia="arial" w:hAnsi="arial" w:cs="arial"/>
            <w:b w:val="0"/>
            <w:i/>
            <w:strike w:val="0"/>
            <w:noProof w:val="0"/>
            <w:color w:val="0077CC"/>
            <w:position w:val="0"/>
            <w:sz w:val="18"/>
            <w:u w:val="single"/>
            <w:vertAlign w:val="baseline"/>
          </w:rPr>
          <w:t>Tollett v. City of Kemah</w:t>
        </w:r>
      </w:hyperlink>
      <w:hyperlink r:id="rId4" w:history="1">
        <w:r>
          <w:rPr>
            <w:rFonts w:ascii="arial" w:eastAsia="arial" w:hAnsi="arial" w:cs="arial"/>
            <w:b w:val="0"/>
            <w:i/>
            <w:strike w:val="0"/>
            <w:noProof w:val="0"/>
            <w:color w:val="0077CC"/>
            <w:position w:val="0"/>
            <w:sz w:val="18"/>
            <w:u w:val="single"/>
            <w:vertAlign w:val="baseline"/>
          </w:rPr>
          <w:t>, 285 F.3d 357, 368 (5th Cir. 2002)</w:t>
        </w:r>
      </w:hyperlink>
      <w:r>
        <w:rPr>
          <w:rFonts w:ascii="arial" w:eastAsia="arial" w:hAnsi="arial" w:cs="arial"/>
          <w:b w:val="0"/>
          <w:i w:val="0"/>
          <w:strike w:val="0"/>
          <w:noProof w:val="0"/>
          <w:color w:val="000000"/>
          <w:position w:val="0"/>
          <w:sz w:val="18"/>
          <w:u w:val="none"/>
          <w:vertAlign w:val="baseline"/>
        </w:rPr>
        <w:t xml:space="preserve"> (cleaned up).</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39" w:name="Bookmark_fnpara_10"/>
      <w:bookmarkEnd w:id="39"/>
      <w:bookmarkStart w:id="40" w:name="Bookmark_I67H31PH28T3XH0040000400"/>
      <w:bookmarkEnd w:id="40"/>
      <w:hyperlink r:id="rId3" w:history="1">
        <w:r>
          <w:rPr>
            <w:rFonts w:ascii="arial" w:eastAsia="arial" w:hAnsi="arial" w:cs="arial"/>
            <w:b w:val="0"/>
            <w:i/>
            <w:strike w:val="0"/>
            <w:noProof w:val="0"/>
            <w:color w:val="0077CC"/>
            <w:position w:val="0"/>
            <w:sz w:val="18"/>
            <w:u w:val="single"/>
            <w:vertAlign w:val="baseline"/>
          </w:rPr>
          <w:t>Tovar</w:t>
        </w:r>
      </w:hyperlink>
      <w:hyperlink r:id="rId3" w:history="1">
        <w:r>
          <w:rPr>
            <w:rFonts w:ascii="arial" w:eastAsia="arial" w:hAnsi="arial" w:cs="arial"/>
            <w:b w:val="0"/>
            <w:i/>
            <w:strike w:val="0"/>
            <w:noProof w:val="0"/>
            <w:color w:val="0077CC"/>
            <w:position w:val="0"/>
            <w:sz w:val="18"/>
            <w:u w:val="single"/>
            <w:vertAlign w:val="baseline"/>
          </w:rPr>
          <w:t>, 2022 U.S. Dist. LEXIS 112749, 2022 WL 2306926, at *3</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41" w:name="Bookmark_fnpara_11"/>
      <w:bookmarkEnd w:id="41"/>
      <w:bookmarkStart w:id="42" w:name="Bookmark_I67H31PH2N1RJ00010000400"/>
      <w:bookmarkEnd w:id="42"/>
      <w:hyperlink r:id="rId3" w:history="1">
        <w:r>
          <w:rPr>
            <w:rFonts w:ascii="arial" w:eastAsia="arial" w:hAnsi="arial" w:cs="arial"/>
            <w:b w:val="0"/>
            <w:i/>
            <w:strike w:val="0"/>
            <w:noProof w:val="0"/>
            <w:color w:val="0077CC"/>
            <w:position w:val="0"/>
            <w:sz w:val="18"/>
            <w:u w:val="single"/>
            <w:vertAlign w:val="baseline"/>
          </w:rPr>
          <w:t>2022 U.S. Dist. LEXIS 112749, [WL] at *4</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43" w:name="Bookmark_fnpara_12"/>
      <w:bookmarkEnd w:id="43"/>
      <w:bookmarkStart w:id="44" w:name="Bookmark_I67H31PH2N1RJ00030000400"/>
      <w:bookmarkEnd w:id="44"/>
      <w:hyperlink r:id="rId5" w:history="1">
        <w:r>
          <w:rPr>
            <w:rFonts w:ascii="arial" w:eastAsia="arial" w:hAnsi="arial" w:cs="arial"/>
            <w:b w:val="0"/>
            <w:i/>
            <w:strike w:val="0"/>
            <w:noProof w:val="0"/>
            <w:color w:val="0077CC"/>
            <w:position w:val="0"/>
            <w:sz w:val="18"/>
            <w:u w:val="single"/>
            <w:vertAlign w:val="baseline"/>
          </w:rPr>
          <w:t>Meadows v. Latshaw Drilling Co.</w:t>
        </w:r>
      </w:hyperlink>
      <w:hyperlink r:id="rId5" w:history="1">
        <w:r>
          <w:rPr>
            <w:rFonts w:ascii="arial" w:eastAsia="arial" w:hAnsi="arial" w:cs="arial"/>
            <w:b w:val="0"/>
            <w:i/>
            <w:strike w:val="0"/>
            <w:noProof w:val="0"/>
            <w:color w:val="0077CC"/>
            <w:position w:val="0"/>
            <w:sz w:val="18"/>
            <w:u w:val="single"/>
            <w:vertAlign w:val="baseline"/>
          </w:rPr>
          <w:t>, No. 3:15-CV-1173-N, 2020 U.S. Dist. LEXIS 9388, 2020 WL 291582, at *3 (N.D. Tex. Jan. 21, 2020)</w:t>
        </w:r>
      </w:hyperlink>
      <w:r>
        <w:rPr>
          <w:rFonts w:ascii="arial" w:eastAsia="arial" w:hAnsi="arial" w:cs="arial"/>
          <w:b w:val="0"/>
          <w:i w:val="0"/>
          <w:strike w:val="0"/>
          <w:noProof w:val="0"/>
          <w:color w:val="000000"/>
          <w:position w:val="0"/>
          <w:sz w:val="18"/>
          <w:u w:val="none"/>
          <w:vertAlign w:val="baseline"/>
        </w:rPr>
        <w:t xml:space="preserve"> (Godbey, J.).</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45" w:name="Bookmark_fnpara_13"/>
      <w:bookmarkEnd w:id="45"/>
      <w:bookmarkStart w:id="46" w:name="Bookmark_I67H31PH2N1RJ00050000400"/>
      <w:bookmarkEnd w:id="46"/>
      <w:hyperlink r:id="rId6" w:history="1">
        <w:r>
          <w:rPr>
            <w:rFonts w:ascii="arial" w:eastAsia="arial" w:hAnsi="arial" w:cs="arial"/>
            <w:b w:val="0"/>
            <w:i/>
            <w:strike w:val="0"/>
            <w:noProof w:val="0"/>
            <w:color w:val="0077CC"/>
            <w:position w:val="0"/>
            <w:sz w:val="18"/>
            <w:u w:val="single"/>
            <w:vertAlign w:val="baseline"/>
          </w:rPr>
          <w:t>Sheffield v. Stewart Builders, Inc.</w:t>
        </w:r>
      </w:hyperlink>
      <w:hyperlink r:id="rId6" w:history="1">
        <w:r>
          <w:rPr>
            <w:rFonts w:ascii="arial" w:eastAsia="arial" w:hAnsi="arial" w:cs="arial"/>
            <w:b w:val="0"/>
            <w:i/>
            <w:strike w:val="0"/>
            <w:noProof w:val="0"/>
            <w:color w:val="0077CC"/>
            <w:position w:val="0"/>
            <w:sz w:val="18"/>
            <w:u w:val="single"/>
            <w:vertAlign w:val="baseline"/>
          </w:rPr>
          <w:t>, No. CV H-19-1030, 2021 U.S. Dist. LEXIS 48116, 2021 WL 951897, at *5 (S.D. Tex. 10, 2021)</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47" w:name="Bookmark_fnpara_14"/>
      <w:bookmarkEnd w:id="47"/>
      <w:bookmarkStart w:id="48" w:name="Bookmark_I67H31PJ2N1RJ10020000400"/>
      <w:bookmarkEnd w:id="48"/>
      <w:hyperlink r:id="rId5" w:history="1">
        <w:r>
          <w:rPr>
            <w:rFonts w:ascii="arial" w:eastAsia="arial" w:hAnsi="arial" w:cs="arial"/>
            <w:b w:val="0"/>
            <w:i/>
            <w:strike w:val="0"/>
            <w:noProof w:val="0"/>
            <w:color w:val="0077CC"/>
            <w:position w:val="0"/>
            <w:sz w:val="18"/>
            <w:u w:val="single"/>
            <w:vertAlign w:val="baseline"/>
          </w:rPr>
          <w:t>Meadows</w:t>
        </w:r>
      </w:hyperlink>
      <w:hyperlink r:id="rId5" w:history="1">
        <w:r>
          <w:rPr>
            <w:rFonts w:ascii="arial" w:eastAsia="arial" w:hAnsi="arial" w:cs="arial"/>
            <w:b w:val="0"/>
            <w:i/>
            <w:strike w:val="0"/>
            <w:noProof w:val="0"/>
            <w:color w:val="0077CC"/>
            <w:position w:val="0"/>
            <w:sz w:val="18"/>
            <w:u w:val="single"/>
            <w:vertAlign w:val="baseline"/>
          </w:rPr>
          <w:t>, 2020 U.S. Dist. LEXIS 9388, 2020 WL 291582, at *3</w:t>
        </w:r>
      </w:hyperlink>
      <w:r>
        <w:rPr>
          <w:rFonts w:ascii="arial" w:eastAsia="arial" w:hAnsi="arial" w:cs="arial"/>
          <w:b w:val="0"/>
          <w:i w:val="0"/>
          <w:strike w:val="0"/>
          <w:noProof w:val="0"/>
          <w:color w:val="000000"/>
          <w:position w:val="0"/>
          <w:sz w:val="18"/>
          <w:u w:val="none"/>
          <w:vertAlign w:val="baseline"/>
        </w:rPr>
        <w:t xml:space="preserve"> ("Plaintiffs' attorneys' rates range from $275.00 to $410.00 for 3.5 to 21 years of experience."); </w:t>
      </w:r>
      <w:bookmarkStart w:id="49" w:name="Bookmark_I67H31PJ2N1RJ10040000400"/>
      <w:bookmarkEnd w:id="49"/>
      <w:hyperlink r:id="rId7" w:history="1">
        <w:r>
          <w:rPr>
            <w:rFonts w:ascii="arial" w:eastAsia="arial" w:hAnsi="arial" w:cs="arial"/>
            <w:b w:val="0"/>
            <w:i/>
            <w:strike w:val="0"/>
            <w:noProof w:val="0"/>
            <w:color w:val="0077CC"/>
            <w:position w:val="0"/>
            <w:sz w:val="18"/>
            <w:u w:val="single"/>
            <w:vertAlign w:val="baseline"/>
          </w:rPr>
          <w:t>Sifuentes v. KC Renovations, Inc.</w:t>
        </w:r>
      </w:hyperlink>
      <w:hyperlink r:id="rId7" w:history="1">
        <w:r>
          <w:rPr>
            <w:rFonts w:ascii="arial" w:eastAsia="arial" w:hAnsi="arial" w:cs="arial"/>
            <w:b w:val="0"/>
            <w:i/>
            <w:strike w:val="0"/>
            <w:noProof w:val="0"/>
            <w:color w:val="0077CC"/>
            <w:position w:val="0"/>
            <w:sz w:val="18"/>
            <w:u w:val="single"/>
            <w:vertAlign w:val="baseline"/>
          </w:rPr>
          <w:t>, No. 5-19-CV-00277-RBF, 2022 U.S. Dist. LEXIS 65181, 2022 WL 1050381, at *4-5 (W.D. Tex. Apr. 6, 2022)</w:t>
        </w:r>
      </w:hyperlink>
      <w:r>
        <w:rPr>
          <w:rFonts w:ascii="arial" w:eastAsia="arial" w:hAnsi="arial" w:cs="arial"/>
          <w:b w:val="0"/>
          <w:i w:val="0"/>
          <w:strike w:val="0"/>
          <w:noProof w:val="0"/>
          <w:color w:val="000000"/>
          <w:position w:val="0"/>
          <w:sz w:val="18"/>
          <w:u w:val="none"/>
          <w:vertAlign w:val="baseline"/>
        </w:rPr>
        <w:t xml:space="preserve"> (finding a reasonable rate of $300 for an attorney when there was "no evidence that [he] has any lead counsel experience").</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50" w:name="Bookmark_fnpara_15"/>
      <w:bookmarkEnd w:id="50"/>
      <w:bookmarkStart w:id="51" w:name="Bookmark_I67H31PK2N1RJC0010000400"/>
      <w:bookmarkEnd w:id="51"/>
      <w:hyperlink r:id="rId8" w:history="1">
        <w:r>
          <w:rPr>
            <w:rFonts w:ascii="arial" w:eastAsia="arial" w:hAnsi="arial" w:cs="arial"/>
            <w:b w:val="0"/>
            <w:i/>
            <w:strike w:val="0"/>
            <w:noProof w:val="0"/>
            <w:color w:val="0077CC"/>
            <w:position w:val="0"/>
            <w:sz w:val="18"/>
            <w:u w:val="single"/>
            <w:vertAlign w:val="baseline"/>
          </w:rPr>
          <w:t>Williams v. Sake Hibachi Sushi &amp; Bar Inc.</w:t>
        </w:r>
      </w:hyperlink>
      <w:hyperlink r:id="rId8" w:history="1">
        <w:r>
          <w:rPr>
            <w:rFonts w:ascii="arial" w:eastAsia="arial" w:hAnsi="arial" w:cs="arial"/>
            <w:b w:val="0"/>
            <w:i/>
            <w:strike w:val="0"/>
            <w:noProof w:val="0"/>
            <w:color w:val="0077CC"/>
            <w:position w:val="0"/>
            <w:sz w:val="18"/>
            <w:u w:val="single"/>
            <w:vertAlign w:val="baseline"/>
          </w:rPr>
          <w:t>, 574 F. Supp. 3d 395, 410 (N.D. Tex. 2021) (Fitzwater, J.)</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appeal dismissed</w:t>
      </w:r>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strike w:val="0"/>
            <w:noProof w:val="0"/>
            <w:color w:val="0077CC"/>
            <w:position w:val="0"/>
            <w:sz w:val="18"/>
            <w:u w:val="single"/>
            <w:vertAlign w:val="baseline"/>
          </w:rPr>
          <w:t>No. 21-11287, 2022 U.S. App. LEXIS 18227, 2022 WL 2337672 (5th Cir. Mar. 16, 2022)</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54" w:name="Bookmark_fnpara_16"/>
      <w:bookmarkEnd w:id="54"/>
      <w:r>
        <w:rPr>
          <w:rFonts w:ascii="arial" w:eastAsia="arial" w:hAnsi="arial" w:cs="arial"/>
          <w:b w:val="0"/>
          <w:i w:val="0"/>
          <w:strike w:val="0"/>
          <w:noProof w:val="0"/>
          <w:color w:val="000000"/>
          <w:position w:val="0"/>
          <w:sz w:val="18"/>
          <w:u w:val="none"/>
          <w:vertAlign w:val="baseline"/>
        </w:rPr>
        <w:t>Doc. No. 46-1 at 1-2.</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55" w:name="Bookmark_fnpara_17"/>
      <w:bookmarkEnd w:id="55"/>
      <w:bookmarkStart w:id="56" w:name="Bookmark_I67H31PK2N1RJC0030000400"/>
      <w:bookmarkEnd w:id="56"/>
      <w:hyperlink r:id="rId3" w:history="1">
        <w:r>
          <w:rPr>
            <w:rFonts w:ascii="arial" w:eastAsia="arial" w:hAnsi="arial" w:cs="arial"/>
            <w:b w:val="0"/>
            <w:i/>
            <w:strike w:val="0"/>
            <w:noProof w:val="0"/>
            <w:color w:val="0077CC"/>
            <w:position w:val="0"/>
            <w:sz w:val="18"/>
            <w:u w:val="single"/>
            <w:vertAlign w:val="baseline"/>
          </w:rPr>
          <w:t>Tovar</w:t>
        </w:r>
      </w:hyperlink>
      <w:hyperlink r:id="rId3" w:history="1">
        <w:r>
          <w:rPr>
            <w:rFonts w:ascii="arial" w:eastAsia="arial" w:hAnsi="arial" w:cs="arial"/>
            <w:b w:val="0"/>
            <w:i/>
            <w:strike w:val="0"/>
            <w:noProof w:val="0"/>
            <w:color w:val="0077CC"/>
            <w:position w:val="0"/>
            <w:sz w:val="18"/>
            <w:u w:val="single"/>
            <w:vertAlign w:val="baseline"/>
          </w:rPr>
          <w:t>, 2022 U.S. Dist. LEXIS 112749, 2022 WL 2306926, at *4</w:t>
        </w:r>
      </w:hyperlink>
      <w:r>
        <w:rPr>
          <w:rFonts w:ascii="arial" w:eastAsia="arial" w:hAnsi="arial" w:cs="arial"/>
          <w:b w:val="0"/>
          <w:i w:val="0"/>
          <w:strike w:val="0"/>
          <w:noProof w:val="0"/>
          <w:color w:val="000000"/>
          <w:position w:val="0"/>
          <w:sz w:val="18"/>
          <w:u w:val="none"/>
          <w:vertAlign w:val="baseline"/>
        </w:rPr>
        <w:t>.</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62" w:name="Bookmark_fnpara_18"/>
      <w:bookmarkEnd w:id="62"/>
      <w:bookmarkStart w:id="63" w:name="Bookmark_I67H31PK2N1RJC0050000400"/>
      <w:bookmarkEnd w:id="63"/>
      <w:hyperlink r:id="rId10" w:history="1">
        <w:r>
          <w:rPr>
            <w:rFonts w:ascii="arial" w:eastAsia="arial" w:hAnsi="arial" w:cs="arial"/>
            <w:b w:val="0"/>
            <w:i/>
            <w:strike w:val="0"/>
            <w:noProof w:val="0"/>
            <w:color w:val="0077CC"/>
            <w:position w:val="0"/>
            <w:sz w:val="18"/>
            <w:u w:val="single"/>
            <w:vertAlign w:val="baseline"/>
          </w:rPr>
          <w:t>Rodriguez v. Mech. Tech. Servs.</w:t>
        </w:r>
      </w:hyperlink>
      <w:hyperlink r:id="rId10" w:history="1">
        <w:r>
          <w:rPr>
            <w:rFonts w:ascii="arial" w:eastAsia="arial" w:hAnsi="arial" w:cs="arial"/>
            <w:b w:val="0"/>
            <w:i/>
            <w:strike w:val="0"/>
            <w:noProof w:val="0"/>
            <w:color w:val="0077CC"/>
            <w:position w:val="0"/>
            <w:sz w:val="18"/>
            <w:u w:val="single"/>
            <w:vertAlign w:val="baseline"/>
          </w:rPr>
          <w:t>, No. 1:12-CV-710-DAE, 2015 U.S. Dist. LEXIS 164079, 2015 WL 8362931, at *6 (W.D. Tex. Dec. 8, 2015)</w:t>
        </w:r>
      </w:hyperlink>
      <w:r>
        <w:rPr>
          <w:rFonts w:ascii="arial" w:eastAsia="arial" w:hAnsi="arial" w:cs="arial"/>
          <w:b w:val="0"/>
          <w:i w:val="0"/>
          <w:strike w:val="0"/>
          <w:noProof w:val="0"/>
          <w:color w:val="000000"/>
          <w:position w:val="0"/>
          <w:sz w:val="18"/>
          <w:u w:val="none"/>
          <w:vertAlign w:val="baseline"/>
        </w:rPr>
        <w:t>.</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64" w:name="Bookmark_fnpara_19"/>
      <w:bookmarkEnd w:id="64"/>
      <w:bookmarkStart w:id="65" w:name="Bookmark_I67H31PK2SF88P0020000400"/>
      <w:bookmarkEnd w:id="65"/>
      <w:hyperlink r:id="rId11" w:history="1">
        <w:r>
          <w:rPr>
            <w:rFonts w:ascii="arial" w:eastAsia="arial" w:hAnsi="arial" w:cs="arial"/>
            <w:b w:val="0"/>
            <w:i/>
            <w:strike w:val="0"/>
            <w:noProof w:val="0"/>
            <w:color w:val="0077CC"/>
            <w:position w:val="0"/>
            <w:sz w:val="18"/>
            <w:u w:val="single"/>
            <w:vertAlign w:val="baseline"/>
          </w:rPr>
          <w:t>Leal v. All-City Trailer Repair, L.P.</w:t>
        </w:r>
      </w:hyperlink>
      <w:hyperlink r:id="rId11" w:history="1">
        <w:r>
          <w:rPr>
            <w:rFonts w:ascii="arial" w:eastAsia="arial" w:hAnsi="arial" w:cs="arial"/>
            <w:b w:val="0"/>
            <w:i/>
            <w:strike w:val="0"/>
            <w:noProof w:val="0"/>
            <w:color w:val="0077CC"/>
            <w:position w:val="0"/>
            <w:sz w:val="18"/>
            <w:u w:val="single"/>
            <w:vertAlign w:val="baseline"/>
          </w:rPr>
          <w:t>, No. 3:16-CV-03274-N, 2018 U.S. Dist. LEXIS 174048, 2018 WL 4913786, at *2 (N.D. Tex. Oct. 10, 2018)</w:t>
        </w:r>
      </w:hyperlink>
      <w:r>
        <w:rPr>
          <w:rFonts w:ascii="arial" w:eastAsia="arial" w:hAnsi="arial" w:cs="arial"/>
          <w:b w:val="0"/>
          <w:i w:val="0"/>
          <w:strike w:val="0"/>
          <w:noProof w:val="0"/>
          <w:color w:val="000000"/>
          <w:position w:val="0"/>
          <w:sz w:val="18"/>
          <w:u w:val="none"/>
          <w:vertAlign w:val="baseline"/>
        </w:rPr>
        <w:t xml:space="preserve"> (Godbey, J.).</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68" w:name="Bookmark_fnpara_20"/>
      <w:bookmarkEnd w:id="68"/>
      <w:r>
        <w:rPr>
          <w:rFonts w:ascii="arial" w:eastAsia="arial" w:hAnsi="arial" w:cs="arial"/>
          <w:b w:val="0"/>
          <w:i/>
          <w:strike w:val="0"/>
          <w:noProof w:val="0"/>
          <w:color w:val="000000"/>
          <w:position w:val="0"/>
          <w:sz w:val="18"/>
          <w:u w:val="none"/>
          <w:vertAlign w:val="baseline"/>
        </w:rPr>
        <w:t xml:space="preserve">Cf. </w:t>
      </w:r>
      <w:bookmarkStart w:id="69" w:name="Bookmark_I67H31PK2SF88P0040000400"/>
      <w:bookmarkEnd w:id="69"/>
      <w:hyperlink r:id="rId7" w:history="1">
        <w:r>
          <w:rPr>
            <w:rFonts w:ascii="arial" w:eastAsia="arial" w:hAnsi="arial" w:cs="arial"/>
            <w:b w:val="0"/>
            <w:i/>
            <w:strike w:val="0"/>
            <w:noProof w:val="0"/>
            <w:color w:val="0077CC"/>
            <w:position w:val="0"/>
            <w:sz w:val="18"/>
            <w:u w:val="single"/>
            <w:vertAlign w:val="baseline"/>
          </w:rPr>
          <w:t>Sifuentes</w:t>
        </w:r>
      </w:hyperlink>
      <w:hyperlink r:id="rId7" w:history="1">
        <w:r>
          <w:rPr>
            <w:rFonts w:ascii="arial" w:eastAsia="arial" w:hAnsi="arial" w:cs="arial"/>
            <w:b w:val="0"/>
            <w:i/>
            <w:strike w:val="0"/>
            <w:noProof w:val="0"/>
            <w:color w:val="0077CC"/>
            <w:position w:val="0"/>
            <w:sz w:val="18"/>
            <w:u w:val="single"/>
            <w:vertAlign w:val="baseline"/>
          </w:rPr>
          <w:t>, 2022 U.S. Dist. LEXIS 65181, 2022 WL 1050381, at *5</w:t>
        </w:r>
      </w:hyperlink>
      <w:r>
        <w:rPr>
          <w:rFonts w:ascii="arial" w:eastAsia="arial" w:hAnsi="arial" w:cs="arial"/>
          <w:b w:val="0"/>
          <w:i w:val="0"/>
          <w:strike w:val="0"/>
          <w:noProof w:val="0"/>
          <w:color w:val="000000"/>
          <w:position w:val="0"/>
          <w:sz w:val="18"/>
          <w:u w:val="none"/>
          <w:vertAlign w:val="baseline"/>
        </w:rPr>
        <w:t xml:space="preserve"> (recognizing that 2015 rates don't "account for an increase in rates since 2015").</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70" w:name="Bookmark_fnpara_21"/>
      <w:bookmarkEnd w:id="70"/>
      <w:bookmarkStart w:id="71" w:name="Bookmark_I67H31PK2N1RJG0010000400"/>
      <w:bookmarkEnd w:id="71"/>
      <w:hyperlink r:id="rId3" w:history="1">
        <w:r>
          <w:rPr>
            <w:rFonts w:ascii="arial" w:eastAsia="arial" w:hAnsi="arial" w:cs="arial"/>
            <w:b w:val="0"/>
            <w:i/>
            <w:strike w:val="0"/>
            <w:noProof w:val="0"/>
            <w:color w:val="0077CC"/>
            <w:position w:val="0"/>
            <w:sz w:val="18"/>
            <w:u w:val="single"/>
            <w:vertAlign w:val="baseline"/>
          </w:rPr>
          <w:t>Tovar</w:t>
        </w:r>
      </w:hyperlink>
      <w:hyperlink r:id="rId3" w:history="1">
        <w:r>
          <w:rPr>
            <w:rFonts w:ascii="arial" w:eastAsia="arial" w:hAnsi="arial" w:cs="arial"/>
            <w:b w:val="0"/>
            <w:i/>
            <w:strike w:val="0"/>
            <w:noProof w:val="0"/>
            <w:color w:val="0077CC"/>
            <w:position w:val="0"/>
            <w:sz w:val="18"/>
            <w:u w:val="single"/>
            <w:vertAlign w:val="baseline"/>
          </w:rPr>
          <w:t>, 2022 U.S. Dist. LEXIS 112749, 2022 WL 2306926, at *4</w:t>
        </w:r>
      </w:hyperlink>
      <w:r>
        <w:rPr>
          <w:rFonts w:ascii="arial" w:eastAsia="arial" w:hAnsi="arial" w:cs="arial"/>
          <w:b w:val="0"/>
          <w:i w:val="0"/>
          <w:strike w:val="0"/>
          <w:noProof w:val="0"/>
          <w:color w:val="000000"/>
          <w:position w:val="0"/>
          <w:sz w:val="18"/>
          <w:u w:val="none"/>
          <w:vertAlign w:val="baseline"/>
        </w:rPr>
        <w:t>.</w:t>
      </w:r>
    </w:p>
  </w:footnote>
  <w:footnote w:id="2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74" w:name="Bookmark_fnpara_22"/>
      <w:bookmarkEnd w:id="74"/>
      <w:r>
        <w:rPr>
          <w:rFonts w:ascii="arial" w:eastAsia="arial" w:hAnsi="arial" w:cs="arial"/>
          <w:b w:val="0"/>
          <w:i w:val="0"/>
          <w:strike w:val="0"/>
          <w:noProof w:val="0"/>
          <w:color w:val="000000"/>
          <w:position w:val="0"/>
          <w:sz w:val="18"/>
          <w:u w:val="none"/>
          <w:vertAlign w:val="baseline"/>
        </w:rPr>
        <w:t>Doc. No. 46-2 at 1-2.</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75" w:name="Bookmark_fnpara_23"/>
      <w:bookmarkEnd w:id="75"/>
      <w:bookmarkStart w:id="76" w:name="Bookmark_I67H31PK2N1RJG0030000400"/>
      <w:bookmarkEnd w:id="76"/>
      <w:hyperlink r:id="rId3" w:history="1">
        <w:r>
          <w:rPr>
            <w:rFonts w:ascii="arial" w:eastAsia="arial" w:hAnsi="arial" w:cs="arial"/>
            <w:b w:val="0"/>
            <w:i/>
            <w:strike w:val="0"/>
            <w:noProof w:val="0"/>
            <w:color w:val="0077CC"/>
            <w:position w:val="0"/>
            <w:sz w:val="18"/>
            <w:u w:val="single"/>
            <w:vertAlign w:val="baseline"/>
          </w:rPr>
          <w:t>Tovar</w:t>
        </w:r>
      </w:hyperlink>
      <w:hyperlink r:id="rId3" w:history="1">
        <w:r>
          <w:rPr>
            <w:rFonts w:ascii="arial" w:eastAsia="arial" w:hAnsi="arial" w:cs="arial"/>
            <w:b w:val="0"/>
            <w:i/>
            <w:strike w:val="0"/>
            <w:noProof w:val="0"/>
            <w:color w:val="0077CC"/>
            <w:position w:val="0"/>
            <w:sz w:val="18"/>
            <w:u w:val="single"/>
            <w:vertAlign w:val="baseline"/>
          </w:rPr>
          <w:t>, 2022 U.S. Dist. LEXIS 112749, 2022 WL 2306926, at *4</w:t>
        </w:r>
      </w:hyperlink>
      <w:r>
        <w:rPr>
          <w:rFonts w:ascii="arial" w:eastAsia="arial" w:hAnsi="arial" w:cs="arial"/>
          <w:b w:val="0"/>
          <w:i w:val="0"/>
          <w:strike w:val="0"/>
          <w:noProof w:val="0"/>
          <w:color w:val="000000"/>
          <w:position w:val="0"/>
          <w:sz w:val="18"/>
          <w:u w:val="none"/>
          <w:vertAlign w:val="baseline"/>
        </w:rPr>
        <w:t>.</w:t>
      </w:r>
    </w:p>
  </w:footnote>
  <w:footnote w:id="2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80" w:name="Bookmark_fnpara_24"/>
      <w:bookmarkEnd w:id="80"/>
      <w:r>
        <w:rPr>
          <w:rFonts w:ascii="arial" w:eastAsia="arial" w:hAnsi="arial" w:cs="arial"/>
          <w:b w:val="0"/>
          <w:i w:val="0"/>
          <w:strike w:val="0"/>
          <w:noProof w:val="0"/>
          <w:color w:val="000000"/>
          <w:position w:val="0"/>
          <w:sz w:val="18"/>
          <w:u w:val="none"/>
          <w:vertAlign w:val="baseline"/>
        </w:rPr>
        <w:t>Doc. No. 45 at 14.</w:t>
      </w:r>
    </w:p>
  </w:footnote>
  <w:footnote w:id="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81" w:name="Bookmark_fnpara_25"/>
      <w:bookmarkEnd w:id="81"/>
      <w:bookmarkStart w:id="82" w:name="Bookmark_I67H31PK2N1RJG0050000400"/>
      <w:bookmarkEnd w:id="82"/>
      <w:hyperlink r:id="rId12" w:history="1">
        <w:r>
          <w:rPr>
            <w:rFonts w:ascii="arial" w:eastAsia="arial" w:hAnsi="arial" w:cs="arial"/>
            <w:b w:val="0"/>
            <w:i/>
            <w:strike w:val="0"/>
            <w:noProof w:val="0"/>
            <w:color w:val="0077CC"/>
            <w:position w:val="0"/>
            <w:sz w:val="18"/>
            <w:u w:val="single"/>
            <w:vertAlign w:val="baseline"/>
          </w:rPr>
          <w:t>Furlow v. Bullzeye Oilfield Servs.</w:t>
        </w:r>
      </w:hyperlink>
      <w:hyperlink r:id="rId12" w:history="1">
        <w:r>
          <w:rPr>
            <w:rFonts w:ascii="arial" w:eastAsia="arial" w:hAnsi="arial" w:cs="arial"/>
            <w:b w:val="0"/>
            <w:i/>
            <w:strike w:val="0"/>
            <w:noProof w:val="0"/>
            <w:color w:val="0077CC"/>
            <w:position w:val="0"/>
            <w:sz w:val="18"/>
            <w:u w:val="single"/>
            <w:vertAlign w:val="baseline"/>
          </w:rPr>
          <w:t>, No. SA-15-CV-1156-DAE, 2019 U.S. Dist. LEXIS 59436, 2019 WL 1313470, at *3 (W.D. Tex. Jan. 3, 2019)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report and recommendation adopted</w:t>
      </w:r>
      <w:r>
        <w:rPr>
          <w:rFonts w:ascii="arial" w:eastAsia="arial" w:hAnsi="arial" w:cs="arial"/>
          <w:b w:val="0"/>
          <w:i w:val="0"/>
          <w:strike w:val="0"/>
          <w:noProof w:val="0"/>
          <w:color w:val="000000"/>
          <w:position w:val="0"/>
          <w:sz w:val="18"/>
          <w:u w:val="none"/>
          <w:vertAlign w:val="baseline"/>
        </w:rPr>
        <w:t xml:space="preserve">, </w:t>
      </w:r>
      <w:bookmarkStart w:id="83" w:name="Bookmark_I67H31PK2HM6380020000400"/>
      <w:bookmarkEnd w:id="83"/>
      <w:hyperlink r:id="rId13" w:history="1">
        <w:r>
          <w:rPr>
            <w:rFonts w:ascii="arial" w:eastAsia="arial" w:hAnsi="arial" w:cs="arial"/>
            <w:b w:val="0"/>
            <w:i/>
            <w:strike w:val="0"/>
            <w:noProof w:val="0"/>
            <w:color w:val="0077CC"/>
            <w:position w:val="0"/>
            <w:sz w:val="18"/>
            <w:u w:val="single"/>
            <w:vertAlign w:val="baseline"/>
          </w:rPr>
          <w:t>No. 5:15-CV-1156-DAE, 2019 U.S. Dist. LEXIS 59242, 2019 WL 1313454 (W.D. Tex. Jan. 29, 2019)</w:t>
        </w:r>
      </w:hyperlink>
      <w:r>
        <w:rPr>
          <w:rFonts w:ascii="arial" w:eastAsia="arial" w:hAnsi="arial" w:cs="arial"/>
          <w:b w:val="0"/>
          <w:i w:val="0"/>
          <w:strike w:val="0"/>
          <w:noProof w:val="0"/>
          <w:color w:val="000000"/>
          <w:position w:val="0"/>
          <w:sz w:val="18"/>
          <w:u w:val="none"/>
          <w:vertAlign w:val="baseline"/>
        </w:rPr>
        <w:t>.</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84" w:name="Bookmark_fnpara_26"/>
      <w:bookmarkEnd w:id="84"/>
      <w:r>
        <w:rPr>
          <w:rFonts w:ascii="arial" w:eastAsia="arial" w:hAnsi="arial" w:cs="arial"/>
          <w:b w:val="0"/>
          <w:i/>
          <w:strike w:val="0"/>
          <w:noProof w:val="0"/>
          <w:color w:val="000000"/>
          <w:position w:val="0"/>
          <w:sz w:val="18"/>
          <w:u w:val="none"/>
          <w:vertAlign w:val="baseline"/>
        </w:rPr>
        <w:t xml:space="preserve">Cf. </w:t>
      </w:r>
      <w:bookmarkStart w:id="85" w:name="Bookmark_I67H31PK2HM6380040000400"/>
      <w:bookmarkEnd w:id="85"/>
      <w:hyperlink r:id="rId14" w:history="1">
        <w:r>
          <w:rPr>
            <w:rFonts w:ascii="arial" w:eastAsia="arial" w:hAnsi="arial" w:cs="arial"/>
            <w:b w:val="0"/>
            <w:i/>
            <w:strike w:val="0"/>
            <w:noProof w:val="0"/>
            <w:color w:val="0077CC"/>
            <w:position w:val="0"/>
            <w:sz w:val="18"/>
            <w:u w:val="single"/>
            <w:vertAlign w:val="baseline"/>
          </w:rPr>
          <w:t>Richards v. AT&amp;T Servs.</w:t>
        </w:r>
      </w:hyperlink>
      <w:hyperlink r:id="rId14" w:history="1">
        <w:r>
          <w:rPr>
            <w:rFonts w:ascii="arial" w:eastAsia="arial" w:hAnsi="arial" w:cs="arial"/>
            <w:b w:val="0"/>
            <w:i/>
            <w:strike w:val="0"/>
            <w:noProof w:val="0"/>
            <w:color w:val="0077CC"/>
            <w:position w:val="0"/>
            <w:sz w:val="18"/>
            <w:u w:val="single"/>
            <w:vertAlign w:val="baseline"/>
          </w:rPr>
          <w:t>, No. SA-20-CV-00685-JKP, 2022 U.S. Dist. LEXIS 113335, 2022 WL 2307472, at *4 (W.D. Tex. June 27, 2022)</w:t>
        </w:r>
      </w:hyperlink>
      <w:r>
        <w:rPr>
          <w:rFonts w:ascii="arial" w:eastAsia="arial" w:hAnsi="arial" w:cs="arial"/>
          <w:b w:val="0"/>
          <w:i w:val="0"/>
          <w:strike w:val="0"/>
          <w:noProof w:val="0"/>
          <w:color w:val="000000"/>
          <w:position w:val="0"/>
          <w:sz w:val="18"/>
          <w:u w:val="none"/>
          <w:vertAlign w:val="baseline"/>
        </w:rPr>
        <w:t xml:space="preserve"> ("Plaintiffs offer no evidentiary support or any justification for Mr. Brown's hourly rate. Nothing in the record explains his qualifications or longevity. For this reason, the Court has no justifiable basis to award an hourly rate above the median rate [in San Antonio, Texas] of $258/hour for Mr. Brown.").</w:t>
      </w:r>
    </w:p>
  </w:footnote>
  <w:footnote w:id="2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90" w:name="Bookmark_fnpara_27"/>
      <w:bookmarkEnd w:id="90"/>
      <w:bookmarkStart w:id="91" w:name="Bookmark_I67H31PM2N1RJP0010000400"/>
      <w:bookmarkEnd w:id="91"/>
      <w:hyperlink r:id="rId15" w:history="1">
        <w:r>
          <w:rPr>
            <w:rFonts w:ascii="arial" w:eastAsia="arial" w:hAnsi="arial" w:cs="arial"/>
            <w:b w:val="0"/>
            <w:i/>
            <w:strike w:val="0"/>
            <w:noProof w:val="0"/>
            <w:color w:val="0077CC"/>
            <w:position w:val="0"/>
            <w:sz w:val="18"/>
            <w:u w:val="single"/>
            <w:vertAlign w:val="baseline"/>
          </w:rPr>
          <w:t>Collins v. Comm'r of Soc. Sec. Admin.</w:t>
        </w:r>
      </w:hyperlink>
      <w:hyperlink r:id="rId15" w:history="1">
        <w:r>
          <w:rPr>
            <w:rFonts w:ascii="arial" w:eastAsia="arial" w:hAnsi="arial" w:cs="arial"/>
            <w:b w:val="0"/>
            <w:i/>
            <w:strike w:val="0"/>
            <w:noProof w:val="0"/>
            <w:color w:val="0077CC"/>
            <w:position w:val="0"/>
            <w:sz w:val="18"/>
            <w:u w:val="single"/>
            <w:vertAlign w:val="baseline"/>
          </w:rPr>
          <w:t>, No. 3:21-CV-694-BH, 2022 U.S. Dist. LEXIS 72215, 2022 WL 1173804, at *4 (N.D. Tex. Apr. 20, 2022)</w:t>
        </w:r>
      </w:hyperlink>
      <w:r>
        <w:rPr>
          <w:rFonts w:ascii="arial" w:eastAsia="arial" w:hAnsi="arial" w:cs="arial"/>
          <w:b w:val="0"/>
          <w:i w:val="0"/>
          <w:strike w:val="0"/>
          <w:noProof w:val="0"/>
          <w:color w:val="000000"/>
          <w:position w:val="0"/>
          <w:sz w:val="18"/>
          <w:u w:val="none"/>
          <w:vertAlign w:val="baseline"/>
        </w:rPr>
        <w:t xml:space="preserve"> (Ramirez, M.J.) (cleaned up).</w:t>
      </w:r>
    </w:p>
  </w:footnote>
  <w:footnote w:id="2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92" w:name="Bookmark_fnpara_28"/>
      <w:bookmarkEnd w:id="92"/>
      <w:bookmarkStart w:id="93" w:name="Bookmark_I67H31PM2N1RJP0030000400"/>
      <w:bookmarkEnd w:id="93"/>
      <w:hyperlink r:id="rId7" w:history="1">
        <w:r>
          <w:rPr>
            <w:rFonts w:ascii="arial" w:eastAsia="arial" w:hAnsi="arial" w:cs="arial"/>
            <w:b w:val="0"/>
            <w:i/>
            <w:strike w:val="0"/>
            <w:noProof w:val="0"/>
            <w:color w:val="0077CC"/>
            <w:position w:val="0"/>
            <w:sz w:val="18"/>
            <w:u w:val="single"/>
            <w:vertAlign w:val="baseline"/>
          </w:rPr>
          <w:t>Sifuentes</w:t>
        </w:r>
      </w:hyperlink>
      <w:hyperlink r:id="rId7" w:history="1">
        <w:r>
          <w:rPr>
            <w:rFonts w:ascii="arial" w:eastAsia="arial" w:hAnsi="arial" w:cs="arial"/>
            <w:b w:val="0"/>
            <w:i/>
            <w:strike w:val="0"/>
            <w:noProof w:val="0"/>
            <w:color w:val="0077CC"/>
            <w:position w:val="0"/>
            <w:sz w:val="18"/>
            <w:u w:val="single"/>
            <w:vertAlign w:val="baseline"/>
          </w:rPr>
          <w:t>, 2022 U.S. Dist. LEXIS 65181, 2022 WL 1050381, at *5</w:t>
        </w:r>
      </w:hyperlink>
      <w:r>
        <w:rPr>
          <w:rFonts w:ascii="arial" w:eastAsia="arial" w:hAnsi="arial" w:cs="arial"/>
          <w:b w:val="0"/>
          <w:i w:val="0"/>
          <w:strike w:val="0"/>
          <w:noProof w:val="0"/>
          <w:color w:val="000000"/>
          <w:position w:val="0"/>
          <w:sz w:val="18"/>
          <w:u w:val="none"/>
          <w:vertAlign w:val="baseline"/>
        </w:rPr>
        <w:t>.</w:t>
      </w:r>
    </w:p>
  </w:footnote>
  <w:footnote w:id="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94" w:name="Bookmark_fnpara_29"/>
      <w:bookmarkEnd w:id="94"/>
      <w:bookmarkStart w:id="95" w:name="Bookmark_I67H31PM2N1RJP0050000400"/>
      <w:bookmarkEnd w:id="95"/>
      <w:hyperlink r:id="rId16" w:history="1">
        <w:r>
          <w:rPr>
            <w:rFonts w:ascii="arial" w:eastAsia="arial" w:hAnsi="arial" w:cs="arial"/>
            <w:b w:val="0"/>
            <w:i/>
            <w:strike w:val="0"/>
            <w:noProof w:val="0"/>
            <w:color w:val="0077CC"/>
            <w:position w:val="0"/>
            <w:sz w:val="18"/>
            <w:u w:val="single"/>
            <w:vertAlign w:val="baseline"/>
          </w:rPr>
          <w:t>Hill v. Schilling</w:t>
        </w:r>
      </w:hyperlink>
      <w:hyperlink r:id="rId16" w:history="1">
        <w:r>
          <w:rPr>
            <w:rFonts w:ascii="arial" w:eastAsia="arial" w:hAnsi="arial" w:cs="arial"/>
            <w:b w:val="0"/>
            <w:i/>
            <w:strike w:val="0"/>
            <w:noProof w:val="0"/>
            <w:color w:val="0077CC"/>
            <w:position w:val="0"/>
            <w:sz w:val="18"/>
            <w:u w:val="single"/>
            <w:vertAlign w:val="baseline"/>
          </w:rPr>
          <w:t>, No. 3:07-CV-2020-L, 2022 U.S. Dist. LEXIS 79790, 2022 WL 1321548, at *4 (N.D. Tex. May 3, 2022)</w:t>
        </w:r>
      </w:hyperlink>
      <w:r>
        <w:rPr>
          <w:rFonts w:ascii="arial" w:eastAsia="arial" w:hAnsi="arial" w:cs="arial"/>
          <w:b w:val="0"/>
          <w:i w:val="0"/>
          <w:strike w:val="0"/>
          <w:noProof w:val="0"/>
          <w:color w:val="000000"/>
          <w:position w:val="0"/>
          <w:sz w:val="18"/>
          <w:u w:val="none"/>
          <w:vertAlign w:val="baseline"/>
        </w:rPr>
        <w:t xml:space="preserve"> (Lindsay, J.), </w:t>
      </w:r>
      <w:r>
        <w:rPr>
          <w:rFonts w:ascii="arial" w:eastAsia="arial" w:hAnsi="arial" w:cs="arial"/>
          <w:b w:val="0"/>
          <w:i/>
          <w:strike w:val="0"/>
          <w:noProof w:val="0"/>
          <w:color w:val="000000"/>
          <w:position w:val="0"/>
          <w:sz w:val="18"/>
          <w:u w:val="none"/>
          <w:vertAlign w:val="baseline"/>
        </w:rPr>
        <w:t xml:space="preserve">appeal dismissed sub nom. </w:t>
      </w:r>
      <w:bookmarkStart w:id="96" w:name="Bookmark_I67H31PM2N1RJT0020000400"/>
      <w:bookmarkEnd w:id="96"/>
      <w:hyperlink r:id="rId17" w:history="1">
        <w:r>
          <w:rPr>
            <w:rFonts w:ascii="arial" w:eastAsia="arial" w:hAnsi="arial" w:cs="arial"/>
            <w:b w:val="0"/>
            <w:i/>
            <w:strike w:val="0"/>
            <w:noProof w:val="0"/>
            <w:color w:val="0077CC"/>
            <w:position w:val="0"/>
            <w:sz w:val="18"/>
            <w:u w:val="single"/>
            <w:vertAlign w:val="baseline"/>
          </w:rPr>
          <w:t>Hill v. Washburne</w:t>
        </w:r>
      </w:hyperlink>
      <w:hyperlink r:id="rId17" w:history="1">
        <w:r>
          <w:rPr>
            <w:rFonts w:ascii="arial" w:eastAsia="arial" w:hAnsi="arial" w:cs="arial"/>
            <w:b w:val="0"/>
            <w:i/>
            <w:strike w:val="0"/>
            <w:noProof w:val="0"/>
            <w:color w:val="0077CC"/>
            <w:position w:val="0"/>
            <w:sz w:val="18"/>
            <w:u w:val="single"/>
            <w:vertAlign w:val="baseline"/>
          </w:rPr>
          <w:t>, No. 22-10565, 2022 U.S. App. LEXIS 33754, 2022 WL 17423449 (5th Cir. July 1, 2022)</w:t>
        </w:r>
      </w:hyperlink>
      <w:r>
        <w:rPr>
          <w:rFonts w:ascii="arial" w:eastAsia="arial" w:hAnsi="arial" w:cs="arial"/>
          <w:b w:val="0"/>
          <w:i w:val="0"/>
          <w:strike w:val="0"/>
          <w:noProof w:val="0"/>
          <w:color w:val="000000"/>
          <w:position w:val="0"/>
          <w:sz w:val="18"/>
          <w:u w:val="none"/>
          <w:vertAlign w:val="baseline"/>
        </w:rPr>
        <w:t>.</w:t>
      </w:r>
    </w:p>
  </w:footnote>
  <w:footnote w:id="3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101" w:name="Bookmark_fnpara_30"/>
      <w:bookmarkEnd w:id="101"/>
      <w:r>
        <w:rPr>
          <w:rFonts w:ascii="arial" w:eastAsia="arial" w:hAnsi="arial" w:cs="arial"/>
          <w:b w:val="0"/>
          <w:i w:val="0"/>
          <w:strike w:val="0"/>
          <w:noProof w:val="0"/>
          <w:color w:val="000000"/>
          <w:position w:val="0"/>
          <w:sz w:val="18"/>
          <w:u w:val="none"/>
          <w:vertAlign w:val="baseline"/>
        </w:rPr>
        <w:t>Doc. No. 48 at 11 (emphasis omitted).</w:t>
      </w:r>
    </w:p>
  </w:footnote>
  <w:footnote w:id="3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102" w:name="Bookmark_fnpara_31"/>
      <w:bookmarkEnd w:id="102"/>
      <w:bookmarkStart w:id="103" w:name="Bookmark_I67H31PM2N1RJT0040000400"/>
      <w:bookmarkEnd w:id="103"/>
      <w:hyperlink r:id="rId18" w:history="1">
        <w:r>
          <w:rPr>
            <w:rFonts w:ascii="arial" w:eastAsia="arial" w:hAnsi="arial" w:cs="arial"/>
            <w:b w:val="0"/>
            <w:i/>
            <w:strike w:val="0"/>
            <w:noProof w:val="0"/>
            <w:color w:val="0077CC"/>
            <w:position w:val="0"/>
            <w:sz w:val="18"/>
            <w:u w:val="single"/>
            <w:vertAlign w:val="baseline"/>
          </w:rPr>
          <w:t>Alvarez v. McCarthy</w:t>
        </w:r>
      </w:hyperlink>
      <w:hyperlink r:id="rId18" w:history="1">
        <w:r>
          <w:rPr>
            <w:rFonts w:ascii="arial" w:eastAsia="arial" w:hAnsi="arial" w:cs="arial"/>
            <w:b w:val="0"/>
            <w:i/>
            <w:strike w:val="0"/>
            <w:noProof w:val="0"/>
            <w:color w:val="0077CC"/>
            <w:position w:val="0"/>
            <w:sz w:val="18"/>
            <w:u w:val="single"/>
            <w:vertAlign w:val="baseline"/>
          </w:rPr>
          <w:t>, No. 20-50465, 2022 U.S. App. LEXIS 7346, 2022 WL 822178, at *5 (5th Cir. Mar. 18, 2022)</w:t>
        </w:r>
      </w:hyperlink>
      <w:r>
        <w:rPr>
          <w:rFonts w:ascii="arial" w:eastAsia="arial" w:hAnsi="arial" w:cs="arial"/>
          <w:b w:val="0"/>
          <w:i w:val="0"/>
          <w:strike w:val="0"/>
          <w:noProof w:val="0"/>
          <w:color w:val="000000"/>
          <w:position w:val="0"/>
          <w:sz w:val="18"/>
          <w:u w:val="none"/>
          <w:vertAlign w:val="baseline"/>
        </w:rPr>
        <w:t>.</w:t>
      </w:r>
    </w:p>
  </w:footnote>
  <w:footnote w:id="3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104" w:name="Bookmark_fnpara_32"/>
      <w:bookmarkEnd w:id="104"/>
      <w:bookmarkStart w:id="105" w:name="Bookmark_I67H31PN2HM63R0010000400"/>
      <w:bookmarkEnd w:id="105"/>
      <w:hyperlink r:id="rId19" w:history="1">
        <w:r>
          <w:rPr>
            <w:rFonts w:ascii="arial" w:eastAsia="arial" w:hAnsi="arial" w:cs="arial"/>
            <w:b w:val="0"/>
            <w:i/>
            <w:strike w:val="0"/>
            <w:noProof w:val="0"/>
            <w:color w:val="0077CC"/>
            <w:position w:val="0"/>
            <w:sz w:val="18"/>
            <w:u w:val="single"/>
            <w:vertAlign w:val="baseline"/>
          </w:rPr>
          <w:t>Diocesan Migrant &amp; Refugee Servs. v. United States Immigration &amp; Customs Enf't</w:t>
        </w:r>
      </w:hyperlink>
      <w:hyperlink r:id="rId19" w:history="1">
        <w:r>
          <w:rPr>
            <w:rFonts w:ascii="arial" w:eastAsia="arial" w:hAnsi="arial" w:cs="arial"/>
            <w:b w:val="0"/>
            <w:i/>
            <w:strike w:val="0"/>
            <w:noProof w:val="0"/>
            <w:color w:val="0077CC"/>
            <w:position w:val="0"/>
            <w:sz w:val="18"/>
            <w:u w:val="single"/>
            <w:vertAlign w:val="baseline"/>
          </w:rPr>
          <w:t>, No. EP-19-CV-00236-FM, 2021 U.S. Dist. LEXIS 16469, 2021 WL 289548, at *12 (W.D. Tex. Jan. 28, 2021)</w:t>
        </w:r>
      </w:hyperlink>
      <w:r>
        <w:rPr>
          <w:rFonts w:ascii="arial" w:eastAsia="arial" w:hAnsi="arial" w:cs="arial"/>
          <w:b w:val="0"/>
          <w:i w:val="0"/>
          <w:strike w:val="0"/>
          <w:noProof w:val="0"/>
          <w:color w:val="000000"/>
          <w:position w:val="0"/>
          <w:sz w:val="18"/>
          <w:u w:val="none"/>
          <w:vertAlign w:val="baseline"/>
        </w:rPr>
        <w:t>.</w:t>
      </w:r>
    </w:p>
  </w:footnote>
  <w:footnote w:id="3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106" w:name="Bookmark_fnpara_33"/>
      <w:bookmarkEnd w:id="106"/>
      <w:bookmarkStart w:id="107" w:name="Bookmark_I67H31PN2HM63R0030000400"/>
      <w:bookmarkEnd w:id="107"/>
      <w:hyperlink r:id="rId3" w:history="1">
        <w:r>
          <w:rPr>
            <w:rFonts w:ascii="arial" w:eastAsia="arial" w:hAnsi="arial" w:cs="arial"/>
            <w:b w:val="0"/>
            <w:i/>
            <w:strike w:val="0"/>
            <w:noProof w:val="0"/>
            <w:color w:val="0077CC"/>
            <w:position w:val="0"/>
            <w:sz w:val="18"/>
            <w:u w:val="single"/>
            <w:vertAlign w:val="baseline"/>
          </w:rPr>
          <w:t>Tovar</w:t>
        </w:r>
      </w:hyperlink>
      <w:hyperlink r:id="rId3" w:history="1">
        <w:r>
          <w:rPr>
            <w:rFonts w:ascii="arial" w:eastAsia="arial" w:hAnsi="arial" w:cs="arial"/>
            <w:b w:val="0"/>
            <w:i/>
            <w:strike w:val="0"/>
            <w:noProof w:val="0"/>
            <w:color w:val="0077CC"/>
            <w:position w:val="0"/>
            <w:sz w:val="18"/>
            <w:u w:val="single"/>
            <w:vertAlign w:val="baseline"/>
          </w:rPr>
          <w:t>, 2022 U.S. Dist. LEXIS 112749, 2022 WL 2306926, at *3</w:t>
        </w:r>
      </w:hyperlink>
      <w:r>
        <w:rPr>
          <w:rFonts w:ascii="arial" w:eastAsia="arial" w:hAnsi="arial" w:cs="arial"/>
          <w:b w:val="0"/>
          <w:i w:val="0"/>
          <w:strike w:val="0"/>
          <w:noProof w:val="0"/>
          <w:color w:val="000000"/>
          <w:position w:val="0"/>
          <w:sz w:val="18"/>
          <w:u w:val="none"/>
          <w:vertAlign w:val="baseline"/>
        </w:rPr>
        <w:t>.</w:t>
      </w:r>
    </w:p>
  </w:footnote>
  <w:footnote w:id="3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110" w:name="Bookmark_fnpara_34"/>
      <w:bookmarkEnd w:id="110"/>
      <w:bookmarkStart w:id="111" w:name="Bookmark_I67H31PN2HM63R0050000400"/>
      <w:bookmarkEnd w:id="111"/>
      <w:hyperlink r:id="rId3" w:history="1">
        <w:r>
          <w:rPr>
            <w:rFonts w:ascii="arial" w:eastAsia="arial" w:hAnsi="arial" w:cs="arial"/>
            <w:b w:val="0"/>
            <w:i/>
            <w:strike w:val="0"/>
            <w:noProof w:val="0"/>
            <w:color w:val="0077CC"/>
            <w:position w:val="0"/>
            <w:sz w:val="18"/>
            <w:u w:val="single"/>
            <w:vertAlign w:val="baseline"/>
          </w:rPr>
          <w:t>2022 U.S. Dist. LEXIS 112749, [WL] at *4</w:t>
        </w:r>
      </w:hyperlink>
      <w:r>
        <w:rPr>
          <w:rFonts w:ascii="arial" w:eastAsia="arial" w:hAnsi="arial" w:cs="arial"/>
          <w:b w:val="0"/>
          <w:i w:val="0"/>
          <w:strike w:val="0"/>
          <w:noProof w:val="0"/>
          <w:color w:val="000000"/>
          <w:position w:val="0"/>
          <w:sz w:val="18"/>
          <w:u w:val="none"/>
          <w:vertAlign w:val="baseline"/>
        </w:rPr>
        <w:t>.</w:t>
      </w:r>
    </w:p>
  </w:footnote>
  <w:footnote w:id="3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115" w:name="Bookmark_fnpara_35"/>
      <w:bookmarkEnd w:id="115"/>
      <w:bookmarkStart w:id="116" w:name="Bookmark_I67H31PN2D6N3Y0020000400"/>
      <w:bookmarkEnd w:id="116"/>
      <w:hyperlink r:id="rId20" w:history="1">
        <w:r>
          <w:rPr>
            <w:rFonts w:ascii="arial" w:eastAsia="arial" w:hAnsi="arial" w:cs="arial"/>
            <w:b w:val="0"/>
            <w:i/>
            <w:strike w:val="0"/>
            <w:noProof w:val="0"/>
            <w:color w:val="0077CC"/>
            <w:position w:val="0"/>
            <w:sz w:val="18"/>
            <w:u w:val="single"/>
            <w:vertAlign w:val="baseline"/>
          </w:rPr>
          <w:t>Jimenez v. Wood Cnty.</w:t>
        </w:r>
      </w:hyperlink>
      <w:hyperlink r:id="rId20" w:history="1">
        <w:r>
          <w:rPr>
            <w:rFonts w:ascii="arial" w:eastAsia="arial" w:hAnsi="arial" w:cs="arial"/>
            <w:b w:val="0"/>
            <w:i/>
            <w:strike w:val="0"/>
            <w:noProof w:val="0"/>
            <w:color w:val="0077CC"/>
            <w:position w:val="0"/>
            <w:sz w:val="18"/>
            <w:u w:val="single"/>
            <w:vertAlign w:val="baseline"/>
          </w:rPr>
          <w:t>, 621 F.3d 372, 379-80 (5th Cir. 2010)</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on reh'g en banc</w:t>
      </w:r>
      <w:r>
        <w:rPr>
          <w:rFonts w:ascii="arial" w:eastAsia="arial" w:hAnsi="arial" w:cs="arial"/>
          <w:b/>
          <w:i/>
          <w:strike w:val="0"/>
          <w:noProof w:val="0"/>
          <w:color w:val="000000"/>
          <w:position w:val="0"/>
          <w:sz w:val="18"/>
          <w:u w:val="none"/>
          <w:vertAlign w:val="baseline"/>
        </w:rPr>
        <w:t> [*9] </w:t>
      </w:r>
      <w:r>
        <w:rPr>
          <w:rFonts w:ascii="arial" w:eastAsia="arial" w:hAnsi="arial" w:cs="arial"/>
          <w:b w:val="0"/>
          <w:i w:val="0"/>
          <w:strike w:val="0"/>
          <w:noProof w:val="0"/>
          <w:color w:val="000000"/>
          <w:position w:val="0"/>
          <w:sz w:val="18"/>
          <w:u w:val="none"/>
          <w:vertAlign w:val="baseline"/>
        </w:rPr>
        <w:t xml:space="preserve">, </w:t>
      </w:r>
      <w:bookmarkStart w:id="117" w:name="Bookmark_I67H31PN2D6N3Y0040000400"/>
      <w:bookmarkEnd w:id="117"/>
      <w:hyperlink r:id="rId21" w:history="1">
        <w:r>
          <w:rPr>
            <w:rFonts w:ascii="arial" w:eastAsia="arial" w:hAnsi="arial" w:cs="arial"/>
            <w:b w:val="0"/>
            <w:i/>
            <w:strike w:val="0"/>
            <w:noProof w:val="0"/>
            <w:color w:val="0077CC"/>
            <w:position w:val="0"/>
            <w:sz w:val="18"/>
            <w:u w:val="single"/>
            <w:vertAlign w:val="baseline"/>
          </w:rPr>
          <w:t>660 F.3d 841 (5th Cir. 2011)</w:t>
        </w:r>
      </w:hyperlink>
      <w:r>
        <w:rPr>
          <w:rFonts w:ascii="arial" w:eastAsia="arial" w:hAnsi="arial" w:cs="arial"/>
          <w:b w:val="0"/>
          <w:i w:val="0"/>
          <w:strike w:val="0"/>
          <w:noProof w:val="0"/>
          <w:color w:val="000000"/>
          <w:position w:val="0"/>
          <w:sz w:val="18"/>
          <w:u w:val="none"/>
          <w:vertAlign w:val="baseline"/>
        </w:rPr>
        <w:t>.</w:t>
      </w:r>
    </w:p>
  </w:footnote>
  <w:footnote w:id="3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118" w:name="Bookmark_fnpara_36"/>
      <w:bookmarkEnd w:id="118"/>
      <w:bookmarkStart w:id="119" w:name="Bookmark_I67H31PN28T3YT0010000400"/>
      <w:bookmarkEnd w:id="119"/>
      <w:hyperlink r:id="rId3" w:history="1">
        <w:r>
          <w:rPr>
            <w:rFonts w:ascii="arial" w:eastAsia="arial" w:hAnsi="arial" w:cs="arial"/>
            <w:b w:val="0"/>
            <w:i/>
            <w:strike w:val="0"/>
            <w:noProof w:val="0"/>
            <w:color w:val="0077CC"/>
            <w:position w:val="0"/>
            <w:sz w:val="18"/>
            <w:u w:val="single"/>
            <w:vertAlign w:val="baseline"/>
          </w:rPr>
          <w:t>Tovar</w:t>
        </w:r>
      </w:hyperlink>
      <w:hyperlink r:id="rId3" w:history="1">
        <w:r>
          <w:rPr>
            <w:rFonts w:ascii="arial" w:eastAsia="arial" w:hAnsi="arial" w:cs="arial"/>
            <w:b w:val="0"/>
            <w:i/>
            <w:strike w:val="0"/>
            <w:noProof w:val="0"/>
            <w:color w:val="0077CC"/>
            <w:position w:val="0"/>
            <w:sz w:val="18"/>
            <w:u w:val="single"/>
            <w:vertAlign w:val="baseline"/>
          </w:rPr>
          <w:t>, 2022 U.S. Dist. LEXIS 112749, 2022 WL 2306926, at *4</w:t>
        </w:r>
      </w:hyperlink>
      <w:r>
        <w:rPr>
          <w:rFonts w:ascii="arial" w:eastAsia="arial" w:hAnsi="arial" w:cs="arial"/>
          <w:b w:val="0"/>
          <w:i w:val="0"/>
          <w:strike w:val="0"/>
          <w:noProof w:val="0"/>
          <w:color w:val="000000"/>
          <w:position w:val="0"/>
          <w:sz w:val="18"/>
          <w:u w:val="none"/>
          <w:vertAlign w:val="baseline"/>
        </w:rPr>
        <w:t>.</w:t>
      </w:r>
    </w:p>
  </w:footnote>
  <w:footnote w:id="3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120" w:name="Bookmark_fnpara_37"/>
      <w:bookmarkEnd w:id="120"/>
      <w:r>
        <w:rPr>
          <w:rFonts w:ascii="arial" w:eastAsia="arial" w:hAnsi="arial" w:cs="arial"/>
          <w:b w:val="0"/>
          <w:i w:val="0"/>
          <w:strike w:val="0"/>
          <w:noProof w:val="0"/>
          <w:color w:val="000000"/>
          <w:position w:val="0"/>
          <w:sz w:val="18"/>
          <w:u w:val="none"/>
          <w:vertAlign w:val="baseline"/>
        </w:rPr>
        <w:t>Doc. No. 49-1 at 3-14.</w:t>
      </w:r>
    </w:p>
  </w:footnote>
  <w:footnote w:id="3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121" w:name="Bookmark_fnpara_38"/>
      <w:bookmarkEnd w:id="121"/>
      <w:r>
        <w:rPr>
          <w:rFonts w:ascii="arial" w:eastAsia="arial" w:hAnsi="arial" w:cs="arial"/>
          <w:b w:val="0"/>
          <w:i w:val="0"/>
          <w:strike w:val="0"/>
          <w:noProof w:val="0"/>
          <w:color w:val="000000"/>
          <w:position w:val="0"/>
          <w:sz w:val="18"/>
          <w:u w:val="none"/>
          <w:vertAlign w:val="baseline"/>
        </w:rPr>
        <w:t>Doc. No. 52 at 17.</w:t>
      </w:r>
    </w:p>
  </w:footnote>
  <w:footnote w:id="4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122" w:name="Bookmark_fnpara_39"/>
      <w:bookmarkEnd w:id="122"/>
      <w:r>
        <w:rPr>
          <w:rFonts w:ascii="arial" w:eastAsia="arial" w:hAnsi="arial" w:cs="arial"/>
          <w:b w:val="0"/>
          <w:i w:val="0"/>
          <w:strike w:val="0"/>
          <w:noProof w:val="0"/>
          <w:color w:val="000000"/>
          <w:position w:val="0"/>
          <w:sz w:val="18"/>
          <w:u w:val="none"/>
          <w:vertAlign w:val="baseline"/>
        </w:rPr>
        <w:t xml:space="preserve">AT&amp;T requests that the Court reduce Braziel's hours by 9.3 and Brown's hours by 5.65. Doc. No. 49-1 at 14. But, in AT&amp;T's list of purportedly duplicative entries, some entries don't appear to be duplicative.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3-14 (containing non-duplicative entries on 6/8/2020; 10/22/2020 (beginning "Discussion with"); 1/13/2021; 4/23/2021 (beginning "Work with"). Those entries account for 0.3 hours of Braziel's time and 0.6 hours of Brown's time. Accordingly, the Court subtracts those hours from AT&amp;T's requested hour reduction.</w:t>
      </w:r>
    </w:p>
  </w:footnote>
  <w:footnote w:id="4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127" w:name="Bookmark_fnpara_40"/>
      <w:bookmarkEnd w:id="127"/>
      <w:bookmarkStart w:id="128" w:name="Bookmark_I67H31PN28T3YT0030000400"/>
      <w:bookmarkEnd w:id="128"/>
      <w:hyperlink r:id="rId22" w:history="1">
        <w:r>
          <w:rPr>
            <w:rFonts w:ascii="arial" w:eastAsia="arial" w:hAnsi="arial" w:cs="arial"/>
            <w:b w:val="0"/>
            <w:i/>
            <w:strike w:val="0"/>
            <w:noProof w:val="0"/>
            <w:color w:val="0077CC"/>
            <w:position w:val="0"/>
            <w:sz w:val="18"/>
            <w:u w:val="single"/>
            <w:vertAlign w:val="baseline"/>
          </w:rPr>
          <w:t>Black v. SettlePou, P.C</w:t>
        </w:r>
      </w:hyperlink>
      <w:hyperlink r:id="rId22" w:history="1">
        <w:r>
          <w:rPr>
            <w:rFonts w:ascii="arial" w:eastAsia="arial" w:hAnsi="arial" w:cs="arial"/>
            <w:b w:val="0"/>
            <w:i/>
            <w:strike w:val="0"/>
            <w:noProof w:val="0"/>
            <w:color w:val="0077CC"/>
            <w:position w:val="0"/>
            <w:sz w:val="18"/>
            <w:u w:val="single"/>
            <w:vertAlign w:val="baseline"/>
          </w:rPr>
          <w:t>., No. 3:10-CV-1418-K, 2014 U.S. Dist. LEXIS 97033, 2014 WL 3534991, at *6 (N.D. Tex. July 17, 2014)</w:t>
        </w:r>
      </w:hyperlink>
      <w:r>
        <w:rPr>
          <w:rFonts w:ascii="arial" w:eastAsia="arial" w:hAnsi="arial" w:cs="arial"/>
          <w:b w:val="0"/>
          <w:i w:val="0"/>
          <w:strike w:val="0"/>
          <w:noProof w:val="0"/>
          <w:color w:val="000000"/>
          <w:position w:val="0"/>
          <w:sz w:val="18"/>
          <w:u w:val="none"/>
          <w:vertAlign w:val="baseline"/>
        </w:rPr>
        <w:t xml:space="preserve"> (Kinkeade, J.).</w:t>
      </w:r>
    </w:p>
  </w:footnote>
  <w:footnote w:id="4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129" w:name="Bookmark_fnpara_41"/>
      <w:bookmarkEnd w:id="129"/>
      <w:bookmarkStart w:id="130" w:name="Bookmark_I67H31PN28T3YT0050000400"/>
      <w:bookmarkEnd w:id="130"/>
      <w:hyperlink r:id="rId5" w:history="1">
        <w:r>
          <w:rPr>
            <w:rFonts w:ascii="arial" w:eastAsia="arial" w:hAnsi="arial" w:cs="arial"/>
            <w:b w:val="0"/>
            <w:i/>
            <w:strike w:val="0"/>
            <w:noProof w:val="0"/>
            <w:color w:val="0077CC"/>
            <w:position w:val="0"/>
            <w:sz w:val="18"/>
            <w:u w:val="single"/>
            <w:vertAlign w:val="baseline"/>
          </w:rPr>
          <w:t>Meadows</w:t>
        </w:r>
      </w:hyperlink>
      <w:hyperlink r:id="rId5" w:history="1">
        <w:r>
          <w:rPr>
            <w:rFonts w:ascii="arial" w:eastAsia="arial" w:hAnsi="arial" w:cs="arial"/>
            <w:b w:val="0"/>
            <w:i/>
            <w:strike w:val="0"/>
            <w:noProof w:val="0"/>
            <w:color w:val="0077CC"/>
            <w:position w:val="0"/>
            <w:sz w:val="18"/>
            <w:u w:val="single"/>
            <w:vertAlign w:val="baseline"/>
          </w:rPr>
          <w:t>, 2020 U.S. Dist. LEXIS 9388, 2020 WL 291582, at *4</w:t>
        </w:r>
      </w:hyperlink>
      <w:r>
        <w:rPr>
          <w:rFonts w:ascii="arial" w:eastAsia="arial" w:hAnsi="arial" w:cs="arial"/>
          <w:b w:val="0"/>
          <w:i w:val="0"/>
          <w:strike w:val="0"/>
          <w:noProof w:val="0"/>
          <w:color w:val="000000"/>
          <w:position w:val="0"/>
          <w:sz w:val="18"/>
          <w:u w:val="none"/>
          <w:vertAlign w:val="baseline"/>
        </w:rPr>
        <w:t>.</w:t>
      </w:r>
    </w:p>
  </w:footnote>
  <w:footnote w:id="4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131" w:name="Bookmark_fnpara_42"/>
      <w:bookmarkEnd w:id="131"/>
      <w:r>
        <w:rPr>
          <w:rFonts w:ascii="arial" w:eastAsia="arial" w:hAnsi="arial" w:cs="arial"/>
          <w:b w:val="0"/>
          <w:i w:val="0"/>
          <w:strike w:val="0"/>
          <w:noProof w:val="0"/>
          <w:color w:val="000000"/>
          <w:position w:val="0"/>
          <w:sz w:val="18"/>
          <w:u w:val="none"/>
          <w:vertAlign w:val="baseline"/>
        </w:rPr>
        <w:t>Doc. No. 48 at 19 (citation omitted).</w:t>
      </w:r>
    </w:p>
  </w:footnote>
  <w:footnote w:id="4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132" w:name="Bookmark_fnpara_43"/>
      <w:bookmarkEnd w:id="132"/>
      <w:bookmarkStart w:id="133" w:name="Bookmark_I67H31PN2D6N450020000400"/>
      <w:bookmarkEnd w:id="133"/>
      <w:hyperlink r:id="rId3" w:history="1">
        <w:r>
          <w:rPr>
            <w:rFonts w:ascii="arial" w:eastAsia="arial" w:hAnsi="arial" w:cs="arial"/>
            <w:b w:val="0"/>
            <w:i/>
            <w:strike w:val="0"/>
            <w:noProof w:val="0"/>
            <w:color w:val="0077CC"/>
            <w:position w:val="0"/>
            <w:sz w:val="18"/>
            <w:u w:val="single"/>
            <w:vertAlign w:val="baseline"/>
          </w:rPr>
          <w:t>Tovar</w:t>
        </w:r>
      </w:hyperlink>
      <w:hyperlink r:id="rId3" w:history="1">
        <w:r>
          <w:rPr>
            <w:rFonts w:ascii="arial" w:eastAsia="arial" w:hAnsi="arial" w:cs="arial"/>
            <w:b w:val="0"/>
            <w:i/>
            <w:strike w:val="0"/>
            <w:noProof w:val="0"/>
            <w:color w:val="0077CC"/>
            <w:position w:val="0"/>
            <w:sz w:val="18"/>
            <w:u w:val="single"/>
            <w:vertAlign w:val="baseline"/>
          </w:rPr>
          <w:t>, 2022 U.S. Dist. LEXIS 112749, 2022 WL 2306926, at *5</w:t>
        </w:r>
      </w:hyperlink>
      <w:r>
        <w:rPr>
          <w:rFonts w:ascii="arial" w:eastAsia="arial" w:hAnsi="arial" w:cs="arial"/>
          <w:b w:val="0"/>
          <w:i w:val="0"/>
          <w:strike w:val="0"/>
          <w:noProof w:val="0"/>
          <w:color w:val="000000"/>
          <w:position w:val="0"/>
          <w:sz w:val="18"/>
          <w:u w:val="none"/>
          <w:vertAlign w:val="baseline"/>
        </w:rPr>
        <w:t xml:space="preserve"> (collecting cases).</w:t>
      </w:r>
    </w:p>
  </w:footnote>
  <w:footnote w:id="4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134" w:name="Bookmark_fnpara_44"/>
      <w:bookmarkEnd w:id="134"/>
      <w:r>
        <w:rPr>
          <w:rFonts w:ascii="arial" w:eastAsia="arial" w:hAnsi="arial" w:cs="arial"/>
          <w:b w:val="0"/>
          <w:i w:val="0"/>
          <w:strike w:val="0"/>
          <w:noProof w:val="0"/>
          <w:color w:val="000000"/>
          <w:position w:val="0"/>
          <w:sz w:val="18"/>
          <w:u w:val="none"/>
          <w:vertAlign w:val="baseline"/>
        </w:rPr>
        <w:t xml:space="preserve">AT&amp;T requests that the Court reduce Dunn's time by 14.2 hours, Braziel's time by 2 hours, and Brown's time by 3.1 hours. Doc. No. 49-1 at 23. But, in AT&amp;T's list of purportedly clerical entries, it attempts to </w:t>
      </w:r>
      <w:r>
        <w:rPr>
          <w:rFonts w:ascii="arial" w:eastAsia="arial" w:hAnsi="arial" w:cs="arial"/>
          <w:b/>
          <w:i/>
          <w:strike w:val="0"/>
          <w:noProof w:val="0"/>
          <w:color w:val="000000"/>
          <w:position w:val="0"/>
          <w:sz w:val="18"/>
          <w:u w:val="single"/>
          <w:vertAlign w:val="baseline"/>
        </w:rPr>
        <w:t>smuggle</w:t>
      </w:r>
      <w:r>
        <w:rPr>
          <w:rFonts w:ascii="arial" w:eastAsia="arial" w:hAnsi="arial" w:cs="arial"/>
          <w:b w:val="0"/>
          <w:i w:val="0"/>
          <w:strike w:val="0"/>
          <w:noProof w:val="0"/>
          <w:color w:val="000000"/>
          <w:position w:val="0"/>
          <w:sz w:val="18"/>
          <w:u w:val="none"/>
          <w:vertAlign w:val="baseline"/>
        </w:rPr>
        <w:t xml:space="preserve"> myriad entries that don't appear to be clerical.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15-23 (containing non-clerical entries on 9/2/2020; 9/11/2020; 9/16/2020; 10/6/2020; 10/19/2020 (all entries); 10/22/2020; 10/23/2020 (beginning "Discussion with"); 11/3/2020; 11/4/2020; 11/5/2020 (all entries); 11/23/2020; 12/29/2020; 1/11/2021; 1/13/2021; 2/4/2021 (beginning "Receipt and review" and "Review and analysis"); 3/12/2021; 4/13/2021; 10/21/2021; 10/28/2021 (all entries); 11/1/2021 (beginning "Receipt and review of email from Opposing Counsel regarding Deposition Notices"); 11/3/2021 (all entries); 11/5/2021; 11/17/2021 (all entries); 11/19/2021 (all entries); 11/23/2021 (beginning "Review and analysis"); 12/2/2021 (two entries beginning "Receipt and review of emails from Pongpak"); 12/3/2021; 12/4/2021; 12/7/2021 (beginning "Draft and send"); 12/14/2021; 12/17/2021; 1/5/2022; 1/14/2022; 1/17/2022; 1/20/2022; 1/21/2022; 1/27/2022 (entries beginning "Receipt and review," "Draft and send")). Those entries account for 6.8 hours of Dunn's time, 1.1 hours of Braziel's time, and 0.8 hours of Brown's time. Accordingly, the Court subtracts those hours from AT&amp;T's requested hour reduction.</w:t>
      </w:r>
    </w:p>
  </w:footnote>
  <w:footnote w:id="4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136" w:name="Bookmark_fnpara_45"/>
      <w:bookmarkEnd w:id="136"/>
      <w:r>
        <w:rPr>
          <w:rFonts w:ascii="arial" w:eastAsia="arial" w:hAnsi="arial" w:cs="arial"/>
          <w:b w:val="0"/>
          <w:i w:val="0"/>
          <w:strike w:val="0"/>
          <w:noProof w:val="0"/>
          <w:color w:val="000000"/>
          <w:position w:val="0"/>
          <w:sz w:val="18"/>
          <w:u w:val="none"/>
          <w:vertAlign w:val="baseline"/>
        </w:rPr>
        <w:t>Doc. No. 52 at 16.</w:t>
      </w:r>
    </w:p>
  </w:footnote>
  <w:footnote w:id="4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46 </w:t>
      </w:r>
      <w:bookmarkStart w:id="137" w:name="Bookmark_fnpara_46"/>
      <w:bookmarkEnd w:id="137"/>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Doc. No. 49-1 at 15 ("Receipt and review of email from ECF regarding Dkt. 1.").</w:t>
      </w:r>
    </w:p>
  </w:footnote>
  <w:footnote w:id="4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47 </w:t>
      </w:r>
      <w:bookmarkStart w:id="138" w:name="Bookmark_fnpara_47"/>
      <w:bookmarkEnd w:id="138"/>
      <w:r>
        <w:rPr>
          <w:rFonts w:ascii="arial" w:eastAsia="arial" w:hAnsi="arial" w:cs="arial"/>
          <w:b w:val="0"/>
          <w:i w:val="0"/>
          <w:strike w:val="0"/>
          <w:noProof w:val="0"/>
          <w:color w:val="000000"/>
          <w:position w:val="0"/>
          <w:sz w:val="18"/>
          <w:u w:val="none"/>
          <w:vertAlign w:val="baseline"/>
        </w:rPr>
        <w:t>Doc. No. 52 at 16.</w:t>
      </w:r>
    </w:p>
  </w:footnote>
  <w:footnote w:id="4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48 </w:t>
      </w:r>
      <w:bookmarkStart w:id="140" w:name="Bookmark_fnpara_48"/>
      <w:bookmarkEnd w:id="140"/>
      <w:r>
        <w:rPr>
          <w:rFonts w:ascii="arial" w:eastAsia="arial" w:hAnsi="arial" w:cs="arial"/>
          <w:b w:val="0"/>
          <w:i w:val="0"/>
          <w:strike w:val="0"/>
          <w:noProof w:val="0"/>
          <w:color w:val="000000"/>
          <w:position w:val="0"/>
          <w:sz w:val="18"/>
          <w:u w:val="none"/>
          <w:vertAlign w:val="baseline"/>
        </w:rPr>
        <w:t>Doc. No. 48 at 20.</w:t>
      </w:r>
    </w:p>
  </w:footnote>
  <w:footnote w:id="5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49 </w:t>
      </w:r>
      <w:bookmarkStart w:id="141" w:name="Bookmark_fnpara_49"/>
      <w:bookmarkEnd w:id="141"/>
      <w:r>
        <w:rPr>
          <w:rFonts w:ascii="arial" w:eastAsia="arial" w:hAnsi="arial" w:cs="arial"/>
          <w:b w:val="0"/>
          <w:i w:val="0"/>
          <w:strike w:val="0"/>
          <w:noProof w:val="0"/>
          <w:color w:val="000000"/>
          <w:position w:val="0"/>
          <w:sz w:val="18"/>
          <w:u w:val="none"/>
          <w:vertAlign w:val="baseline"/>
        </w:rPr>
        <w:t>Doc. No. 52 at 17.</w:t>
      </w:r>
    </w:p>
  </w:footnote>
  <w:footnote w:id="5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50 </w:t>
      </w:r>
      <w:bookmarkStart w:id="143" w:name="Bookmark_fnpara_50"/>
      <w:bookmarkEnd w:id="14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No. 49-1 at 26 (containing entries that occurred before decertification or relate to different cases on 5/24/2019; 8/29/2019; 7/21/2020; and 10/23/2020).</w:t>
      </w:r>
    </w:p>
  </w:footnote>
  <w:footnote w:id="5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51 </w:t>
      </w:r>
      <w:bookmarkStart w:id="147" w:name="Bookmark_fnpara_51"/>
      <w:bookmarkEnd w:id="147"/>
      <w:bookmarkStart w:id="148" w:name="Bookmark_I67H31PN2D6N450040000400"/>
      <w:bookmarkEnd w:id="148"/>
      <w:hyperlink r:id="rId2" w:history="1">
        <w:r>
          <w:rPr>
            <w:rFonts w:ascii="arial" w:eastAsia="arial" w:hAnsi="arial" w:cs="arial"/>
            <w:b w:val="0"/>
            <w:i/>
            <w:strike w:val="0"/>
            <w:noProof w:val="0"/>
            <w:color w:val="0077CC"/>
            <w:position w:val="0"/>
            <w:sz w:val="18"/>
            <w:u w:val="single"/>
            <w:vertAlign w:val="baseline"/>
          </w:rPr>
          <w:t>Wegner</w:t>
        </w:r>
      </w:hyperlink>
      <w:hyperlink r:id="rId2" w:history="1">
        <w:r>
          <w:rPr>
            <w:rFonts w:ascii="arial" w:eastAsia="arial" w:hAnsi="arial" w:cs="arial"/>
            <w:b w:val="0"/>
            <w:i/>
            <w:strike w:val="0"/>
            <w:noProof w:val="0"/>
            <w:color w:val="0077CC"/>
            <w:position w:val="0"/>
            <w:sz w:val="18"/>
            <w:u w:val="single"/>
            <w:vertAlign w:val="baseline"/>
          </w:rPr>
          <w:t>, 129 F.3d at 822</w:t>
        </w:r>
      </w:hyperlink>
      <w:r>
        <w:rPr>
          <w:rFonts w:ascii="arial" w:eastAsia="arial" w:hAnsi="arial" w:cs="arial"/>
          <w:b w:val="0"/>
          <w:i w:val="0"/>
          <w:strike w:val="0"/>
          <w:noProof w:val="0"/>
          <w:color w:val="000000"/>
          <w:position w:val="0"/>
          <w:sz w:val="18"/>
          <w:u w:val="none"/>
          <w:vertAlign w:val="baseline"/>
        </w:rPr>
        <w:t xml:space="preserve"> (cleaned up).</w:t>
      </w:r>
    </w:p>
  </w:footnote>
  <w:footnote w:id="5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52 </w:t>
      </w:r>
      <w:bookmarkStart w:id="149" w:name="Bookmark_fnpara_52"/>
      <w:bookmarkEnd w:id="149"/>
      <w:bookmarkStart w:id="150" w:name="Bookmark_I67H31PN28T3YV0010000400"/>
      <w:bookmarkEnd w:id="150"/>
      <w:hyperlink r:id="rId23" w:history="1">
        <w:r>
          <w:rPr>
            <w:rFonts w:ascii="arial" w:eastAsia="arial" w:hAnsi="arial" w:cs="arial"/>
            <w:b w:val="0"/>
            <w:i/>
            <w:strike w:val="0"/>
            <w:noProof w:val="0"/>
            <w:color w:val="0077CC"/>
            <w:position w:val="0"/>
            <w:sz w:val="18"/>
            <w:u w:val="single"/>
            <w:vertAlign w:val="baseline"/>
          </w:rPr>
          <w:t>Aguayo v. Bassam Odeh, Inc.</w:t>
        </w:r>
      </w:hyperlink>
      <w:hyperlink r:id="rId23" w:history="1">
        <w:r>
          <w:rPr>
            <w:rFonts w:ascii="arial" w:eastAsia="arial" w:hAnsi="arial" w:cs="arial"/>
            <w:b w:val="0"/>
            <w:i/>
            <w:strike w:val="0"/>
            <w:noProof w:val="0"/>
            <w:color w:val="0077CC"/>
            <w:position w:val="0"/>
            <w:sz w:val="18"/>
            <w:u w:val="single"/>
            <w:vertAlign w:val="baseline"/>
          </w:rPr>
          <w:t>, No. 3:13-CV-2951-B, 2016 U.S. Dist. LEXIS 169702, 2016 WL 7178967, at *12 (N.D. Tex. Dec. 8, 2016)</w:t>
        </w:r>
      </w:hyperlink>
      <w:r>
        <w:rPr>
          <w:rFonts w:ascii="arial" w:eastAsia="arial" w:hAnsi="arial" w:cs="arial"/>
          <w:b w:val="0"/>
          <w:i w:val="0"/>
          <w:strike w:val="0"/>
          <w:noProof w:val="0"/>
          <w:color w:val="000000"/>
          <w:position w:val="0"/>
          <w:sz w:val="18"/>
          <w:u w:val="none"/>
          <w:vertAlign w:val="baseline"/>
        </w:rPr>
        <w:t xml:space="preserve"> (Boyle, J.).</w:t>
      </w:r>
    </w:p>
  </w:footnote>
  <w:footnote w:id="5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53 </w:t>
      </w:r>
      <w:bookmarkStart w:id="151" w:name="Bookmark_fnpara_53"/>
      <w:bookmarkEnd w:id="151"/>
      <w:r>
        <w:rPr>
          <w:rFonts w:ascii="arial" w:eastAsia="arial" w:hAnsi="arial" w:cs="arial"/>
          <w:b w:val="0"/>
          <w:i w:val="0"/>
          <w:strike w:val="0"/>
          <w:noProof w:val="0"/>
          <w:color w:val="000000"/>
          <w:position w:val="0"/>
          <w:sz w:val="18"/>
          <w:u w:val="none"/>
          <w:vertAlign w:val="baseline"/>
        </w:rPr>
        <w:t xml:space="preserve">AT&amp;T asks the Court to reduce Braziel's hours by 11, Beck's hours by 7.9, and Ruiz's hours by 4.8. Doc. No. 49-1 at 25. But one of the entries is intelligible.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24 (including intelligible entry on 11/3/2021 (beginning "Receipt and review")). Accordingly, the Court subtracts 0.1 hours of Braziel's time from AT&amp;T's requested reduction.</w:t>
      </w:r>
    </w:p>
  </w:footnote>
  <w:footnote w:id="5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54 </w:t>
      </w:r>
      <w:bookmarkStart w:id="154" w:name="Bookmark_fnpara_54"/>
      <w:bookmarkEnd w:id="154"/>
      <w:r>
        <w:rPr>
          <w:rFonts w:ascii="arial" w:eastAsia="arial" w:hAnsi="arial" w:cs="arial"/>
          <w:b w:val="0"/>
          <w:i w:val="0"/>
          <w:strike w:val="0"/>
          <w:noProof w:val="0"/>
          <w:color w:val="000000"/>
          <w:position w:val="0"/>
          <w:sz w:val="18"/>
          <w:u w:val="none"/>
          <w:vertAlign w:val="baseline"/>
        </w:rPr>
        <w:t>Doc. No. 48 at 20.</w:t>
      </w:r>
    </w:p>
  </w:footnote>
  <w:footnote w:id="5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55 </w:t>
      </w:r>
      <w:bookmarkStart w:id="155" w:name="Bookmark_fnpara_55"/>
      <w:bookmarkEnd w:id="155"/>
      <w:r>
        <w:rPr>
          <w:rFonts w:ascii="arial" w:eastAsia="arial" w:hAnsi="arial" w:cs="arial"/>
          <w:b w:val="0"/>
          <w:i w:val="0"/>
          <w:strike w:val="0"/>
          <w:noProof w:val="0"/>
          <w:color w:val="000000"/>
          <w:position w:val="0"/>
          <w:sz w:val="18"/>
          <w:u w:val="none"/>
          <w:vertAlign w:val="baseline"/>
        </w:rPr>
        <w:t>Doc. No. 52 at 12.</w:t>
      </w:r>
    </w:p>
  </w:footnote>
  <w:footnote w:id="5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56 </w:t>
      </w:r>
      <w:bookmarkStart w:id="156" w:name="Bookmark_fnpara_56"/>
      <w:bookmarkEnd w:id="156"/>
      <w:bookmarkStart w:id="157" w:name="Bookmark_I67H31PN28T3YV0030000400"/>
      <w:bookmarkEnd w:id="157"/>
      <w:hyperlink r:id="rId3" w:history="1">
        <w:r>
          <w:rPr>
            <w:rFonts w:ascii="arial" w:eastAsia="arial" w:hAnsi="arial" w:cs="arial"/>
            <w:b w:val="0"/>
            <w:i/>
            <w:strike w:val="0"/>
            <w:noProof w:val="0"/>
            <w:color w:val="0077CC"/>
            <w:position w:val="0"/>
            <w:sz w:val="18"/>
            <w:u w:val="single"/>
            <w:vertAlign w:val="baseline"/>
          </w:rPr>
          <w:t>Tovar</w:t>
        </w:r>
      </w:hyperlink>
      <w:hyperlink r:id="rId3" w:history="1">
        <w:r>
          <w:rPr>
            <w:rFonts w:ascii="arial" w:eastAsia="arial" w:hAnsi="arial" w:cs="arial"/>
            <w:b w:val="0"/>
            <w:i/>
            <w:strike w:val="0"/>
            <w:noProof w:val="0"/>
            <w:color w:val="0077CC"/>
            <w:position w:val="0"/>
            <w:sz w:val="18"/>
            <w:u w:val="single"/>
            <w:vertAlign w:val="baseline"/>
          </w:rPr>
          <w:t>, 2022 U.S. Dist. LEXIS 112749, 2022 WL 2306926, at *5</w:t>
        </w:r>
      </w:hyperlink>
      <w:r>
        <w:rPr>
          <w:rFonts w:ascii="arial" w:eastAsia="arial" w:hAnsi="arial" w:cs="arial"/>
          <w:b w:val="0"/>
          <w:i w:val="0"/>
          <w:strike w:val="0"/>
          <w:noProof w:val="0"/>
          <w:color w:val="000000"/>
          <w:position w:val="0"/>
          <w:sz w:val="18"/>
          <w:u w:val="none"/>
          <w:vertAlign w:val="baseline"/>
        </w:rPr>
        <w:t>.</w:t>
      </w:r>
    </w:p>
  </w:footnote>
  <w:footnote w:id="5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57 </w:t>
      </w:r>
      <w:bookmarkStart w:id="160" w:name="Bookmark_fnpara_57"/>
      <w:bookmarkEnd w:id="160"/>
      <w:r>
        <w:rPr>
          <w:rFonts w:ascii="arial" w:eastAsia="arial" w:hAnsi="arial" w:cs="arial"/>
          <w:b w:val="0"/>
          <w:i w:val="0"/>
          <w:strike w:val="0"/>
          <w:noProof w:val="0"/>
          <w:color w:val="000000"/>
          <w:position w:val="0"/>
          <w:sz w:val="18"/>
          <w:u w:val="none"/>
          <w:vertAlign w:val="baseline"/>
        </w:rPr>
        <w:t>Doc. No. 48 at 21.</w:t>
      </w:r>
    </w:p>
  </w:footnote>
  <w:footnote w:id="5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58 </w:t>
      </w:r>
      <w:bookmarkStart w:id="161" w:name="Bookmark_fnpara_58"/>
      <w:bookmarkEnd w:id="16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22. As noted, the Employees don't request any hours for Hallock.</w:t>
      </w:r>
    </w:p>
  </w:footnote>
  <w:footnote w:id="6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59 </w:t>
      </w:r>
      <w:bookmarkStart w:id="162" w:name="Bookmark_fnpara_59"/>
      <w:bookmarkEnd w:id="162"/>
      <w:bookmarkStart w:id="163" w:name="Bookmark_I67H31PN28T3YV0050000400"/>
      <w:bookmarkEnd w:id="163"/>
      <w:hyperlink r:id="rId3" w:history="1">
        <w:r>
          <w:rPr>
            <w:rFonts w:ascii="arial" w:eastAsia="arial" w:hAnsi="arial" w:cs="arial"/>
            <w:b w:val="0"/>
            <w:i/>
            <w:strike w:val="0"/>
            <w:noProof w:val="0"/>
            <w:color w:val="0077CC"/>
            <w:position w:val="0"/>
            <w:sz w:val="18"/>
            <w:u w:val="single"/>
            <w:vertAlign w:val="baseline"/>
          </w:rPr>
          <w:t>Tovar</w:t>
        </w:r>
      </w:hyperlink>
      <w:hyperlink r:id="rId3" w:history="1">
        <w:r>
          <w:rPr>
            <w:rFonts w:ascii="arial" w:eastAsia="arial" w:hAnsi="arial" w:cs="arial"/>
            <w:b w:val="0"/>
            <w:i/>
            <w:strike w:val="0"/>
            <w:noProof w:val="0"/>
            <w:color w:val="0077CC"/>
            <w:position w:val="0"/>
            <w:sz w:val="18"/>
            <w:u w:val="single"/>
            <w:vertAlign w:val="baseline"/>
          </w:rPr>
          <w:t>, 2022 U.S. Dist. LEXIS 112749, 2022 WL 2306926, at *6</w:t>
        </w:r>
      </w:hyperlink>
      <w:r>
        <w:rPr>
          <w:rFonts w:ascii="arial" w:eastAsia="arial" w:hAnsi="arial" w:cs="arial"/>
          <w:b w:val="0"/>
          <w:i w:val="0"/>
          <w:strike w:val="0"/>
          <w:noProof w:val="0"/>
          <w:color w:val="000000"/>
          <w:position w:val="0"/>
          <w:sz w:val="18"/>
          <w:u w:val="none"/>
          <w:vertAlign w:val="baseline"/>
        </w:rPr>
        <w:t>.</w:t>
      </w:r>
    </w:p>
  </w:footnote>
  <w:footnote w:id="6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60 </w:t>
      </w:r>
      <w:bookmarkStart w:id="165" w:name="Bookmark_fnpara_60"/>
      <w:bookmarkEnd w:id="165"/>
      <w:r>
        <w:rPr>
          <w:rFonts w:ascii="arial" w:eastAsia="arial" w:hAnsi="arial" w:cs="arial"/>
          <w:b w:val="0"/>
          <w:i w:val="0"/>
          <w:strike w:val="0"/>
          <w:noProof w:val="0"/>
          <w:color w:val="000000"/>
          <w:position w:val="0"/>
          <w:sz w:val="18"/>
          <w:u w:val="none"/>
          <w:vertAlign w:val="baseline"/>
        </w:rPr>
        <w:t>The Employees request 97.3 hours for Dunn. The Court has reduced those hours by 7.4 hours and 0.3 hours. That leaves 89.6 hours at a rate of $412 per hour, which equals $36,915.20.</w:t>
      </w:r>
    </w:p>
  </w:footnote>
  <w:footnote w:id="6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61 </w:t>
      </w:r>
      <w:bookmarkStart w:id="166" w:name="Bookmark_fnpara_61"/>
      <w:bookmarkEnd w:id="166"/>
      <w:r>
        <w:rPr>
          <w:rFonts w:ascii="arial" w:eastAsia="arial" w:hAnsi="arial" w:cs="arial"/>
          <w:b w:val="0"/>
          <w:i w:val="0"/>
          <w:strike w:val="0"/>
          <w:noProof w:val="0"/>
          <w:color w:val="000000"/>
          <w:position w:val="0"/>
          <w:sz w:val="18"/>
          <w:u w:val="none"/>
          <w:vertAlign w:val="baseline"/>
        </w:rPr>
        <w:t>The Employees request 38.4 hours for Braziel. The Court has reduced those hours by 9 hours, 0.9 hours, and 10.09 hours. That leaves 18.41 hours at a rate of $450 per hour, which equals $8,284.50.</w:t>
      </w:r>
    </w:p>
  </w:footnote>
  <w:footnote w:id="6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62 </w:t>
      </w:r>
      <w:bookmarkStart w:id="167" w:name="Bookmark_fnpara_62"/>
      <w:bookmarkEnd w:id="167"/>
      <w:r>
        <w:rPr>
          <w:rFonts w:ascii="arial" w:eastAsia="arial" w:hAnsi="arial" w:cs="arial"/>
          <w:b w:val="0"/>
          <w:i w:val="0"/>
          <w:strike w:val="0"/>
          <w:noProof w:val="0"/>
          <w:color w:val="000000"/>
          <w:position w:val="0"/>
          <w:sz w:val="18"/>
          <w:u w:val="none"/>
          <w:vertAlign w:val="baseline"/>
        </w:rPr>
        <w:t>The Employees requested 12.2 hours for Brown. The Court has reduced that time by 5.05 hours, 2.3 hours, 0.75 hours. That leaves 4.1 hours at a rate of $300 per hour, which equals $1,230.</w:t>
      </w:r>
    </w:p>
  </w:footnote>
  <w:footnote w:id="6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63 </w:t>
      </w:r>
      <w:bookmarkStart w:id="168" w:name="Bookmark_fnpara_63"/>
      <w:bookmarkEnd w:id="168"/>
      <w:r>
        <w:rPr>
          <w:rFonts w:ascii="arial" w:eastAsia="arial" w:hAnsi="arial" w:cs="arial"/>
          <w:b w:val="0"/>
          <w:i w:val="0"/>
          <w:strike w:val="0"/>
          <w:noProof w:val="0"/>
          <w:color w:val="000000"/>
          <w:position w:val="0"/>
          <w:sz w:val="18"/>
          <w:u w:val="none"/>
          <w:vertAlign w:val="baseline"/>
        </w:rPr>
        <w:t>The Employees requested 11.3 hours for Beck. The Court has reduced that time by 7.9 hours. That leaves 3.4 hours at a rate of $300 per hour, which equals $1,020.</w:t>
      </w:r>
    </w:p>
  </w:footnote>
  <w:footnote w:id="6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64 </w:t>
      </w:r>
      <w:bookmarkStart w:id="169" w:name="Bookmark_fnpara_64"/>
      <w:bookmarkEnd w:id="169"/>
      <w:r>
        <w:rPr>
          <w:rFonts w:ascii="arial" w:eastAsia="arial" w:hAnsi="arial" w:cs="arial"/>
          <w:b w:val="0"/>
          <w:i w:val="0"/>
          <w:strike w:val="0"/>
          <w:noProof w:val="0"/>
          <w:color w:val="000000"/>
          <w:position w:val="0"/>
          <w:sz w:val="18"/>
          <w:u w:val="none"/>
          <w:vertAlign w:val="baseline"/>
        </w:rPr>
        <w:t>The Employees requested 4.8 hours for Ruiz. The Court has reduced Ruiz's hours by 4.8. That leaves 0 hours.</w:t>
      </w:r>
    </w:p>
  </w:footnote>
  <w:footnote w:id="6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65 </w:t>
      </w:r>
      <w:bookmarkStart w:id="172" w:name="Bookmark_fnpara_65"/>
      <w:bookmarkEnd w:id="172"/>
      <w:bookmarkStart w:id="173" w:name="Bookmark_I67H31PN2HM6420020000400"/>
      <w:bookmarkEnd w:id="173"/>
      <w:hyperlink r:id="rId24" w:history="1">
        <w:r>
          <w:rPr>
            <w:rFonts w:ascii="arial" w:eastAsia="arial" w:hAnsi="arial" w:cs="arial"/>
            <w:b w:val="0"/>
            <w:i/>
            <w:strike w:val="0"/>
            <w:noProof w:val="0"/>
            <w:color w:val="0077CC"/>
            <w:position w:val="0"/>
            <w:sz w:val="18"/>
            <w:u w:val="single"/>
            <w:vertAlign w:val="baseline"/>
          </w:rPr>
          <w:t>Perdue v. Kenny A. ex rel. Winn</w:t>
        </w:r>
      </w:hyperlink>
      <w:hyperlink r:id="rId24" w:history="1">
        <w:r>
          <w:rPr>
            <w:rFonts w:ascii="arial" w:eastAsia="arial" w:hAnsi="arial" w:cs="arial"/>
            <w:b w:val="0"/>
            <w:i/>
            <w:strike w:val="0"/>
            <w:noProof w:val="0"/>
            <w:color w:val="0077CC"/>
            <w:position w:val="0"/>
            <w:sz w:val="18"/>
            <w:u w:val="single"/>
            <w:vertAlign w:val="baseline"/>
          </w:rPr>
          <w:t>, 559 U.S. 542, 554, 130 S. Ct. 1662, 176 L. Ed. 2d 494 (2010)</w:t>
        </w:r>
      </w:hyperlink>
      <w:r>
        <w:rPr>
          <w:rFonts w:ascii="arial" w:eastAsia="arial" w:hAnsi="arial" w:cs="arial"/>
          <w:b w:val="0"/>
          <w:i w:val="0"/>
          <w:strike w:val="0"/>
          <w:noProof w:val="0"/>
          <w:color w:val="000000"/>
          <w:position w:val="0"/>
          <w:sz w:val="18"/>
          <w:u w:val="none"/>
          <w:vertAlign w:val="baseline"/>
        </w:rPr>
        <w:t xml:space="preserve"> (cleaned up).</w:t>
      </w:r>
    </w:p>
  </w:footnote>
  <w:footnote w:id="6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66 </w:t>
      </w:r>
      <w:bookmarkStart w:id="174" w:name="Bookmark_fnpara_66"/>
      <w:bookmarkEnd w:id="174"/>
      <w:r>
        <w:rPr>
          <w:rFonts w:ascii="arial" w:eastAsia="arial" w:hAnsi="arial" w:cs="arial"/>
          <w:b w:val="0"/>
          <w:i/>
          <w:strike w:val="0"/>
          <w:noProof w:val="0"/>
          <w:color w:val="000000"/>
          <w:position w:val="0"/>
          <w:sz w:val="18"/>
          <w:u w:val="none"/>
          <w:vertAlign w:val="baseline"/>
        </w:rPr>
        <w:t>Id.</w:t>
      </w:r>
    </w:p>
  </w:footnote>
  <w:footnote w:id="6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67 </w:t>
      </w:r>
      <w:bookmarkStart w:id="178" w:name="Bookmark_fnpara_67"/>
      <w:bookmarkEnd w:id="178"/>
      <w:bookmarkStart w:id="179" w:name="Bookmark_I67H31PN2HM6420040000400"/>
      <w:bookmarkEnd w:id="179"/>
      <w:hyperlink r:id="rId25" w:history="1">
        <w:r>
          <w:rPr>
            <w:rFonts w:ascii="arial" w:eastAsia="arial" w:hAnsi="arial" w:cs="arial"/>
            <w:b w:val="0"/>
            <w:i/>
            <w:strike w:val="0"/>
            <w:noProof w:val="0"/>
            <w:color w:val="0077CC"/>
            <w:position w:val="0"/>
            <w:sz w:val="18"/>
            <w:u w:val="single"/>
            <w:vertAlign w:val="baseline"/>
          </w:rPr>
          <w:t>Saizan v. Delta Concrete Prods</w:t>
        </w:r>
      </w:hyperlink>
      <w:hyperlink r:id="rId25" w:history="1">
        <w:r>
          <w:rPr>
            <w:rFonts w:ascii="arial" w:eastAsia="arial" w:hAnsi="arial" w:cs="arial"/>
            <w:b w:val="0"/>
            <w:i/>
            <w:strike w:val="0"/>
            <w:noProof w:val="0"/>
            <w:color w:val="0077CC"/>
            <w:position w:val="0"/>
            <w:sz w:val="18"/>
            <w:u w:val="single"/>
            <w:vertAlign w:val="baseline"/>
          </w:rPr>
          <w:t>., 448 F.3d 795, 800 n.18 (5th Cir. 2006)</w:t>
        </w:r>
      </w:hyperlink>
      <w:r>
        <w:rPr>
          <w:rFonts w:ascii="arial" w:eastAsia="arial" w:hAnsi="arial" w:cs="arial"/>
          <w:b w:val="0"/>
          <w:i w:val="0"/>
          <w:strike w:val="0"/>
          <w:noProof w:val="0"/>
          <w:color w:val="000000"/>
          <w:position w:val="0"/>
          <w:sz w:val="18"/>
          <w:u w:val="none"/>
          <w:vertAlign w:val="baseline"/>
        </w:rPr>
        <w:t xml:space="preserve"> (per curiam).</w:t>
      </w:r>
    </w:p>
  </w:footnote>
  <w:footnote w:id="6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68 </w:t>
      </w:r>
      <w:bookmarkStart w:id="182" w:name="Bookmark_fnpara_68"/>
      <w:bookmarkEnd w:id="182"/>
      <w:r>
        <w:rPr>
          <w:rFonts w:ascii="arial" w:eastAsia="arial" w:hAnsi="arial" w:cs="arial"/>
          <w:b w:val="0"/>
          <w:i w:val="0"/>
          <w:strike w:val="0"/>
          <w:noProof w:val="0"/>
          <w:color w:val="000000"/>
          <w:position w:val="0"/>
          <w:sz w:val="18"/>
          <w:u w:val="none"/>
          <w:vertAlign w:val="baseline"/>
        </w:rPr>
        <w:t xml:space="preserve">Doc. No. 48 at 23. AT&amp;T also presents the same argument under the twelfth </w:t>
      </w:r>
      <w:r>
        <w:rPr>
          <w:rFonts w:ascii="arial" w:eastAsia="arial" w:hAnsi="arial" w:cs="arial"/>
          <w:b w:val="0"/>
          <w:i/>
          <w:strike w:val="0"/>
          <w:noProof w:val="0"/>
          <w:color w:val="000000"/>
          <w:position w:val="0"/>
          <w:sz w:val="18"/>
          <w:u w:val="none"/>
          <w:vertAlign w:val="baseline"/>
        </w:rPr>
        <w:t>Johnson</w:t>
      </w:r>
      <w:r>
        <w:rPr>
          <w:rFonts w:ascii="arial" w:eastAsia="arial" w:hAnsi="arial" w:cs="arial"/>
          <w:b w:val="0"/>
          <w:i w:val="0"/>
          <w:strike w:val="0"/>
          <w:noProof w:val="0"/>
          <w:color w:val="000000"/>
          <w:position w:val="0"/>
          <w:sz w:val="18"/>
          <w:u w:val="none"/>
          <w:vertAlign w:val="baseline"/>
        </w:rPr>
        <w:t xml:space="preserve"> factor.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29-30.</w:t>
      </w:r>
    </w:p>
  </w:footnote>
  <w:footnote w:id="7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69 </w:t>
      </w:r>
      <w:bookmarkStart w:id="183" w:name="Bookmark_fnpara_69"/>
      <w:bookmarkEnd w:id="183"/>
      <w:r>
        <w:rPr>
          <w:rFonts w:ascii="arial" w:eastAsia="arial" w:hAnsi="arial" w:cs="arial"/>
          <w:b w:val="0"/>
          <w:i/>
          <w:strike w:val="0"/>
          <w:noProof w:val="0"/>
          <w:color w:val="000000"/>
          <w:position w:val="0"/>
          <w:sz w:val="18"/>
          <w:u w:val="none"/>
          <w:vertAlign w:val="baseline"/>
        </w:rPr>
        <w:t xml:space="preserve">See </w:t>
      </w:r>
      <w:bookmarkStart w:id="184" w:name="Bookmark_I67H31PP2D6N4C0010000400"/>
      <w:bookmarkEnd w:id="184"/>
      <w:hyperlink r:id="rId26" w:history="1">
        <w:r>
          <w:rPr>
            <w:rFonts w:ascii="arial" w:eastAsia="arial" w:hAnsi="arial" w:cs="arial"/>
            <w:b w:val="0"/>
            <w:i/>
            <w:strike w:val="0"/>
            <w:noProof w:val="0"/>
            <w:color w:val="0077CC"/>
            <w:position w:val="0"/>
            <w:sz w:val="18"/>
            <w:u w:val="single"/>
            <w:vertAlign w:val="baseline"/>
          </w:rPr>
          <w:t>Migis v. Pearle Vision, Inc.</w:t>
        </w:r>
      </w:hyperlink>
      <w:hyperlink r:id="rId26" w:history="1">
        <w:r>
          <w:rPr>
            <w:rFonts w:ascii="arial" w:eastAsia="arial" w:hAnsi="arial" w:cs="arial"/>
            <w:b w:val="0"/>
            <w:i/>
            <w:strike w:val="0"/>
            <w:noProof w:val="0"/>
            <w:color w:val="0077CC"/>
            <w:position w:val="0"/>
            <w:sz w:val="18"/>
            <w:u w:val="single"/>
            <w:vertAlign w:val="baseline"/>
          </w:rPr>
          <w:t>, 135 F.3d 1041, 1048 (5th Cir. 1998)</w:t>
        </w:r>
      </w:hyperlink>
      <w:r>
        <w:rPr>
          <w:rFonts w:ascii="arial" w:eastAsia="arial" w:hAnsi="arial" w:cs="arial"/>
          <w:b w:val="0"/>
          <w:i w:val="0"/>
          <w:strike w:val="0"/>
          <w:noProof w:val="0"/>
          <w:color w:val="000000"/>
          <w:position w:val="0"/>
          <w:sz w:val="18"/>
          <w:u w:val="none"/>
          <w:vertAlign w:val="baseline"/>
        </w:rPr>
        <w:t xml:space="preserve"> (rejecting an attorney fee award where the plaintiff "sought over twenty-six times the damages actually awarded" and recognizing that some "ratios are simply too large to allow the fee award to stand").</w:t>
      </w:r>
    </w:p>
  </w:footnote>
  <w:footnote w:id="7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70 </w:t>
      </w:r>
      <w:bookmarkStart w:id="188" w:name="Bookmark_fnpara_70"/>
      <w:bookmarkEnd w:id="188"/>
      <w:bookmarkStart w:id="189" w:name="Bookmark_I67H31PP2D6N4C0030000400"/>
      <w:bookmarkEnd w:id="189"/>
      <w:hyperlink r:id="rId25" w:history="1">
        <w:r>
          <w:rPr>
            <w:rFonts w:ascii="arial" w:eastAsia="arial" w:hAnsi="arial" w:cs="arial"/>
            <w:b w:val="0"/>
            <w:i/>
            <w:strike w:val="0"/>
            <w:noProof w:val="0"/>
            <w:color w:val="0077CC"/>
            <w:position w:val="0"/>
            <w:sz w:val="18"/>
            <w:u w:val="single"/>
            <w:vertAlign w:val="baseline"/>
          </w:rPr>
          <w:t>Saizan</w:t>
        </w:r>
      </w:hyperlink>
      <w:hyperlink r:id="rId25" w:history="1">
        <w:r>
          <w:rPr>
            <w:rFonts w:ascii="arial" w:eastAsia="arial" w:hAnsi="arial" w:cs="arial"/>
            <w:b w:val="0"/>
            <w:i/>
            <w:strike w:val="0"/>
            <w:noProof w:val="0"/>
            <w:color w:val="0077CC"/>
            <w:position w:val="0"/>
            <w:sz w:val="18"/>
            <w:u w:val="single"/>
            <w:vertAlign w:val="baseline"/>
          </w:rPr>
          <w:t>, 448 F.3d at 802</w:t>
        </w:r>
      </w:hyperlink>
      <w:r>
        <w:rPr>
          <w:rFonts w:ascii="arial" w:eastAsia="arial" w:hAnsi="arial" w:cs="arial"/>
          <w:b w:val="0"/>
          <w:i w:val="0"/>
          <w:strike w:val="0"/>
          <w:noProof w:val="0"/>
          <w:color w:val="000000"/>
          <w:position w:val="0"/>
          <w:sz w:val="18"/>
          <w:u w:val="none"/>
          <w:vertAlign w:val="baseline"/>
        </w:rPr>
        <w:t>.</w:t>
      </w:r>
    </w:p>
  </w:footnote>
  <w:footnote w:id="7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71 </w:t>
      </w:r>
      <w:bookmarkStart w:id="190" w:name="Bookmark_fnpara_71"/>
      <w:bookmarkEnd w:id="190"/>
      <w:bookmarkStart w:id="191" w:name="Bookmark_I67H31PP2D6N4C0050000400"/>
      <w:bookmarkEnd w:id="191"/>
      <w:hyperlink r:id="rId3" w:history="1">
        <w:r>
          <w:rPr>
            <w:rFonts w:ascii="arial" w:eastAsia="arial" w:hAnsi="arial" w:cs="arial"/>
            <w:b w:val="0"/>
            <w:i/>
            <w:strike w:val="0"/>
            <w:noProof w:val="0"/>
            <w:color w:val="0077CC"/>
            <w:position w:val="0"/>
            <w:sz w:val="18"/>
            <w:u w:val="single"/>
            <w:vertAlign w:val="baseline"/>
          </w:rPr>
          <w:t>Tovar</w:t>
        </w:r>
      </w:hyperlink>
      <w:hyperlink r:id="rId3" w:history="1">
        <w:r>
          <w:rPr>
            <w:rFonts w:ascii="arial" w:eastAsia="arial" w:hAnsi="arial" w:cs="arial"/>
            <w:b w:val="0"/>
            <w:i/>
            <w:strike w:val="0"/>
            <w:noProof w:val="0"/>
            <w:color w:val="0077CC"/>
            <w:position w:val="0"/>
            <w:sz w:val="18"/>
            <w:u w:val="single"/>
            <w:vertAlign w:val="baseline"/>
          </w:rPr>
          <w:t>, 2022 U.S. Dist. LEXIS 112749, 2022 WL 2306926, at *6</w:t>
        </w:r>
      </w:hyperlink>
      <w:r>
        <w:rPr>
          <w:rFonts w:ascii="arial" w:eastAsia="arial" w:hAnsi="arial" w:cs="arial"/>
          <w:b w:val="0"/>
          <w:i w:val="0"/>
          <w:strike w:val="0"/>
          <w:noProof w:val="0"/>
          <w:color w:val="000000"/>
          <w:position w:val="0"/>
          <w:sz w:val="18"/>
          <w:u w:val="none"/>
          <w:vertAlign w:val="baseline"/>
        </w:rPr>
        <w:t>.</w:t>
      </w:r>
    </w:p>
  </w:footnote>
  <w:footnote w:id="7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72 </w:t>
      </w:r>
      <w:bookmarkStart w:id="192" w:name="Bookmark_fnpara_72"/>
      <w:bookmarkEnd w:id="192"/>
      <w:r>
        <w:rPr>
          <w:rFonts w:ascii="arial" w:eastAsia="arial" w:hAnsi="arial" w:cs="arial"/>
          <w:b w:val="0"/>
          <w:i/>
          <w:strike w:val="0"/>
          <w:noProof w:val="0"/>
          <w:color w:val="000000"/>
          <w:position w:val="0"/>
          <w:sz w:val="18"/>
          <w:u w:val="none"/>
          <w:vertAlign w:val="baseline"/>
        </w:rPr>
        <w:t>Id.</w:t>
      </w:r>
    </w:p>
  </w:footnote>
  <w:footnote w:id="7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73 </w:t>
      </w:r>
      <w:bookmarkStart w:id="194" w:name="Bookmark_fnpara_73"/>
      <w:bookmarkEnd w:id="194"/>
      <w:r>
        <w:rPr>
          <w:rFonts w:ascii="arial" w:eastAsia="arial" w:hAnsi="arial" w:cs="arial"/>
          <w:b w:val="0"/>
          <w:i w:val="0"/>
          <w:strike w:val="0"/>
          <w:noProof w:val="0"/>
          <w:color w:val="000000"/>
          <w:position w:val="0"/>
          <w:sz w:val="18"/>
          <w:u w:val="none"/>
          <w:vertAlign w:val="baseline"/>
        </w:rPr>
        <w:t>Doc. No. 48 at 27.</w:t>
      </w:r>
    </w:p>
  </w:footnote>
  <w:footnote w:id="7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74 </w:t>
      </w:r>
      <w:bookmarkStart w:id="195" w:name="Bookmark_fnpara_74"/>
      <w:bookmarkEnd w:id="195"/>
      <w:r>
        <w:rPr>
          <w:rFonts w:ascii="arial" w:eastAsia="arial" w:hAnsi="arial" w:cs="arial"/>
          <w:b w:val="0"/>
          <w:i w:val="0"/>
          <w:strike w:val="0"/>
          <w:noProof w:val="0"/>
          <w:color w:val="000000"/>
          <w:position w:val="0"/>
          <w:sz w:val="18"/>
          <w:u w:val="none"/>
          <w:vertAlign w:val="baseline"/>
        </w:rPr>
        <w:t>Doc. No. 52 at 15.</w:t>
      </w:r>
    </w:p>
  </w:footnote>
  <w:footnote w:id="7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75 </w:t>
      </w:r>
      <w:bookmarkStart w:id="197" w:name="Bookmark_fnpara_75"/>
      <w:bookmarkEnd w:id="197"/>
      <w:r>
        <w:rPr>
          <w:rFonts w:ascii="arial" w:eastAsia="arial" w:hAnsi="arial" w:cs="arial"/>
          <w:b w:val="0"/>
          <w:i w:val="0"/>
          <w:strike w:val="0"/>
          <w:noProof w:val="0"/>
          <w:color w:val="000000"/>
          <w:position w:val="0"/>
          <w:sz w:val="18"/>
          <w:u w:val="none"/>
          <w:vertAlign w:val="baseline"/>
        </w:rPr>
        <w:t>Doc. No. 48 at 28.</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Salinas v. Southwestern Bell Tel. LP, 2023 U.S. Dist. LEXIS 17486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5T2-R161-JKB3-X260-00000-00&amp;context=151936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G0-9RT1-F4GK-M4G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7F7-7743-CGX8-02WK-00000-00&amp;context=1519360" TargetMode="External" /><Relationship Id="rId10" Type="http://schemas.openxmlformats.org/officeDocument/2006/relationships/hyperlink" Target="https://advance.lexis.com/api/document?collection=cases&amp;id=urn:contentItem:5HJP-1Y41-F04F-C12H-00000-00&amp;context=1519360" TargetMode="External" /><Relationship Id="rId11" Type="http://schemas.openxmlformats.org/officeDocument/2006/relationships/hyperlink" Target="https://advance.lexis.com/api/document?collection=cases&amp;id=urn:contentItem:5TFT-M8D1-JXNB-621D-00000-00&amp;context=1519360" TargetMode="External" /><Relationship Id="rId12" Type="http://schemas.openxmlformats.org/officeDocument/2006/relationships/hyperlink" Target="https://advance.lexis.com/api/document?collection=cases&amp;id=urn:contentItem:5VTN-TK21-F873-B35N-00000-00&amp;context=1519360" TargetMode="External" /><Relationship Id="rId13" Type="http://schemas.openxmlformats.org/officeDocument/2006/relationships/hyperlink" Target="https://advance.lexis.com/api/document?collection=cases&amp;id=urn:contentItem:5VTN-TK21-F873-B35Y-00000-00&amp;context=1519360" TargetMode="External" /><Relationship Id="rId14" Type="http://schemas.openxmlformats.org/officeDocument/2006/relationships/hyperlink" Target="https://advance.lexis.com/api/document?collection=cases&amp;id=urn:contentItem:65T2-MMK1-JN6B-S06Y-00000-00&amp;context=1519360" TargetMode="External" /><Relationship Id="rId15" Type="http://schemas.openxmlformats.org/officeDocument/2006/relationships/hyperlink" Target="https://advance.lexis.com/api/document?collection=cases&amp;id=urn:contentItem:658J-PHG1-F2F4-G339-00000-00&amp;context=1519360" TargetMode="External" /><Relationship Id="rId16" Type="http://schemas.openxmlformats.org/officeDocument/2006/relationships/hyperlink" Target="https://advance.lexis.com/api/document?collection=cases&amp;id=urn:contentItem:65CB-9Y41-FBV7-B4W8-00000-00&amp;context=1519360" TargetMode="External" /><Relationship Id="rId17" Type="http://schemas.openxmlformats.org/officeDocument/2006/relationships/hyperlink" Target="https://advance.lexis.com/api/document?collection=cases&amp;id=urn:contentItem:671X-N4M1-JNJT-B069-00000-00&amp;context=1519360" TargetMode="External" /><Relationship Id="rId18" Type="http://schemas.openxmlformats.org/officeDocument/2006/relationships/hyperlink" Target="https://advance.lexis.com/api/document?collection=cases&amp;id=urn:contentItem:6526-JWV1-JJD0-G2BM-00000-00&amp;context=1519360" TargetMode="External" /><Relationship Id="rId19" Type="http://schemas.openxmlformats.org/officeDocument/2006/relationships/hyperlink" Target="https://advance.lexis.com/api/document?collection=cases&amp;id=urn:contentItem:61W7-MX41-JSRM-62XY-00000-00&amp;context=1519360" TargetMode="External" /><Relationship Id="rId2" Type="http://schemas.openxmlformats.org/officeDocument/2006/relationships/hyperlink" Target="https://advance.lexis.com/api/document?collection=cases&amp;id=urn:contentItem:3RHT-Y320-0038-X417-00000-00&amp;context=1519360" TargetMode="External" /><Relationship Id="rId20" Type="http://schemas.openxmlformats.org/officeDocument/2006/relationships/hyperlink" Target="https://advance.lexis.com/api/document?collection=cases&amp;id=urn:contentItem:5130-02C1-652R-3001-00000-00&amp;context=1519360" TargetMode="External" /><Relationship Id="rId21" Type="http://schemas.openxmlformats.org/officeDocument/2006/relationships/hyperlink" Target="https://advance.lexis.com/api/document?collection=cases&amp;id=urn:contentItem:83D6-4VR1-652R-33B6-00000-00&amp;context=1519360" TargetMode="External" /><Relationship Id="rId22" Type="http://schemas.openxmlformats.org/officeDocument/2006/relationships/hyperlink" Target="https://advance.lexis.com/api/document?collection=cases&amp;id=urn:contentItem:5CP4-PDW1-F04F-C53R-00000-00&amp;context=1519360" TargetMode="External" /><Relationship Id="rId23" Type="http://schemas.openxmlformats.org/officeDocument/2006/relationships/hyperlink" Target="https://advance.lexis.com/api/document?collection=cases&amp;id=urn:contentItem:5MBR-BKG1-F04F-C3J5-00000-00&amp;context=1519360" TargetMode="External" /><Relationship Id="rId24" Type="http://schemas.openxmlformats.org/officeDocument/2006/relationships/hyperlink" Target="https://advance.lexis.com/api/document?collection=cases&amp;id=urn:contentItem:7Y91-KX80-YB0V-9002-00000-00&amp;context=1519360" TargetMode="External" /><Relationship Id="rId25" Type="http://schemas.openxmlformats.org/officeDocument/2006/relationships/hyperlink" Target="https://advance.lexis.com/api/document?collection=cases&amp;id=urn:contentItem:4JWW-79M0-0038-X0G3-00000-00&amp;context=1519360" TargetMode="External" /><Relationship Id="rId26" Type="http://schemas.openxmlformats.org/officeDocument/2006/relationships/hyperlink" Target="https://advance.lexis.com/api/document?collection=cases&amp;id=urn:contentItem:3S6M-4430-0038-X042-00000-00&amp;context=1519360" TargetMode="External" /><Relationship Id="rId3" Type="http://schemas.openxmlformats.org/officeDocument/2006/relationships/hyperlink" Target="https://advance.lexis.com/api/document?collection=cases&amp;id=urn:contentItem:65T2-R161-JKB3-X260-00000-00&amp;context=1519360" TargetMode="External" /><Relationship Id="rId4" Type="http://schemas.openxmlformats.org/officeDocument/2006/relationships/hyperlink" Target="https://advance.lexis.com/api/document?collection=cases&amp;id=urn:contentItem:4594-MH00-0038-X0D9-00000-00&amp;context=1519360" TargetMode="External" /><Relationship Id="rId5" Type="http://schemas.openxmlformats.org/officeDocument/2006/relationships/hyperlink" Target="https://advance.lexis.com/api/document?collection=cases&amp;id=urn:contentItem:5Y1P-PC51-F361-M1RS-00000-00&amp;context=1519360" TargetMode="External" /><Relationship Id="rId6" Type="http://schemas.openxmlformats.org/officeDocument/2006/relationships/hyperlink" Target="https://advance.lexis.com/api/document?collection=cases&amp;id=urn:contentItem:6273-53F1-JCRC-B1VW-00000-00&amp;context=1519360" TargetMode="External" /><Relationship Id="rId7" Type="http://schemas.openxmlformats.org/officeDocument/2006/relationships/hyperlink" Target="https://advance.lexis.com/api/document?collection=cases&amp;id=urn:contentItem:655T-0T01-JXNB-654Y-00000-00&amp;context=1519360" TargetMode="External" /><Relationship Id="rId8" Type="http://schemas.openxmlformats.org/officeDocument/2006/relationships/hyperlink" Target="https://advance.lexis.com/api/document?collection=cases&amp;id=urn:contentItem:646X-SCF1-JXNB-63F6-00000-00&amp;context=1519360" TargetMode="External" /><Relationship Id="rId9" Type="http://schemas.openxmlformats.org/officeDocument/2006/relationships/hyperlink" Target="https://advance.lexis.com/api/document?collection=cases&amp;id=urn:contentItem:65TS-G0M1-JX8W-M1K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Salinas v. Southwestern Bell Tel. LP, 2023 U.S. Dist. LEXIS 17486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55</vt:lpwstr>
  </property>
  <property fmtid="{D5CDD505-2E9C-101B-9397-08002B2CF9AE}" pid="3" name="LADocCount">
    <vt:lpwstr>1</vt:lpwstr>
  </property>
  <property fmtid="{D5CDD505-2E9C-101B-9397-08002B2CF9AE}" pid="4" name="LADocumentID:55">
    <vt:lpwstr>Doc::urn:hlct:5|contextualFeaturePermID::1519360</vt:lpwstr>
  </property>
  <property fmtid="{D5CDD505-2E9C-101B-9397-08002B2CF9AE}" pid="5" name="UserPermID">
    <vt:lpwstr>urn:user:PA186186283</vt:lpwstr>
  </property>
</Properties>
</file>