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Eziyi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Utah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Decided; September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2:22-cr-00160-JNP-2</w:t>
      </w:r>
    </w:p>
    <w:p>
      <w:pPr>
        <w:keepNext w:val="0"/>
        <w:spacing w:after="0" w:line="240" w:lineRule="atLeast"/>
        <w:ind w:right="0"/>
        <w:jc w:val="both"/>
      </w:pPr>
      <w:bookmarkStart w:id="0" w:name="Bookmark_8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175664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6318118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PRINCESS EZIYI and CLINTON CHUKWUDI UCHENDU,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Motion denied by </w:t>
      </w:r>
      <w:hyperlink r:id="rId10" w:history="1">
        <w:r>
          <w:rPr>
            <w:rFonts w:ascii="arial" w:eastAsia="arial" w:hAnsi="arial" w:cs="arial"/>
            <w:b w:val="0"/>
            <w:i/>
            <w:strike w:val="0"/>
            <w:noProof w:val="0"/>
            <w:color w:val="0077CC"/>
            <w:position w:val="0"/>
            <w:sz w:val="20"/>
            <w:u w:val="single"/>
            <w:vertAlign w:val="baseline"/>
          </w:rPr>
          <w:t>United States v. Uchendu, 2023 U.S. Dist. LEXIS 202236, 2023 WL 7413707 (D. Utah, Nov. 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1" w:history="1">
        <w:r>
          <w:rPr>
            <w:rFonts w:ascii="arial" w:eastAsia="arial" w:hAnsi="arial" w:cs="arial"/>
            <w:b w:val="0"/>
            <w:i/>
            <w:strike w:val="0"/>
            <w:noProof w:val="0"/>
            <w:color w:val="0077CC"/>
            <w:position w:val="0"/>
            <w:sz w:val="20"/>
            <w:u w:val="single"/>
            <w:vertAlign w:val="baseline"/>
          </w:rPr>
          <w:t>United States v. Uchendu, 2024 U.S. Dist. LEXIS 31666, 2024 WL 757204 (D. Utah, Feb. 23,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in part, Motion denied by, in part </w:t>
      </w:r>
      <w:hyperlink r:id="rId12" w:history="1">
        <w:r>
          <w:rPr>
            <w:rFonts w:ascii="arial" w:eastAsia="arial" w:hAnsi="arial" w:cs="arial"/>
            <w:b w:val="0"/>
            <w:i/>
            <w:strike w:val="0"/>
            <w:noProof w:val="0"/>
            <w:color w:val="0077CC"/>
            <w:position w:val="0"/>
            <w:sz w:val="20"/>
            <w:u w:val="single"/>
            <w:vertAlign w:val="baseline"/>
          </w:rPr>
          <w:t>United States v. Uchendu, 2024 U.S. Dist. LEXIS 41407 (D. Utah, Mar. 8,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venue, Indictment, conspiracy, conducting, unlicensed, continuing offense, transmitting, purposes, aiding and abetting, conducting business, manage, cases, locus, proscribed, delicti, verb</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Princess Eziyi, Defendant: Robert K. Hunt, LEAD ATTORNEY, FEDERAL PUBLIC DEFENDER, DISTRICT OF UTAH, SALT LAKE CITY, UT.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Clinton Chukwudi Uchendu, also known as Clinton Uchendu, Defendant: Sam Meziani, LEAD ATTORNEY, GOEBEL ANDERSON PC, SALT LAKE CITY, UT.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Zachary M. Villaran, Notice Party,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Carl David LeSueur, LEAD ATTORNEY, Stewart M. Young, US ATTORNEY'S OFFICE, SALT LAKE CITY, UT.</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Jill N. Parrish,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Jill N. Parrish</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DECISION &amp; ORDER DENYING DEFENDANT'S MOTION TO DISMISS COUNT THREE FOR LACK OF VENUE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Defendant Clinton Uchendu's Motion to Dismiss Count Three of the Third Superseding Indictment for Lack of Venue, ECF No. 105 ("Motion"). Having considered the arguments submitted by the parties and the relevant law,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Mr. Uchendu's Motion, subject to the considerations discussed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May 4, 2022, a grand jury indicted Princess Eziyi for </w:t>
      </w:r>
      <w:hyperlink r:id="rId13"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conspiracy to commit money laundering and </w:t>
      </w:r>
      <w:hyperlink r:id="rId14"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xml:space="preserve"> mail fraud. ECF No. 5. On May 25, 2022, the Government filed a Superseding Indictment, adding Mr. Uchendu as a codefendant.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 On June 21, 2023, the Government filed a Second Superseding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Indictment, ECF No. 76, adding a third count against Mr. Uchendu under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for "knowingly conduct[ing], control[ling], manag[ing], supervis[ing], direct[ing] or own[ing] all or part of an unlicensed money transmitting business without registering that business as required by </w:t>
      </w:r>
      <w:hyperlink r:id="rId16" w:history="1">
        <w:r>
          <w:rPr>
            <w:rFonts w:ascii="arial" w:eastAsia="arial" w:hAnsi="arial" w:cs="arial"/>
            <w:b w:val="0"/>
            <w:i/>
            <w:strike w:val="0"/>
            <w:noProof w:val="0"/>
            <w:color w:val="0077CC"/>
            <w:position w:val="0"/>
            <w:sz w:val="20"/>
            <w:u w:val="single"/>
            <w:vertAlign w:val="baseline"/>
          </w:rPr>
          <w:t>31 U.S.C. § 5330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August 30, 2023, the Government filed a Third Superseding Indictment, ECF No. 102 ("Third Superseding Indictment"), through which it clarified that the unlicensed money transmitting business that gives rise to the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charge "consisted of a network of participants who employed a variety of methods to transmit the proceeds" who were mostly located in Utah County, Utah.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25.</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Through the Motion now before this court, Mr. Uchendu moved to dismiss Count Three for improper venue. Argument on the Motion was held on September 12,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113. After oral argument, Mr. Uchendu was given opportunity to file a supplemental memorandum in support of his Motion on the issue of venue under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122, to which the government subsequently responded. ECF No. 123.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The Constitution provides that criminal trials shall be held in the state in which the crime occurred. </w:t>
      </w:r>
      <w:bookmarkStart w:id="13" w:name="Bookmark_I69B1W1V2HM6FD0020000400"/>
      <w:bookmarkEnd w:id="13"/>
      <w:hyperlink r:id="rId18" w:history="1">
        <w:r>
          <w:rPr>
            <w:rFonts w:ascii="arial" w:eastAsia="arial" w:hAnsi="arial" w:cs="arial"/>
            <w:b w:val="0"/>
            <w:i/>
            <w:strike w:val="0"/>
            <w:noProof w:val="0"/>
            <w:color w:val="0077CC"/>
            <w:position w:val="0"/>
            <w:sz w:val="20"/>
            <w:u w:val="single"/>
            <w:vertAlign w:val="baseline"/>
          </w:rPr>
          <w:t>U.S. Const.</w:t>
        </w:r>
      </w:hyperlink>
      <w:hyperlink r:id="rId18" w:history="1">
        <w:r>
          <w:rPr>
            <w:rFonts w:ascii="arial" w:eastAsia="arial" w:hAnsi="arial" w:cs="arial"/>
            <w:b w:val="0"/>
            <w:i/>
            <w:strike w:val="0"/>
            <w:noProof w:val="0"/>
            <w:color w:val="0077CC"/>
            <w:position w:val="0"/>
            <w:sz w:val="20"/>
            <w:u w:val="single"/>
            <w:vertAlign w:val="baseline"/>
          </w:rPr>
          <w:t xml:space="preserve"> art. III, § 2, cl. 3</w: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criminal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defendants the right to a jury trial in the district where the crime was committed. </w:t>
      </w:r>
      <w:hyperlink r:id="rId19" w:history="1">
        <w:r>
          <w:rPr>
            <w:rFonts w:ascii="arial" w:eastAsia="arial" w:hAnsi="arial" w:cs="arial"/>
            <w:b w:val="0"/>
            <w:i/>
            <w:strike w:val="0"/>
            <w:noProof w:val="0"/>
            <w:color w:val="0077CC"/>
            <w:position w:val="0"/>
            <w:sz w:val="20"/>
            <w:u w:val="single"/>
            <w:vertAlign w:val="baseline"/>
          </w:rPr>
          <w:t>U.S. Const.</w:t>
        </w:r>
      </w:hyperlink>
      <w:hyperlink r:id="rId19" w:history="1">
        <w:r>
          <w:rPr>
            <w:rFonts w:ascii="arial" w:eastAsia="arial" w:hAnsi="arial" w:cs="arial"/>
            <w:b w:val="0"/>
            <w:i/>
            <w:strike w:val="0"/>
            <w:noProof w:val="0"/>
            <w:color w:val="0077CC"/>
            <w:position w:val="0"/>
            <w:sz w:val="20"/>
            <w:u w:val="single"/>
            <w:vertAlign w:val="baseline"/>
          </w:rPr>
          <w:t xml:space="preserve"> amend. VI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Rule 18 of the Federal Rules of Criminal Procedure</w:t>
        </w:r>
      </w:hyperlink>
      <w:r>
        <w:rPr>
          <w:rFonts w:ascii="arial" w:eastAsia="arial" w:hAnsi="arial" w:cs="arial"/>
          <w:b w:val="0"/>
          <w:i w:val="0"/>
          <w:strike w:val="0"/>
          <w:noProof w:val="0"/>
          <w:color w:val="000000"/>
          <w:position w:val="0"/>
          <w:sz w:val="20"/>
          <w:u w:val="none"/>
          <w:vertAlign w:val="baseline"/>
        </w:rPr>
        <w:t xml:space="preserve"> protects this right by requiring the Government "to prosecute an offense in a district where the offense was committed." </w:t>
      </w:r>
      <w:hyperlink r:id="rId20" w:history="1">
        <w:r>
          <w:rPr>
            <w:rFonts w:ascii="arial" w:eastAsia="arial" w:hAnsi="arial" w:cs="arial"/>
            <w:b w:val="0"/>
            <w:i/>
            <w:strike w:val="0"/>
            <w:noProof w:val="0"/>
            <w:color w:val="0077CC"/>
            <w:position w:val="0"/>
            <w:sz w:val="20"/>
            <w:u w:val="single"/>
            <w:vertAlign w:val="baseline"/>
          </w:rPr>
          <w:t>Fed. R. Crim. P.</w:t>
        </w:r>
      </w:hyperlink>
      <w:hyperlink r:id="rId20" w:history="1">
        <w:r>
          <w:rPr>
            <w:rFonts w:ascii="arial" w:eastAsia="arial" w:hAnsi="arial" w:cs="arial"/>
            <w:b w:val="0"/>
            <w:i/>
            <w:strike w:val="0"/>
            <w:noProof w:val="0"/>
            <w:color w:val="0077CC"/>
            <w:position w:val="0"/>
            <w:sz w:val="20"/>
            <w:u w:val="single"/>
            <w:vertAlign w:val="baseline"/>
          </w:rPr>
          <w:t xml:space="preserve"> 18</w:t>
        </w:r>
      </w:hyperlink>
      <w:r>
        <w:rPr>
          <w:rFonts w:ascii="arial" w:eastAsia="arial" w:hAnsi="arial" w:cs="arial"/>
          <w:b w:val="0"/>
          <w:i w:val="0"/>
          <w:strike w:val="0"/>
          <w:noProof w:val="0"/>
          <w:color w:val="000000"/>
          <w:position w:val="0"/>
          <w:sz w:val="20"/>
          <w:u w:val="none"/>
          <w:vertAlign w:val="baseline"/>
        </w:rPr>
        <w:t xml:space="preserve">; </w:t>
      </w:r>
      <w:bookmarkStart w:id="14" w:name="Bookmark_I69B1W1V2HM6FD0010000400"/>
      <w:bookmarkEnd w:id="14"/>
      <w:hyperlink r:id="rId21" w:history="1">
        <w:r>
          <w:rPr>
            <w:rFonts w:ascii="arial" w:eastAsia="arial" w:hAnsi="arial" w:cs="arial"/>
            <w:b w:val="0"/>
            <w:i/>
            <w:strike w:val="0"/>
            <w:noProof w:val="0"/>
            <w:color w:val="0077CC"/>
            <w:position w:val="0"/>
            <w:sz w:val="20"/>
            <w:u w:val="single"/>
            <w:vertAlign w:val="baseline"/>
          </w:rPr>
          <w:t>United States v. Cabrales</w:t>
        </w:r>
      </w:hyperlink>
      <w:hyperlink r:id="rId21" w:history="1">
        <w:r>
          <w:rPr>
            <w:rFonts w:ascii="arial" w:eastAsia="arial" w:hAnsi="arial" w:cs="arial"/>
            <w:b w:val="0"/>
            <w:i/>
            <w:strike w:val="0"/>
            <w:noProof w:val="0"/>
            <w:color w:val="0077CC"/>
            <w:position w:val="0"/>
            <w:sz w:val="20"/>
            <w:u w:val="single"/>
            <w:vertAlign w:val="baseline"/>
          </w:rPr>
          <w:t>, 524 U.S. 1, 5, 118 S. Ct. 1772, 141 L. Ed. 2d 1 (1998)</w:t>
        </w:r>
      </w:hyperlink>
      <w:r>
        <w:rPr>
          <w:rFonts w:ascii="arial" w:eastAsia="arial" w:hAnsi="arial" w:cs="arial"/>
          <w:b w:val="0"/>
          <w:i w:val="0"/>
          <w:strike w:val="0"/>
          <w:noProof w:val="0"/>
          <w:color w:val="000000"/>
          <w:position w:val="0"/>
          <w:sz w:val="20"/>
          <w:u w:val="none"/>
          <w:vertAlign w:val="baseline"/>
        </w:rPr>
        <w:t xml:space="preserve"> (quoting </w:t>
      </w:r>
      <w:bookmarkStart w:id="15" w:name="Bookmark_I69B1W1V2HM6FD0030000400"/>
      <w:bookmarkEnd w:id="15"/>
      <w:hyperlink r:id="rId22" w:history="1">
        <w:r>
          <w:rPr>
            <w:rFonts w:ascii="arial" w:eastAsia="arial" w:hAnsi="arial" w:cs="arial"/>
            <w:b w:val="0"/>
            <w:i/>
            <w:strike w:val="0"/>
            <w:noProof w:val="0"/>
            <w:color w:val="0077CC"/>
            <w:position w:val="0"/>
            <w:sz w:val="20"/>
            <w:u w:val="single"/>
            <w:vertAlign w:val="baseline"/>
          </w:rPr>
          <w:t>United States v. Pirani</w:t>
        </w:r>
      </w:hyperlink>
      <w:hyperlink r:id="rId22" w:history="1">
        <w:r>
          <w:rPr>
            <w:rFonts w:ascii="arial" w:eastAsia="arial" w:hAnsi="arial" w:cs="arial"/>
            <w:b w:val="0"/>
            <w:i/>
            <w:strike w:val="0"/>
            <w:noProof w:val="0"/>
            <w:color w:val="0077CC"/>
            <w:position w:val="0"/>
            <w:sz w:val="20"/>
            <w:u w:val="single"/>
            <w:vertAlign w:val="baseline"/>
          </w:rPr>
          <w:t>, 109 F.3d 471, 472 (8th Cir. 1997)</w:t>
        </w:r>
      </w:hyperlink>
      <w:r>
        <w:rPr>
          <w:rFonts w:ascii="arial" w:eastAsia="arial" w:hAnsi="arial" w:cs="arial"/>
          <w:b w:val="0"/>
          <w:i w:val="0"/>
          <w:strike w:val="0"/>
          <w:noProof w:val="0"/>
          <w:color w:val="000000"/>
          <w:position w:val="0"/>
          <w:sz w:val="20"/>
          <w:u w:val="none"/>
          <w:vertAlign w:val="baseline"/>
        </w:rPr>
        <w:t xml:space="preserve">) ("Both </w:t>
      </w:r>
      <w:hyperlink r:id="rId20" w:history="1">
        <w:r>
          <w:rPr>
            <w:rFonts w:ascii="arial" w:eastAsia="arial" w:hAnsi="arial" w:cs="arial"/>
            <w:b w:val="0"/>
            <w:i/>
            <w:strike w:val="0"/>
            <w:noProof w:val="0"/>
            <w:color w:val="0077CC"/>
            <w:position w:val="0"/>
            <w:sz w:val="20"/>
            <w:u w:val="single"/>
            <w:vertAlign w:val="baseline"/>
          </w:rPr>
          <w:t>Rule 18 of the Federal Rules of Criminal Procedure</w:t>
        </w:r>
      </w:hyperlink>
      <w:r>
        <w:rPr>
          <w:rFonts w:ascii="arial" w:eastAsia="arial" w:hAnsi="arial" w:cs="arial"/>
          <w:b w:val="0"/>
          <w:i w:val="0"/>
          <w:strike w:val="0"/>
          <w:noProof w:val="0"/>
          <w:color w:val="000000"/>
          <w:position w:val="0"/>
          <w:sz w:val="20"/>
          <w:u w:val="none"/>
          <w:vertAlign w:val="baseline"/>
        </w:rPr>
        <w:t xml:space="preserve"> and the Constitution require that a person be tried for an offense where that offense is committed.").</w:t>
      </w:r>
    </w:p>
    <w:p>
      <w:pPr>
        <w:keepNext w:val="0"/>
        <w:spacing w:before="240" w:after="0" w:line="260" w:lineRule="atLeast"/>
        <w:ind w:left="0" w:right="0" w:firstLine="0"/>
        <w:jc w:val="both"/>
      </w:pPr>
      <w:bookmarkStart w:id="16" w:name="Bookmark_para_6"/>
      <w:bookmarkEnd w:id="16"/>
      <w:bookmarkStart w:id="17" w:name="Bookmark_I69B1W1V28T4X00010000400"/>
      <w:bookmarkEnd w:id="17"/>
      <w:r>
        <w:rPr>
          <w:rFonts w:ascii="arial" w:eastAsia="arial" w:hAnsi="arial" w:cs="arial"/>
          <w:b w:val="0"/>
          <w:i w:val="0"/>
          <w:strike w:val="0"/>
          <w:noProof w:val="0"/>
          <w:color w:val="000000"/>
          <w:position w:val="0"/>
          <w:sz w:val="20"/>
          <w:u w:val="none"/>
          <w:vertAlign w:val="baseline"/>
        </w:rPr>
        <w:t xml:space="preserve">The issue of venue is more than a procedural one—it has constitutional and public policy dimensions. </w:t>
      </w:r>
      <w:bookmarkStart w:id="18" w:name="Bookmark_I69B1W1V28T4X00050000400"/>
      <w:bookmarkEnd w:id="18"/>
      <w:bookmarkStart w:id="19" w:name="Bookmark_I69B1W1V2HM6FD0050000400"/>
      <w:bookmarkEnd w:id="19"/>
      <w:hyperlink r:id="rId23" w:history="1">
        <w:r>
          <w:rPr>
            <w:rFonts w:ascii="arial" w:eastAsia="arial" w:hAnsi="arial" w:cs="arial"/>
            <w:b w:val="0"/>
            <w:i/>
            <w:strike w:val="0"/>
            <w:noProof w:val="0"/>
            <w:color w:val="0077CC"/>
            <w:position w:val="0"/>
            <w:sz w:val="20"/>
            <w:u w:val="single"/>
            <w:vertAlign w:val="baseline"/>
          </w:rPr>
          <w:t>United States v. Ryan</w:t>
        </w:r>
      </w:hyperlink>
      <w:hyperlink r:id="rId23" w:history="1">
        <w:r>
          <w:rPr>
            <w:rFonts w:ascii="arial" w:eastAsia="arial" w:hAnsi="arial" w:cs="arial"/>
            <w:b w:val="0"/>
            <w:i/>
            <w:strike w:val="0"/>
            <w:noProof w:val="0"/>
            <w:color w:val="0077CC"/>
            <w:position w:val="0"/>
            <w:sz w:val="20"/>
            <w:u w:val="single"/>
            <w:vertAlign w:val="baseline"/>
          </w:rPr>
          <w:t>, 894 F.2d 355, 359 (10th Cir. 1990)</w:t>
        </w:r>
      </w:hyperlink>
      <w:r>
        <w:rPr>
          <w:rFonts w:ascii="arial" w:eastAsia="arial" w:hAnsi="arial" w:cs="arial"/>
          <w:b w:val="0"/>
          <w:i w:val="0"/>
          <w:strike w:val="0"/>
          <w:noProof w:val="0"/>
          <w:color w:val="000000"/>
          <w:position w:val="0"/>
          <w:sz w:val="20"/>
          <w:u w:val="none"/>
          <w:vertAlign w:val="baseline"/>
        </w:rPr>
        <w:t xml:space="preserve">; </w:t>
      </w:r>
      <w:bookmarkStart w:id="20" w:name="Bookmark_I69B1W1V28T4X00020000400"/>
      <w:bookmarkEnd w:id="20"/>
      <w:hyperlink r:id="rId24" w:history="1">
        <w:r>
          <w:rPr>
            <w:rFonts w:ascii="arial" w:eastAsia="arial" w:hAnsi="arial" w:cs="arial"/>
            <w:b w:val="0"/>
            <w:i/>
            <w:strike w:val="0"/>
            <w:noProof w:val="0"/>
            <w:color w:val="0077CC"/>
            <w:position w:val="0"/>
            <w:sz w:val="20"/>
            <w:u w:val="single"/>
            <w:vertAlign w:val="baseline"/>
          </w:rPr>
          <w:t>United States v. Lewis</w:t>
        </w:r>
      </w:hyperlink>
      <w:hyperlink r:id="rId24" w:history="1">
        <w:r>
          <w:rPr>
            <w:rFonts w:ascii="arial" w:eastAsia="arial" w:hAnsi="arial" w:cs="arial"/>
            <w:b w:val="0"/>
            <w:i/>
            <w:strike w:val="0"/>
            <w:noProof w:val="0"/>
            <w:color w:val="0077CC"/>
            <w:position w:val="0"/>
            <w:sz w:val="20"/>
            <w:u w:val="single"/>
            <w:vertAlign w:val="baseline"/>
          </w:rPr>
          <w:t>, 768 F. 3d 1086, 1090 (10th Cir. 2014)</w:t>
        </w:r>
      </w:hyperlink>
      <w:r>
        <w:rPr>
          <w:rFonts w:ascii="arial" w:eastAsia="arial" w:hAnsi="arial" w:cs="arial"/>
          <w:b w:val="0"/>
          <w:i w:val="0"/>
          <w:strike w:val="0"/>
          <w:noProof w:val="0"/>
          <w:color w:val="000000"/>
          <w:position w:val="0"/>
          <w:sz w:val="20"/>
          <w:u w:val="none"/>
          <w:vertAlign w:val="baseline"/>
        </w:rPr>
        <w:t xml:space="preserve">. </w:t>
      </w:r>
      <w:bookmarkStart w:id="21" w:name="Bookmark_I69B1W1W2N1RJH0020000400"/>
      <w:bookmarkEnd w:id="21"/>
      <w:r>
        <w:rPr>
          <w:rFonts w:ascii="arial" w:eastAsia="arial" w:hAnsi="arial" w:cs="arial"/>
          <w:b w:val="0"/>
          <w:i w:val="0"/>
          <w:strike w:val="0"/>
          <w:noProof w:val="0"/>
          <w:color w:val="000000"/>
          <w:position w:val="0"/>
          <w:sz w:val="20"/>
          <w:u w:val="none"/>
          <w:vertAlign w:val="baseline"/>
        </w:rPr>
        <w:t xml:space="preserve">The crucial inquiry for venue analysis is to determine where the alleged crime was committed. </w:t>
      </w:r>
      <w:bookmarkStart w:id="22" w:name="Bookmark_I69B1W1W2N1RJH0020000400_2"/>
      <w:bookmarkEnd w:id="22"/>
      <w:bookmarkStart w:id="23" w:name="Bookmark_I69B1W1V28T4X00050000400_2"/>
      <w:bookmarkEnd w:id="23"/>
      <w:bookmarkStart w:id="24" w:name="Bookmark_I69B1W1V28T4X00040000400"/>
      <w:bookmarkEnd w:id="24"/>
      <w:hyperlink r:id="rId25" w:history="1">
        <w:r>
          <w:rPr>
            <w:rFonts w:ascii="arial" w:eastAsia="arial" w:hAnsi="arial" w:cs="arial"/>
            <w:b w:val="0"/>
            <w:i/>
            <w:strike w:val="0"/>
            <w:noProof w:val="0"/>
            <w:color w:val="0077CC"/>
            <w:position w:val="0"/>
            <w:sz w:val="20"/>
            <w:u w:val="single"/>
            <w:vertAlign w:val="baseline"/>
          </w:rPr>
          <w:t>United States v. Cores</w:t>
        </w:r>
      </w:hyperlink>
      <w:hyperlink r:id="rId25" w:history="1">
        <w:r>
          <w:rPr>
            <w:rFonts w:ascii="arial" w:eastAsia="arial" w:hAnsi="arial" w:cs="arial"/>
            <w:b w:val="0"/>
            <w:i/>
            <w:strike w:val="0"/>
            <w:noProof w:val="0"/>
            <w:color w:val="0077CC"/>
            <w:position w:val="0"/>
            <w:sz w:val="20"/>
            <w:u w:val="single"/>
            <w:vertAlign w:val="baseline"/>
          </w:rPr>
          <w:t>, 356 U.S. 405, 407, 78 S. Ct. 875, 2 L. Ed. 2d 873 (1958)</w:t>
        </w:r>
      </w:hyperlink>
      <w:r>
        <w:rPr>
          <w:rFonts w:ascii="arial" w:eastAsia="arial" w:hAnsi="arial" w:cs="arial"/>
          <w:b w:val="0"/>
          <w:i w:val="0"/>
          <w:strike w:val="0"/>
          <w:noProof w:val="0"/>
          <w:color w:val="000000"/>
          <w:position w:val="0"/>
          <w:sz w:val="20"/>
          <w:u w:val="none"/>
          <w:vertAlign w:val="baseline"/>
        </w:rPr>
        <w:t xml:space="preserve">. "[T]rial may be held where </w:t>
      </w:r>
      <w:r>
        <w:rPr>
          <w:rFonts w:ascii="arial" w:eastAsia="arial" w:hAnsi="arial" w:cs="arial"/>
          <w:b w:val="0"/>
          <w:i/>
          <w:strike w:val="0"/>
          <w:noProof w:val="0"/>
          <w:color w:val="000000"/>
          <w:position w:val="0"/>
          <w:sz w:val="20"/>
          <w:u w:val="none"/>
          <w:vertAlign w:val="baseline"/>
        </w:rPr>
        <w:t>any part</w:t>
      </w:r>
      <w:r>
        <w:rPr>
          <w:rFonts w:ascii="arial" w:eastAsia="arial" w:hAnsi="arial" w:cs="arial"/>
          <w:b w:val="0"/>
          <w:i w:val="0"/>
          <w:strike w:val="0"/>
          <w:noProof w:val="0"/>
          <w:color w:val="000000"/>
          <w:position w:val="0"/>
          <w:sz w:val="20"/>
          <w:u w:val="none"/>
          <w:vertAlign w:val="baseline"/>
        </w:rPr>
        <w:t xml:space="preserve"> of a crime can be proved to have been done." </w:t>
      </w:r>
      <w:bookmarkStart w:id="25" w:name="Bookmark_I69B1W1W2N1RJH0010000400"/>
      <w:bookmarkEnd w:id="25"/>
      <w:hyperlink r:id="rId26" w:history="1">
        <w:r>
          <w:rPr>
            <w:rFonts w:ascii="arial" w:eastAsia="arial" w:hAnsi="arial" w:cs="arial"/>
            <w:b w:val="0"/>
            <w:i/>
            <w:strike w:val="0"/>
            <w:noProof w:val="0"/>
            <w:color w:val="0077CC"/>
            <w:position w:val="0"/>
            <w:sz w:val="20"/>
            <w:u w:val="single"/>
            <w:vertAlign w:val="baseline"/>
          </w:rPr>
          <w:t>Smith v. United States</w:t>
        </w:r>
      </w:hyperlink>
      <w:hyperlink r:id="rId26" w:history="1">
        <w:r>
          <w:rPr>
            <w:rFonts w:ascii="arial" w:eastAsia="arial" w:hAnsi="arial" w:cs="arial"/>
            <w:b w:val="0"/>
            <w:i/>
            <w:strike w:val="0"/>
            <w:noProof w:val="0"/>
            <w:color w:val="0077CC"/>
            <w:position w:val="0"/>
            <w:sz w:val="20"/>
            <w:u w:val="single"/>
            <w:vertAlign w:val="baseline"/>
          </w:rPr>
          <w:t>, 599 U.S. 236, 143 S. Ct. 1594, 1603, 216 L. Ed. 2d 238 (2023)</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9B1W1W2N1RJH0030000400"/>
      <w:bookmarkEnd w:id="26"/>
      <w:hyperlink r:id="rId27" w:history="1">
        <w:r>
          <w:rPr>
            <w:rFonts w:ascii="arial" w:eastAsia="arial" w:hAnsi="arial" w:cs="arial"/>
            <w:b w:val="0"/>
            <w:i/>
            <w:strike w:val="0"/>
            <w:noProof w:val="0"/>
            <w:color w:val="0077CC"/>
            <w:position w:val="0"/>
            <w:sz w:val="20"/>
            <w:u w:val="single"/>
            <w:vertAlign w:val="baseline"/>
          </w:rPr>
          <w:t>United States v. Rodriguez-Moreno</w:t>
        </w:r>
      </w:hyperlink>
      <w:hyperlink r:id="rId27" w:history="1">
        <w:r>
          <w:rPr>
            <w:rFonts w:ascii="arial" w:eastAsia="arial" w:hAnsi="arial" w:cs="arial"/>
            <w:b w:val="0"/>
            <w:i/>
            <w:strike w:val="0"/>
            <w:noProof w:val="0"/>
            <w:color w:val="0077CC"/>
            <w:position w:val="0"/>
            <w:sz w:val="20"/>
            <w:u w:val="single"/>
            <w:vertAlign w:val="baseline"/>
          </w:rPr>
          <w:t>, 526 U.S. 275, 281, 119 S. Ct. 1239, 143 L. Ed. 2d 388 (1999)</w:t>
        </w:r>
      </w:hyperlink>
      <w:r>
        <w:rPr>
          <w:rFonts w:ascii="arial" w:eastAsia="arial" w:hAnsi="arial" w:cs="arial"/>
          <w:b w:val="0"/>
          <w:i w:val="0"/>
          <w:strike w:val="0"/>
          <w:noProof w:val="0"/>
          <w:color w:val="000000"/>
          <w:position w:val="0"/>
          <w:sz w:val="20"/>
          <w:u w:val="none"/>
          <w:vertAlign w:val="baseline"/>
        </w:rPr>
        <w:t>) (cleaned up and emphasis added).</w:t>
      </w:r>
    </w:p>
    <w:p>
      <w:pPr>
        <w:keepNext w:val="0"/>
        <w:spacing w:before="200" w:after="0" w:line="260" w:lineRule="atLeast"/>
        <w:ind w:left="0" w:right="0" w:firstLine="0"/>
        <w:jc w:val="both"/>
      </w:pPr>
      <w:bookmarkStart w:id="27" w:name="Bookmark_para_7"/>
      <w:bookmarkEnd w:id="27"/>
      <w:bookmarkStart w:id="28" w:name="Bookmark_I69B1W1W28T4X40010000400"/>
      <w:bookmarkEnd w:id="28"/>
      <w:r>
        <w:rPr>
          <w:rFonts w:ascii="arial" w:eastAsia="arial" w:hAnsi="arial" w:cs="arial"/>
          <w:b w:val="0"/>
          <w:i w:val="0"/>
          <w:strike w:val="0"/>
          <w:noProof w:val="0"/>
          <w:color w:val="000000"/>
          <w:position w:val="0"/>
          <w:sz w:val="20"/>
          <w:u w:val="none"/>
          <w:vertAlign w:val="baseline"/>
        </w:rPr>
        <w:t xml:space="preserve">Although venue is a question of fact to be decided by the jury, whether there has been sufficient evidence to justify a finding on venue is a question of law for the court. </w:t>
      </w:r>
      <w:bookmarkStart w:id="29" w:name="Bookmark_I69B1W1W2N1RJH0050000400"/>
      <w:bookmarkEnd w:id="29"/>
      <w:hyperlink r:id="rId28" w:history="1">
        <w:r>
          <w:rPr>
            <w:rFonts w:ascii="arial" w:eastAsia="arial" w:hAnsi="arial" w:cs="arial"/>
            <w:b w:val="0"/>
            <w:i/>
            <w:strike w:val="0"/>
            <w:noProof w:val="0"/>
            <w:color w:val="0077CC"/>
            <w:position w:val="0"/>
            <w:sz w:val="20"/>
            <w:u w:val="single"/>
            <w:vertAlign w:val="baseline"/>
          </w:rPr>
          <w:t>United States v. Foy</w:t>
        </w:r>
      </w:hyperlink>
      <w:hyperlink r:id="rId28" w:history="1">
        <w:r>
          <w:rPr>
            <w:rFonts w:ascii="arial" w:eastAsia="arial" w:hAnsi="arial" w:cs="arial"/>
            <w:b w:val="0"/>
            <w:i/>
            <w:strike w:val="0"/>
            <w:noProof w:val="0"/>
            <w:color w:val="0077CC"/>
            <w:position w:val="0"/>
            <w:sz w:val="20"/>
            <w:u w:val="single"/>
            <w:vertAlign w:val="baseline"/>
          </w:rPr>
          <w:t>, 641 F.3d 455, 466 (10th Cir. 2011)</w:t>
        </w:r>
      </w:hyperlink>
      <w:r>
        <w:rPr>
          <w:rFonts w:ascii="arial" w:eastAsia="arial" w:hAnsi="arial" w:cs="arial"/>
          <w:b w:val="0"/>
          <w:i w:val="0"/>
          <w:strike w:val="0"/>
          <w:noProof w:val="0"/>
          <w:color w:val="000000"/>
          <w:position w:val="0"/>
          <w:sz w:val="20"/>
          <w:u w:val="none"/>
          <w:vertAlign w:val="baseline"/>
        </w:rPr>
        <w:t xml:space="preserve">. Defendants must raise venue objections during the pretrial stage "if the basis for the motion is then reasonably available and the motion can be determined without a trial on the merits." </w:t>
      </w:r>
      <w:hyperlink r:id="rId29" w:history="1">
        <w:r>
          <w:rPr>
            <w:rFonts w:ascii="arial" w:eastAsia="arial" w:hAnsi="arial" w:cs="arial"/>
            <w:b w:val="0"/>
            <w:i/>
            <w:strike w:val="0"/>
            <w:noProof w:val="0"/>
            <w:color w:val="0077CC"/>
            <w:position w:val="0"/>
            <w:sz w:val="20"/>
            <w:u w:val="single"/>
            <w:vertAlign w:val="baseline"/>
          </w:rPr>
          <w:t>Fed. R. Crim. P.</w:t>
        </w:r>
      </w:hyperlink>
      <w:hyperlink r:id="rId29" w:history="1">
        <w:r>
          <w:rPr>
            <w:rFonts w:ascii="arial" w:eastAsia="arial" w:hAnsi="arial" w:cs="arial"/>
            <w:b w:val="0"/>
            <w:i/>
            <w:strike w:val="0"/>
            <w:noProof w:val="0"/>
            <w:color w:val="0077CC"/>
            <w:position w:val="0"/>
            <w:sz w:val="20"/>
            <w:u w:val="single"/>
            <w:vertAlign w:val="baseline"/>
          </w:rPr>
          <w:t xml:space="preserve"> 12(b)(3)(A)(i)</w:t>
        </w:r>
      </w:hyperlink>
      <w:r>
        <w:rPr>
          <w:rFonts w:ascii="arial" w:eastAsia="arial" w:hAnsi="arial" w:cs="arial"/>
          <w:b w:val="0"/>
          <w:i w:val="0"/>
          <w:strike w:val="0"/>
          <w:noProof w:val="0"/>
          <w:color w:val="000000"/>
          <w:position w:val="0"/>
          <w:sz w:val="20"/>
          <w:u w:val="none"/>
          <w:vertAlign w:val="baseline"/>
        </w:rPr>
        <w:t xml:space="preserve">. Improper venue is a basis for dismissal of a charge.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0" w:name="Bookmark_para_8"/>
      <w:bookmarkEnd w:id="30"/>
      <w:bookmarkStart w:id="31" w:name="Bookmark_I69B1W1W28T4X40030000400"/>
      <w:bookmarkEnd w:id="31"/>
      <w:bookmarkStart w:id="32" w:name="Bookmark_I69B1W1Y2HM6G20020000400"/>
      <w:bookmarkEnd w:id="32"/>
      <w:r>
        <w:rPr>
          <w:rFonts w:ascii="arial" w:eastAsia="arial" w:hAnsi="arial" w:cs="arial"/>
          <w:b w:val="0"/>
          <w:i w:val="0"/>
          <w:strike w:val="0"/>
          <w:noProof w:val="0"/>
          <w:color w:val="000000"/>
          <w:position w:val="0"/>
          <w:sz w:val="20"/>
          <w:u w:val="none"/>
          <w:vertAlign w:val="baseline"/>
        </w:rPr>
        <w:t>At the pretrial stage, "it suffices for the government to allege with specificity that the charged acts support venue[.]"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bookmarkStart w:id="33" w:name="Bookmark_I69B1W1W28T4X40020000400"/>
      <w:bookmarkEnd w:id="33"/>
      <w:hyperlink r:id="rId30" w:history="1">
        <w:r>
          <w:rPr>
            <w:rFonts w:ascii="arial" w:eastAsia="arial" w:hAnsi="arial" w:cs="arial"/>
            <w:b w:val="0"/>
            <w:i/>
            <w:strike w:val="0"/>
            <w:noProof w:val="0"/>
            <w:color w:val="0077CC"/>
            <w:position w:val="0"/>
            <w:sz w:val="20"/>
            <w:u w:val="single"/>
            <w:vertAlign w:val="baseline"/>
          </w:rPr>
          <w:t>United States v. Villalobos-Macias</w:t>
        </w:r>
      </w:hyperlink>
      <w:hyperlink r:id="rId30" w:history="1">
        <w:r>
          <w:rPr>
            <w:rFonts w:ascii="arial" w:eastAsia="arial" w:hAnsi="arial" w:cs="arial"/>
            <w:b w:val="0"/>
            <w:i/>
            <w:strike w:val="0"/>
            <w:noProof w:val="0"/>
            <w:color w:val="0077CC"/>
            <w:position w:val="0"/>
            <w:sz w:val="20"/>
            <w:u w:val="single"/>
            <w:vertAlign w:val="baseline"/>
          </w:rPr>
          <w:t>, 280 F. Supp. 3d 1211, 1216 (D.N.M. 2017)</w:t>
        </w:r>
      </w:hyperlink>
      <w:r>
        <w:rPr>
          <w:rFonts w:ascii="arial" w:eastAsia="arial" w:hAnsi="arial" w:cs="arial"/>
          <w:b w:val="0"/>
          <w:i w:val="0"/>
          <w:strike w:val="0"/>
          <w:noProof w:val="0"/>
          <w:color w:val="000000"/>
          <w:position w:val="0"/>
          <w:sz w:val="20"/>
          <w:u w:val="none"/>
          <w:vertAlign w:val="baseline"/>
        </w:rPr>
        <w:t xml:space="preserve"> (quoting </w:t>
      </w:r>
      <w:bookmarkStart w:id="34" w:name="Bookmark_I69B1W1W28T4X40040000400"/>
      <w:bookmarkEnd w:id="34"/>
      <w:hyperlink r:id="rId31" w:history="1">
        <w:r>
          <w:rPr>
            <w:rFonts w:ascii="arial" w:eastAsia="arial" w:hAnsi="arial" w:cs="arial"/>
            <w:b w:val="0"/>
            <w:i/>
            <w:strike w:val="0"/>
            <w:noProof w:val="0"/>
            <w:color w:val="0077CC"/>
            <w:position w:val="0"/>
            <w:sz w:val="20"/>
            <w:u w:val="single"/>
            <w:vertAlign w:val="baseline"/>
          </w:rPr>
          <w:t>United States v. Long</w:t>
        </w:r>
      </w:hyperlink>
      <w:hyperlink r:id="rId31" w:history="1">
        <w:r>
          <w:rPr>
            <w:rFonts w:ascii="arial" w:eastAsia="arial" w:hAnsi="arial" w:cs="arial"/>
            <w:b w:val="0"/>
            <w:i/>
            <w:strike w:val="0"/>
            <w:noProof w:val="0"/>
            <w:color w:val="0077CC"/>
            <w:position w:val="0"/>
            <w:sz w:val="20"/>
            <w:u w:val="single"/>
            <w:vertAlign w:val="baseline"/>
          </w:rPr>
          <w:t>, 697 F. Supp. 651, 655 (S.D.N.Y. 1988)</w:t>
        </w:r>
      </w:hyperlink>
      <w:r>
        <w:rPr>
          <w:rFonts w:ascii="arial" w:eastAsia="arial" w:hAnsi="arial" w:cs="arial"/>
          <w:b w:val="0"/>
          <w:i w:val="0"/>
          <w:strike w:val="0"/>
          <w:noProof w:val="0"/>
          <w:color w:val="000000"/>
          <w:position w:val="0"/>
          <w:sz w:val="20"/>
          <w:u w:val="none"/>
          <w:vertAlign w:val="baseline"/>
        </w:rPr>
        <w:t xml:space="preserve">). In reviewing a pretrial motion to dismiss, the court accepts all well-pleaded factual allegations in the indictment as true and makes all reasonable inferences of fact from the indictment in the light most favorable to the Government. </w:t>
      </w:r>
      <w:r>
        <w:rPr>
          <w:rFonts w:ascii="arial" w:eastAsia="arial" w:hAnsi="arial" w:cs="arial"/>
          <w:b w:val="0"/>
          <w:i/>
          <w:strike w:val="0"/>
          <w:noProof w:val="0"/>
          <w:color w:val="000000"/>
          <w:position w:val="0"/>
          <w:sz w:val="20"/>
          <w:u w:val="none"/>
          <w:vertAlign w:val="baseline"/>
        </w:rPr>
        <w:t xml:space="preserve">See </w:t>
      </w:r>
      <w:bookmarkStart w:id="35" w:name="Bookmark_I69B1W1Y2HM6G20010000400"/>
      <w:bookmarkEnd w:id="35"/>
      <w:hyperlink r:id="rId32" w:history="1">
        <w:r>
          <w:rPr>
            <w:rFonts w:ascii="arial" w:eastAsia="arial" w:hAnsi="arial" w:cs="arial"/>
            <w:b w:val="0"/>
            <w:i/>
            <w:strike w:val="0"/>
            <w:noProof w:val="0"/>
            <w:color w:val="0077CC"/>
            <w:position w:val="0"/>
            <w:sz w:val="20"/>
            <w:u w:val="single"/>
            <w:vertAlign w:val="baseline"/>
          </w:rPr>
          <w:t>United States v. Sampson</w:t>
        </w:r>
      </w:hyperlink>
      <w:hyperlink r:id="rId32" w:history="1">
        <w:r>
          <w:rPr>
            <w:rFonts w:ascii="arial" w:eastAsia="arial" w:hAnsi="arial" w:cs="arial"/>
            <w:b w:val="0"/>
            <w:i/>
            <w:strike w:val="0"/>
            <w:noProof w:val="0"/>
            <w:color w:val="0077CC"/>
            <w:position w:val="0"/>
            <w:sz w:val="20"/>
            <w:u w:val="single"/>
            <w:vertAlign w:val="baseline"/>
          </w:rPr>
          <w:t>, 371 U.S. 75, 78-79, 83 S. Ct. 173, 9 L. Ed. 2d 136 (1962)</w:t>
        </w:r>
      </w:hyperlink>
      <w:r>
        <w:rPr>
          <w:rFonts w:ascii="arial" w:eastAsia="arial" w:hAnsi="arial" w:cs="arial"/>
          <w:b w:val="0"/>
          <w:i w:val="0"/>
          <w:strike w:val="0"/>
          <w:noProof w:val="0"/>
          <w:color w:val="000000"/>
          <w:position w:val="0"/>
          <w:sz w:val="20"/>
          <w:u w:val="none"/>
          <w:vertAlign w:val="baseline"/>
        </w:rPr>
        <w:t xml:space="preserve">; </w:t>
      </w:r>
      <w:bookmarkStart w:id="36" w:name="Bookmark_I69B1W1Y2HM6G20030000400"/>
      <w:bookmarkEnd w:id="36"/>
      <w:hyperlink r:id="rId33" w:history="1">
        <w:r>
          <w:rPr>
            <w:rFonts w:ascii="arial" w:eastAsia="arial" w:hAnsi="arial" w:cs="arial"/>
            <w:b w:val="0"/>
            <w:i/>
            <w:strike w:val="0"/>
            <w:noProof w:val="0"/>
            <w:color w:val="0077CC"/>
            <w:position w:val="0"/>
            <w:sz w:val="20"/>
            <w:u w:val="single"/>
            <w:vertAlign w:val="baseline"/>
          </w:rPr>
          <w:t>United States v. Jeronimo-Bautista</w:t>
        </w:r>
      </w:hyperlink>
      <w:hyperlink r:id="rId33" w:history="1">
        <w:r>
          <w:rPr>
            <w:rFonts w:ascii="arial" w:eastAsia="arial" w:hAnsi="arial" w:cs="arial"/>
            <w:b w:val="0"/>
            <w:i/>
            <w:strike w:val="0"/>
            <w:noProof w:val="0"/>
            <w:color w:val="0077CC"/>
            <w:position w:val="0"/>
            <w:sz w:val="20"/>
            <w:u w:val="single"/>
            <w:vertAlign w:val="baseline"/>
          </w:rPr>
          <w:t>, 425 F.3d 1266, 1267 (10th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37" w:name="Bookmark_para_9"/>
      <w:bookmarkEnd w:id="37"/>
      <w:bookmarkStart w:id="38" w:name="Bookmark_I69B1W1Y2D6NSP0010000400"/>
      <w:bookmarkEnd w:id="38"/>
      <w:bookmarkStart w:id="39" w:name="Bookmark_I69B1W1Y2D6NSP0030000400"/>
      <w:bookmarkEnd w:id="39"/>
      <w:r>
        <w:rPr>
          <w:rFonts w:ascii="arial" w:eastAsia="arial" w:hAnsi="arial" w:cs="arial"/>
          <w:b w:val="0"/>
          <w:i w:val="0"/>
          <w:strike w:val="0"/>
          <w:noProof w:val="0"/>
          <w:color w:val="000000"/>
          <w:position w:val="0"/>
          <w:sz w:val="20"/>
          <w:u w:val="none"/>
          <w:vertAlign w:val="baseline"/>
        </w:rPr>
        <w:t xml:space="preserve">The starting point in this court's venue analysis is the Supreme Court's counsel that close calls in the question of venue (regarding matters of law) generally ought go to the Defendant, </w:t>
      </w:r>
      <w:bookmarkStart w:id="40" w:name="Bookmark_I69B1W1Y2HM6G20050000400"/>
      <w:bookmarkEnd w:id="40"/>
      <w:hyperlink r:id="rId34" w:history="1">
        <w:r>
          <w:rPr>
            <w:rFonts w:ascii="arial" w:eastAsia="arial" w:hAnsi="arial" w:cs="arial"/>
            <w:b w:val="0"/>
            <w:i/>
            <w:strike w:val="0"/>
            <w:noProof w:val="0"/>
            <w:color w:val="0077CC"/>
            <w:position w:val="0"/>
            <w:sz w:val="20"/>
            <w:u w:val="single"/>
            <w:vertAlign w:val="baseline"/>
          </w:rPr>
          <w:t>United States v. Johnson</w:t>
        </w:r>
      </w:hyperlink>
      <w:hyperlink r:id="rId34" w:history="1">
        <w:r>
          <w:rPr>
            <w:rFonts w:ascii="arial" w:eastAsia="arial" w:hAnsi="arial" w:cs="arial"/>
            <w:b w:val="0"/>
            <w:i/>
            <w:strike w:val="0"/>
            <w:noProof w:val="0"/>
            <w:color w:val="0077CC"/>
            <w:position w:val="0"/>
            <w:sz w:val="20"/>
            <w:u w:val="single"/>
            <w:vertAlign w:val="baseline"/>
          </w:rPr>
          <w:t>, 323 U.S. 273, 276, 65 S. Ct. 249, 89 L. Ed. 236 (1944)</w:t>
        </w:r>
      </w:hyperlink>
      <w:r>
        <w:rPr>
          <w:rFonts w:ascii="arial" w:eastAsia="arial" w:hAnsi="arial" w:cs="arial"/>
          <w:b w:val="0"/>
          <w:i w:val="0"/>
          <w:strike w:val="0"/>
          <w:noProof w:val="0"/>
          <w:color w:val="000000"/>
          <w:position w:val="0"/>
          <w:sz w:val="20"/>
          <w:u w:val="none"/>
          <w:vertAlign w:val="baseline"/>
        </w:rPr>
        <w:t xml:space="preserve"> ("If an enactment of Congress equally permits the underlying spirit of the constitutional concern for trial in the vicinage to be respected rather than to be disrespected, construction should go in the direction of constitutional policy even though not commanded by it."), which some circuits have interpreted as a general mandate to construe venue narrowly. </w:t>
      </w:r>
      <w:r>
        <w:rPr>
          <w:rFonts w:ascii="arial" w:eastAsia="arial" w:hAnsi="arial" w:cs="arial"/>
          <w:b w:val="0"/>
          <w:i/>
          <w:strike w:val="0"/>
          <w:noProof w:val="0"/>
          <w:color w:val="000000"/>
          <w:position w:val="0"/>
          <w:sz w:val="20"/>
          <w:u w:val="none"/>
          <w:vertAlign w:val="baseline"/>
        </w:rPr>
        <w:t xml:space="preserve">See </w:t>
      </w:r>
      <w:bookmarkStart w:id="41" w:name="Bookmark_I69B1W1Y2D6NSP0020000400"/>
      <w:bookmarkEnd w:id="41"/>
      <w:hyperlink r:id="rId35" w:history="1">
        <w:r>
          <w:rPr>
            <w:rFonts w:ascii="arial" w:eastAsia="arial" w:hAnsi="arial" w:cs="arial"/>
            <w:b w:val="0"/>
            <w:i/>
            <w:strike w:val="0"/>
            <w:noProof w:val="0"/>
            <w:color w:val="0077CC"/>
            <w:position w:val="0"/>
            <w:sz w:val="20"/>
            <w:u w:val="single"/>
            <w:vertAlign w:val="baseline"/>
          </w:rPr>
          <w:t>United States v. Ramirez</w:t>
        </w:r>
      </w:hyperlink>
      <w:hyperlink r:id="rId35" w:history="1">
        <w:r>
          <w:rPr>
            <w:rFonts w:ascii="arial" w:eastAsia="arial" w:hAnsi="arial" w:cs="arial"/>
            <w:b w:val="0"/>
            <w:i/>
            <w:strike w:val="0"/>
            <w:noProof w:val="0"/>
            <w:color w:val="0077CC"/>
            <w:position w:val="0"/>
            <w:sz w:val="20"/>
            <w:u w:val="single"/>
            <w:vertAlign w:val="baseline"/>
          </w:rPr>
          <w:t>, 420 F.3d 134, 146 (2d Cir. 2005)</w:t>
        </w:r>
      </w:hyperlink>
      <w:r>
        <w:rPr>
          <w:rFonts w:ascii="arial" w:eastAsia="arial" w:hAnsi="arial" w:cs="arial"/>
          <w:b w:val="0"/>
          <w:i w:val="0"/>
          <w:strike w:val="0"/>
          <w:noProof w:val="0"/>
          <w:color w:val="000000"/>
          <w:position w:val="0"/>
          <w:sz w:val="20"/>
          <w:u w:val="none"/>
          <w:vertAlign w:val="baseline"/>
        </w:rPr>
        <w:t xml:space="preserve">; </w:t>
      </w:r>
      <w:bookmarkStart w:id="42" w:name="Bookmark_I69B1W1Y2D6NSP0040000400"/>
      <w:bookmarkEnd w:id="42"/>
      <w:hyperlink r:id="rId36" w:history="1">
        <w:r>
          <w:rPr>
            <w:rFonts w:ascii="arial" w:eastAsia="arial" w:hAnsi="arial" w:cs="arial"/>
            <w:b w:val="0"/>
            <w:i/>
            <w:strike w:val="0"/>
            <w:noProof w:val="0"/>
            <w:color w:val="0077CC"/>
            <w:position w:val="0"/>
            <w:sz w:val="20"/>
            <w:u w:val="single"/>
            <w:vertAlign w:val="baseline"/>
          </w:rPr>
          <w:t>United States v. Auernheimer</w:t>
        </w:r>
      </w:hyperlink>
      <w:hyperlink r:id="rId36" w:history="1">
        <w:r>
          <w:rPr>
            <w:rFonts w:ascii="arial" w:eastAsia="arial" w:hAnsi="arial" w:cs="arial"/>
            <w:b w:val="0"/>
            <w:i/>
            <w:strike w:val="0"/>
            <w:noProof w:val="0"/>
            <w:color w:val="0077CC"/>
            <w:position w:val="0"/>
            <w:sz w:val="20"/>
            <w:u w:val="single"/>
            <w:vertAlign w:val="baseline"/>
          </w:rPr>
          <w:t>, 748 F.3d 525, 532 (3d Cir. 2014)</w:t>
        </w:r>
      </w:hyperlink>
      <w:r>
        <w:rPr>
          <w:rFonts w:ascii="arial" w:eastAsia="arial" w:hAnsi="arial" w:cs="arial"/>
          <w:b w:val="0"/>
          <w:i w:val="0"/>
          <w:strike w:val="0"/>
          <w:noProof w:val="0"/>
          <w:color w:val="000000"/>
          <w:position w:val="0"/>
          <w:sz w:val="20"/>
          <w:u w:val="none"/>
          <w:vertAlign w:val="baseline"/>
        </w:rPr>
        <w:t xml:space="preserve">; </w:t>
      </w:r>
      <w:bookmarkStart w:id="43" w:name="Bookmark_I69B1W1Y2HM6G80010000400"/>
      <w:bookmarkEnd w:id="43"/>
      <w:hyperlink r:id="rId37" w:history="1">
        <w:r>
          <w:rPr>
            <w:rFonts w:ascii="arial" w:eastAsia="arial" w:hAnsi="arial" w:cs="arial"/>
            <w:b w:val="0"/>
            <w:i/>
            <w:strike w:val="0"/>
            <w:noProof w:val="0"/>
            <w:color w:val="0077CC"/>
            <w:position w:val="0"/>
            <w:sz w:val="20"/>
            <w:u w:val="single"/>
            <w:vertAlign w:val="baseline"/>
          </w:rPr>
          <w:t>United States v. Jefferson</w:t>
        </w:r>
      </w:hyperlink>
      <w:hyperlink r:id="rId37" w:history="1">
        <w:r>
          <w:rPr>
            <w:rFonts w:ascii="arial" w:eastAsia="arial" w:hAnsi="arial" w:cs="arial"/>
            <w:b w:val="0"/>
            <w:i/>
            <w:strike w:val="0"/>
            <w:noProof w:val="0"/>
            <w:color w:val="0077CC"/>
            <w:position w:val="0"/>
            <w:sz w:val="20"/>
            <w:u w:val="single"/>
            <w:vertAlign w:val="baseline"/>
          </w:rPr>
          <w:t>, 674 F.3d 332, 365 (4th Cir. 2012)</w:t>
        </w:r>
      </w:hyperlink>
      <w:r>
        <w:rPr>
          <w:rFonts w:ascii="arial" w:eastAsia="arial" w:hAnsi="arial" w:cs="arial"/>
          <w:b w:val="0"/>
          <w:i w:val="0"/>
          <w:strike w:val="0"/>
          <w:noProof w:val="0"/>
          <w:color w:val="000000"/>
          <w:position w:val="0"/>
          <w:sz w:val="20"/>
          <w:u w:val="none"/>
          <w:vertAlign w:val="baseline"/>
        </w:rPr>
        <w:t xml:space="preserve">; </w:t>
      </w:r>
      <w:bookmarkStart w:id="44" w:name="Bookmark_I69B1W1Y2HM6G80030000400"/>
      <w:bookmarkEnd w:id="44"/>
      <w:hyperlink r:id="rId38" w:history="1">
        <w:r>
          <w:rPr>
            <w:rFonts w:ascii="arial" w:eastAsia="arial" w:hAnsi="arial" w:cs="arial"/>
            <w:b w:val="0"/>
            <w:i/>
            <w:strike w:val="0"/>
            <w:noProof w:val="0"/>
            <w:color w:val="0077CC"/>
            <w:position w:val="0"/>
            <w:sz w:val="20"/>
            <w:u w:val="single"/>
            <w:vertAlign w:val="baseline"/>
          </w:rPr>
          <w:t>United States v. King</w:t>
        </w:r>
      </w:hyperlink>
      <w:hyperlink r:id="rId38" w:history="1">
        <w:r>
          <w:rPr>
            <w:rFonts w:ascii="arial" w:eastAsia="arial" w:hAnsi="arial" w:cs="arial"/>
            <w:b w:val="0"/>
            <w:i/>
            <w:strike w:val="0"/>
            <w:noProof w:val="0"/>
            <w:color w:val="0077CC"/>
            <w:position w:val="0"/>
            <w:sz w:val="20"/>
            <w:u w:val="single"/>
            <w:vertAlign w:val="baseline"/>
          </w:rPr>
          <w:t>, 259 F. Supp. 3d 1267, 1281 (W.D. Okla.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0"/>
      <w:bookmarkEnd w:id="45"/>
      <w:bookmarkStart w:id="46" w:name="Bookmark_I69B1W202HM6GC0010000400"/>
      <w:bookmarkEnd w:id="46"/>
      <w:bookmarkStart w:id="47" w:name="Bookmark_I69B1W202HM6GC0030000400"/>
      <w:bookmarkEnd w:id="47"/>
      <w:bookmarkStart w:id="48" w:name="Bookmark_I69B1W202HM6GC0050000400"/>
      <w:bookmarkEnd w:id="48"/>
      <w:r>
        <w:rPr>
          <w:rFonts w:ascii="arial" w:eastAsia="arial" w:hAnsi="arial" w:cs="arial"/>
          <w:b w:val="0"/>
          <w:i w:val="0"/>
          <w:strike w:val="0"/>
          <w:noProof w:val="0"/>
          <w:color w:val="000000"/>
          <w:position w:val="0"/>
          <w:sz w:val="20"/>
          <w:u w:val="none"/>
          <w:vertAlign w:val="baseline"/>
        </w:rPr>
        <w:t xml:space="preserve">Generally, venue "must be determined from the nature of the crime alleged and the location of the act or acts constituting it." </w:t>
      </w:r>
      <w:bookmarkStart w:id="49" w:name="Bookmark_I69B1W1Y2HM6G80050000400"/>
      <w:bookmarkEnd w:id="49"/>
      <w:hyperlink r:id="rId21" w:history="1">
        <w:r>
          <w:rPr>
            <w:rFonts w:ascii="arial" w:eastAsia="arial" w:hAnsi="arial" w:cs="arial"/>
            <w:b w:val="0"/>
            <w:i/>
            <w:strike w:val="0"/>
            <w:noProof w:val="0"/>
            <w:color w:val="0077CC"/>
            <w:position w:val="0"/>
            <w:sz w:val="20"/>
            <w:u w:val="single"/>
            <w:vertAlign w:val="baseline"/>
          </w:rPr>
          <w:t>Cabrales</w:t>
        </w:r>
      </w:hyperlink>
      <w:hyperlink r:id="rId21" w:history="1">
        <w:r>
          <w:rPr>
            <w:rFonts w:ascii="arial" w:eastAsia="arial" w:hAnsi="arial" w:cs="arial"/>
            <w:b w:val="0"/>
            <w:i/>
            <w:strike w:val="0"/>
            <w:noProof w:val="0"/>
            <w:color w:val="0077CC"/>
            <w:position w:val="0"/>
            <w:sz w:val="20"/>
            <w:u w:val="single"/>
            <w:vertAlign w:val="baseline"/>
          </w:rPr>
          <w:t>, 524 U.S. at 5</w:t>
        </w:r>
      </w:hyperlink>
      <w:r>
        <w:rPr>
          <w:rFonts w:ascii="arial" w:eastAsia="arial" w:hAnsi="arial" w:cs="arial"/>
          <w:b w:val="0"/>
          <w:i w:val="0"/>
          <w:strike w:val="0"/>
          <w:noProof w:val="0"/>
          <w:color w:val="000000"/>
          <w:position w:val="0"/>
          <w:sz w:val="20"/>
          <w:u w:val="none"/>
          <w:vertAlign w:val="baseline"/>
        </w:rPr>
        <w:t xml:space="preserve">. </w:t>
      </w:r>
      <w:bookmarkStart w:id="50" w:name="Bookmark_I69B1W202D6NT00020000400"/>
      <w:bookmarkEnd w:id="50"/>
      <w:r>
        <w:rPr>
          <w:rFonts w:ascii="arial" w:eastAsia="arial" w:hAnsi="arial" w:cs="arial"/>
          <w:b w:val="0"/>
          <w:i w:val="0"/>
          <w:strike w:val="0"/>
          <w:noProof w:val="0"/>
          <w:color w:val="000000"/>
          <w:position w:val="0"/>
          <w:sz w:val="20"/>
          <w:u w:val="none"/>
          <w:vertAlign w:val="baseline"/>
        </w:rPr>
        <w:t xml:space="preserve">Nevertheless, determining where a crime is committed is "not always an easy task." </w:t>
      </w:r>
      <w:bookmarkStart w:id="51" w:name="Bookmark_I69B1W202HM6GC0020000400"/>
      <w:bookmarkEnd w:id="51"/>
      <w:hyperlink r:id="rId39" w:history="1">
        <w:r>
          <w:rPr>
            <w:rFonts w:ascii="arial" w:eastAsia="arial" w:hAnsi="arial" w:cs="arial"/>
            <w:b w:val="0"/>
            <w:i/>
            <w:strike w:val="0"/>
            <w:noProof w:val="0"/>
            <w:color w:val="0077CC"/>
            <w:position w:val="0"/>
            <w:sz w:val="20"/>
            <w:u w:val="single"/>
            <w:vertAlign w:val="baseline"/>
          </w:rPr>
          <w:t>United States v. Smith</w:t>
        </w:r>
      </w:hyperlink>
      <w:hyperlink r:id="rId39" w:history="1">
        <w:r>
          <w:rPr>
            <w:rFonts w:ascii="arial" w:eastAsia="arial" w:hAnsi="arial" w:cs="arial"/>
            <w:b w:val="0"/>
            <w:i/>
            <w:strike w:val="0"/>
            <w:noProof w:val="0"/>
            <w:color w:val="0077CC"/>
            <w:position w:val="0"/>
            <w:sz w:val="20"/>
            <w:u w:val="single"/>
            <w:vertAlign w:val="baseline"/>
          </w:rPr>
          <w:t>, 641 F.3d 1200, 1207 (10th Cir. 2011)</w:t>
        </w:r>
      </w:hyperlink>
      <w:r>
        <w:rPr>
          <w:rFonts w:ascii="arial" w:eastAsia="arial" w:hAnsi="arial" w:cs="arial"/>
          <w:b w:val="0"/>
          <w:i w:val="0"/>
          <w:strike w:val="0"/>
          <w:noProof w:val="0"/>
          <w:color w:val="000000"/>
          <w:position w:val="0"/>
          <w:sz w:val="20"/>
          <w:u w:val="none"/>
          <w:vertAlign w:val="baseline"/>
        </w:rPr>
        <w:t xml:space="preserve">. "The terms of the statute dictate the nature and acts that constitute a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particular, "it is often helpful to look to the verb or verbs used in the criminal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statute to determine where the crime was committed." </w:t>
      </w:r>
      <w:r>
        <w:rPr>
          <w:rFonts w:ascii="arial" w:eastAsia="arial" w:hAnsi="arial" w:cs="arial"/>
          <w:b w:val="0"/>
          <w:i/>
          <w:strike w:val="0"/>
          <w:noProof w:val="0"/>
          <w:color w:val="000000"/>
          <w:position w:val="0"/>
          <w:sz w:val="20"/>
          <w:u w:val="none"/>
          <w:vertAlign w:val="baseline"/>
        </w:rPr>
        <w:t xml:space="preserve">Id.; </w:t>
      </w:r>
      <w:bookmarkStart w:id="52" w:name="Bookmark_I69B1W202HM6GC0040000400"/>
      <w:bookmarkEnd w:id="52"/>
      <w:hyperlink r:id="rId23" w:history="1">
        <w:r>
          <w:rPr>
            <w:rFonts w:ascii="arial" w:eastAsia="arial" w:hAnsi="arial" w:cs="arial"/>
            <w:b w:val="0"/>
            <w:i/>
            <w:strike w:val="0"/>
            <w:noProof w:val="0"/>
            <w:color w:val="0077CC"/>
            <w:position w:val="0"/>
            <w:sz w:val="20"/>
            <w:u w:val="single"/>
            <w:vertAlign w:val="baseline"/>
          </w:rPr>
          <w:t>Ryan</w:t>
        </w:r>
      </w:hyperlink>
      <w:hyperlink r:id="rId23" w:history="1">
        <w:r>
          <w:rPr>
            <w:rFonts w:ascii="arial" w:eastAsia="arial" w:hAnsi="arial" w:cs="arial"/>
            <w:b w:val="0"/>
            <w:i/>
            <w:strike w:val="0"/>
            <w:noProof w:val="0"/>
            <w:color w:val="0077CC"/>
            <w:position w:val="0"/>
            <w:sz w:val="20"/>
            <w:u w:val="single"/>
            <w:vertAlign w:val="baseline"/>
          </w:rPr>
          <w:t>, 894 F.2d at 360</w:t>
        </w:r>
      </w:hyperlink>
      <w:r>
        <w:rPr>
          <w:rFonts w:ascii="arial" w:eastAsia="arial" w:hAnsi="arial" w:cs="arial"/>
          <w:b w:val="0"/>
          <w:i w:val="0"/>
          <w:strike w:val="0"/>
          <w:noProof w:val="0"/>
          <w:color w:val="000000"/>
          <w:position w:val="0"/>
          <w:sz w:val="20"/>
          <w:u w:val="none"/>
          <w:vertAlign w:val="baseline"/>
        </w:rPr>
        <w:t xml:space="preserve">. </w:t>
      </w:r>
      <w:bookmarkStart w:id="53" w:name="Bookmark_I69B1W202D6NT00020000400_2"/>
      <w:bookmarkEnd w:id="53"/>
      <w:r>
        <w:rPr>
          <w:rFonts w:ascii="arial" w:eastAsia="arial" w:hAnsi="arial" w:cs="arial"/>
          <w:b w:val="0"/>
          <w:i w:val="0"/>
          <w:strike w:val="0"/>
          <w:noProof w:val="0"/>
          <w:color w:val="000000"/>
          <w:position w:val="0"/>
          <w:sz w:val="20"/>
          <w:u w:val="none"/>
          <w:vertAlign w:val="baseline"/>
        </w:rPr>
        <w:t xml:space="preserve">While the Supreme Court has counseled against too-strictly hewing to the "verb test" in determining </w:t>
      </w:r>
      <w:r>
        <w:rPr>
          <w:rFonts w:ascii="arial" w:eastAsia="arial" w:hAnsi="arial" w:cs="arial"/>
          <w:b w:val="0"/>
          <w:i/>
          <w:strike w:val="0"/>
          <w:noProof w:val="0"/>
          <w:color w:val="000000"/>
          <w:position w:val="0"/>
          <w:sz w:val="20"/>
          <w:u w:val="none"/>
          <w:vertAlign w:val="baseline"/>
        </w:rPr>
        <w:t>locus delicti</w:t>
      </w:r>
      <w:r>
        <w:rPr>
          <w:rFonts w:ascii="arial" w:eastAsia="arial" w:hAnsi="arial" w:cs="arial"/>
          <w:b w:val="0"/>
          <w:i w:val="0"/>
          <w:strike w:val="0"/>
          <w:noProof w:val="0"/>
          <w:color w:val="000000"/>
          <w:position w:val="0"/>
          <w:sz w:val="20"/>
          <w:u w:val="none"/>
          <w:vertAlign w:val="baseline"/>
        </w:rPr>
        <w:t xml:space="preserve">, </w:t>
      </w:r>
      <w:bookmarkStart w:id="54" w:name="Bookmark_I69B1W202D6NT00010000400"/>
      <w:bookmarkEnd w:id="54"/>
      <w:hyperlink r:id="rId27" w:history="1">
        <w:r>
          <w:rPr>
            <w:rFonts w:ascii="arial" w:eastAsia="arial" w:hAnsi="arial" w:cs="arial"/>
            <w:b w:val="0"/>
            <w:i/>
            <w:strike w:val="0"/>
            <w:noProof w:val="0"/>
            <w:color w:val="0077CC"/>
            <w:position w:val="0"/>
            <w:sz w:val="20"/>
            <w:u w:val="single"/>
            <w:vertAlign w:val="baseline"/>
          </w:rPr>
          <w:t>United States v. Rodriguez-Moreno</w:t>
        </w:r>
      </w:hyperlink>
      <w:hyperlink r:id="rId27" w:history="1">
        <w:r>
          <w:rPr>
            <w:rFonts w:ascii="arial" w:eastAsia="arial" w:hAnsi="arial" w:cs="arial"/>
            <w:b w:val="0"/>
            <w:i/>
            <w:strike w:val="0"/>
            <w:noProof w:val="0"/>
            <w:color w:val="0077CC"/>
            <w:position w:val="0"/>
            <w:sz w:val="20"/>
            <w:u w:val="single"/>
            <w:vertAlign w:val="baseline"/>
          </w:rPr>
          <w:t>, 526 U.S. 275, 280, 119 S. Ct. 1239, 143 L. Ed. 2d 388 (1999)</w:t>
        </w:r>
      </w:hyperlink>
      <w:r>
        <w:rPr>
          <w:rFonts w:ascii="arial" w:eastAsia="arial" w:hAnsi="arial" w:cs="arial"/>
          <w:b w:val="0"/>
          <w:i w:val="0"/>
          <w:strike w:val="0"/>
          <w:noProof w:val="0"/>
          <w:color w:val="000000"/>
          <w:position w:val="0"/>
          <w:sz w:val="20"/>
          <w:u w:val="none"/>
          <w:vertAlign w:val="baseline"/>
        </w:rPr>
        <w:t xml:space="preserve">, the Tenth Circuit has since reiterated that "it is often helpful to look to the verb or verbs used in the criminal statute to determine where the crime was committed." </w:t>
      </w:r>
      <w:bookmarkStart w:id="55" w:name="Bookmark_I69B1W202D6NT00030000400"/>
      <w:bookmarkEnd w:id="55"/>
      <w:hyperlink r:id="rId39" w:history="1">
        <w:r>
          <w:rPr>
            <w:rFonts w:ascii="arial" w:eastAsia="arial" w:hAnsi="arial" w:cs="arial"/>
            <w:b w:val="0"/>
            <w:i/>
            <w:strike w:val="0"/>
            <w:noProof w:val="0"/>
            <w:color w:val="0077CC"/>
            <w:position w:val="0"/>
            <w:sz w:val="20"/>
            <w:u w:val="single"/>
            <w:vertAlign w:val="baseline"/>
          </w:rPr>
          <w:t>Smith</w:t>
        </w:r>
      </w:hyperlink>
      <w:hyperlink r:id="rId39" w:history="1">
        <w:r>
          <w:rPr>
            <w:rFonts w:ascii="arial" w:eastAsia="arial" w:hAnsi="arial" w:cs="arial"/>
            <w:b w:val="0"/>
            <w:i/>
            <w:strike w:val="0"/>
            <w:noProof w:val="0"/>
            <w:color w:val="0077CC"/>
            <w:position w:val="0"/>
            <w:sz w:val="20"/>
            <w:u w:val="single"/>
            <w:vertAlign w:val="baseline"/>
          </w:rPr>
          <w:t>, 641 F.3d at 1207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15" w:history="1">
        <w:r>
          <w:rPr>
            <w:rFonts w:ascii="arial" w:eastAsia="arial" w:hAnsi="arial" w:cs="arial"/>
            <w:b/>
            <w:i/>
            <w:strike w:val="0"/>
            <w:noProof w:val="0"/>
            <w:color w:val="0077CC"/>
            <w:position w:val="0"/>
            <w:sz w:val="20"/>
            <w:u w:val="single"/>
            <w:vertAlign w:val="baseline"/>
          </w:rPr>
          <w:t>18 U.S.C. § 1960</w:t>
        </w:r>
      </w:hyperlink>
    </w:p>
    <w:p>
      <w:pPr>
        <w:keepNext w:val="0"/>
        <w:spacing w:before="240" w:after="0" w:line="260" w:lineRule="atLeast"/>
        <w:ind w:left="0" w:right="0" w:firstLine="0"/>
        <w:jc w:val="both"/>
      </w:pPr>
      <w:bookmarkStart w:id="56" w:name="Bookmark_para_11"/>
      <w:bookmarkEnd w:id="56"/>
      <w:bookmarkStart w:id="57" w:name="Bookmark_I69B1W2028T4XY0010000400"/>
      <w:bookmarkEnd w:id="57"/>
      <w:hyperlink r:id="rId15" w:history="1">
        <w:r>
          <w:rPr>
            <w:rFonts w:ascii="arial" w:eastAsia="arial" w:hAnsi="arial" w:cs="arial"/>
            <w:b w:val="0"/>
            <w:i/>
            <w:strike w:val="0"/>
            <w:color w:val="0077CC"/>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imposes criminal liability upon "[w]hoever knowingly conducts, controls, manages, supervises, directs, or owns all or part of an unlicensed money transmitting business[.]"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Thus, the dispositive question before the court is whether the government, through the Third Superseding Indictment, has alleged sufficient facts to support a finding by a jury that venue is proper in the District of Utah against Mr. Uchendu for a violation of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by virtue of Mr. Uchendu's alleged "conduct[ing], control[ling], manag[ing], supervis[ing], direct[ing] and own[ing] all or part of an unlicensed money transmitting business without registering that business"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or by aiding and abetting these activities. </w:t>
      </w:r>
      <w:hyperlink r:id="rId17" w:history="1">
        <w:r>
          <w:rPr>
            <w:rFonts w:ascii="arial" w:eastAsia="arial" w:hAnsi="arial" w:cs="arial"/>
            <w:b w:val="0"/>
            <w:i/>
            <w:strike w:val="0"/>
            <w:noProof w:val="0"/>
            <w:color w:val="0077CC"/>
            <w:position w:val="0"/>
            <w:sz w:val="20"/>
            <w:u w:val="single"/>
            <w:vertAlign w:val="baseline"/>
          </w:rPr>
          <w:t>18 U.S.C. § 2(a)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65" w:name="Bookmark_para_15"/>
      <w:bookmarkEnd w:id="65"/>
      <w:r>
        <w:rPr>
          <w:rFonts w:ascii="arial" w:eastAsia="arial" w:hAnsi="arial" w:cs="arial"/>
          <w:b w:val="0"/>
          <w:i w:val="0"/>
          <w:strike w:val="0"/>
          <w:noProof w:val="0"/>
          <w:color w:val="000000"/>
          <w:position w:val="0"/>
          <w:sz w:val="20"/>
          <w:u w:val="none"/>
          <w:vertAlign w:val="baseline"/>
        </w:rPr>
        <w:t xml:space="preserve">Defendant would have this court center its venue analysis on where Mr. Uchendu personally acted in such a way as to conduct, control, manage, direct, or own an unlicensed money transmitting business. Motion at 3;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at 4 ("[The indictment] fail[s] to allege Uchendu committed any act proscribed by the text of the statute in the District of Utah. . . . </w:t>
      </w:r>
      <w:bookmarkStart w:id="66" w:name="Bookmark_I69B1W2028T4XY0030000400"/>
      <w:bookmarkEnd w:id="66"/>
      <w:r>
        <w:rPr>
          <w:rFonts w:ascii="arial" w:eastAsia="arial" w:hAnsi="arial" w:cs="arial"/>
          <w:b w:val="0"/>
          <w:i w:val="0"/>
          <w:strike w:val="0"/>
          <w:noProof w:val="0"/>
          <w:color w:val="000000"/>
          <w:position w:val="0"/>
          <w:sz w:val="20"/>
          <w:u w:val="none"/>
          <w:vertAlign w:val="baseline"/>
        </w:rPr>
        <w:t xml:space="preserve">[The indictment] fails to allege Uchendu acted in Utah . . . . [The indictment] fail[s] to allege Uchendu committed any act within the statute in Utah."). Because Mr. Uchendu himself was only present in Georgia, Mr. Uchendu's actions, even if directed </w:t>
      </w:r>
      <w:r>
        <w:rPr>
          <w:rFonts w:ascii="arial" w:eastAsia="arial" w:hAnsi="arial" w:cs="arial"/>
          <w:b w:val="0"/>
          <w:i/>
          <w:strike w:val="0"/>
          <w:noProof w:val="0"/>
          <w:color w:val="000000"/>
          <w:position w:val="0"/>
          <w:sz w:val="20"/>
          <w:u w:val="none"/>
          <w:vertAlign w:val="baseline"/>
        </w:rPr>
        <w:t>towards</w:t>
      </w:r>
      <w:r>
        <w:rPr>
          <w:rFonts w:ascii="arial" w:eastAsia="arial" w:hAnsi="arial" w:cs="arial"/>
          <w:b w:val="0"/>
          <w:i w:val="0"/>
          <w:strike w:val="0"/>
          <w:noProof w:val="0"/>
          <w:color w:val="000000"/>
          <w:position w:val="0"/>
          <w:sz w:val="20"/>
          <w:u w:val="none"/>
          <w:vertAlign w:val="baseline"/>
        </w:rPr>
        <w:t xml:space="preserve"> Utah, are "based in Georgia," </w:t>
      </w:r>
      <w:bookmarkStart w:id="67" w:name="Bookmark_I69B1W2028T4XY0020000400"/>
      <w:bookmarkEnd w:id="67"/>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5</w:t>
        </w:r>
      </w:hyperlink>
      <w:r>
        <w:rPr>
          <w:rFonts w:ascii="arial" w:eastAsia="arial" w:hAnsi="arial" w:cs="arial"/>
          <w:b w:val="0"/>
          <w:i w:val="0"/>
          <w:strike w:val="0"/>
          <w:noProof w:val="0"/>
          <w:color w:val="000000"/>
          <w:position w:val="0"/>
          <w:sz w:val="20"/>
          <w:u w:val="none"/>
          <w:vertAlign w:val="baseline"/>
        </w:rPr>
        <w:t>, and venue is proper only in Georgia. That is, whenever Mr. Uchendu acted in such a way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 to conduct, control, manage, direct, or own, such actions began and ended in Georgia. The crux of Defendant's argument is that the Third Superseding Indictment, like the Second Superseding Indictment, "fails to allege Uchendu committed the specific acts proscribed by statute in the District of Utah." Motion at 2.</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Continuing Offense</w:t>
      </w:r>
    </w:p>
    <w:p>
      <w:pPr>
        <w:keepNext w:val="0"/>
        <w:spacing w:before="200" w:after="0" w:line="260" w:lineRule="atLeast"/>
        <w:ind w:left="0" w:right="0" w:firstLine="0"/>
        <w:jc w:val="both"/>
      </w:pPr>
      <w:bookmarkStart w:id="75" w:name="Bookmark_para_16"/>
      <w:bookmarkEnd w:id="75"/>
      <w:r>
        <w:rPr>
          <w:rFonts w:ascii="arial" w:eastAsia="arial" w:hAnsi="arial" w:cs="arial"/>
          <w:b w:val="0"/>
          <w:i w:val="0"/>
          <w:strike w:val="0"/>
          <w:noProof w:val="0"/>
          <w:color w:val="000000"/>
          <w:position w:val="0"/>
          <w:sz w:val="20"/>
          <w:u w:val="none"/>
          <w:vertAlign w:val="baseline"/>
        </w:rPr>
        <w:t xml:space="preserve">The government, on the other hand, offers a number of arguments as to why the offense proscribed in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should be read broadly enough to find that venue lies in this district. The government begins its argument with the assertion that the offense of conducting a business is, "by [its] nature, a continuing offense." Motion at 6. </w:t>
      </w:r>
      <w:bookmarkStart w:id="76" w:name="Bookmark_I69B1W202D6NT30040000400"/>
      <w:bookmarkEnd w:id="76"/>
      <w:r>
        <w:rPr>
          <w:rFonts w:ascii="arial" w:eastAsia="arial" w:hAnsi="arial" w:cs="arial"/>
          <w:b w:val="0"/>
          <w:i w:val="0"/>
          <w:strike w:val="0"/>
          <w:noProof w:val="0"/>
          <w:color w:val="000000"/>
          <w:position w:val="0"/>
          <w:sz w:val="20"/>
          <w:u w:val="none"/>
          <w:vertAlign w:val="baseline"/>
        </w:rPr>
        <w:t xml:space="preserve">However, this assertion, and the layers of argument built on top of it, are founded on a failure to appreciate the doctrinal complexity underlying continuing offenses. This is because "continuing offense" analysis is context-sensitive and comes in at least two distinct flavors—determining whether an offense is a continuing one for </w:t>
      </w:r>
      <w:r>
        <w:rPr>
          <w:rFonts w:ascii="arial" w:eastAsia="arial" w:hAnsi="arial" w:cs="arial"/>
          <w:b w:val="0"/>
          <w:i/>
          <w:strike w:val="0"/>
          <w:noProof w:val="0"/>
          <w:color w:val="000000"/>
          <w:position w:val="0"/>
          <w:sz w:val="20"/>
          <w:u w:val="none"/>
          <w:vertAlign w:val="baseline"/>
        </w:rPr>
        <w:t>venue</w:t>
      </w:r>
      <w:r>
        <w:rPr>
          <w:rFonts w:ascii="arial" w:eastAsia="arial" w:hAnsi="arial" w:cs="arial"/>
          <w:b w:val="0"/>
          <w:i w:val="0"/>
          <w:strike w:val="0"/>
          <w:noProof w:val="0"/>
          <w:color w:val="000000"/>
          <w:position w:val="0"/>
          <w:sz w:val="20"/>
          <w:u w:val="none"/>
          <w:vertAlign w:val="baseline"/>
        </w:rPr>
        <w:t xml:space="preserve"> purposes is very different than a similar determination under </w:t>
      </w:r>
      <w:r>
        <w:rPr>
          <w:rFonts w:ascii="arial" w:eastAsia="arial" w:hAnsi="arial" w:cs="arial"/>
          <w:b w:val="0"/>
          <w:i/>
          <w:strike w:val="0"/>
          <w:noProof w:val="0"/>
          <w:color w:val="000000"/>
          <w:position w:val="0"/>
          <w:sz w:val="20"/>
          <w:u w:val="none"/>
          <w:vertAlign w:val="baseline"/>
        </w:rPr>
        <w:t>statute of limitations</w:t>
      </w:r>
      <w:r>
        <w:rPr>
          <w:rFonts w:ascii="arial" w:eastAsia="arial" w:hAnsi="arial" w:cs="arial"/>
          <w:b w:val="0"/>
          <w:i w:val="0"/>
          <w:strike w:val="0"/>
          <w:noProof w:val="0"/>
          <w:color w:val="000000"/>
          <w:position w:val="0"/>
          <w:sz w:val="20"/>
          <w:u w:val="none"/>
          <w:vertAlign w:val="baseline"/>
        </w:rPr>
        <w:t xml:space="preserve"> purposes, as the Tenth Circuit has made clear. </w:t>
      </w:r>
      <w:r>
        <w:rPr>
          <w:rFonts w:ascii="arial" w:eastAsia="arial" w:hAnsi="arial" w:cs="arial"/>
          <w:b w:val="0"/>
          <w:i/>
          <w:strike w:val="0"/>
          <w:noProof w:val="0"/>
          <w:color w:val="000000"/>
          <w:position w:val="0"/>
          <w:sz w:val="20"/>
          <w:u w:val="none"/>
          <w:vertAlign w:val="baseline"/>
        </w:rPr>
        <w:t xml:space="preserve">See </w:t>
      </w:r>
      <w:bookmarkStart w:id="77" w:name="Bookmark_I69B1W202D6NT30030000400"/>
      <w:bookmarkEnd w:id="77"/>
      <w:hyperlink r:id="rId40" w:history="1">
        <w:r>
          <w:rPr>
            <w:rFonts w:ascii="arial" w:eastAsia="arial" w:hAnsi="arial" w:cs="arial"/>
            <w:b w:val="0"/>
            <w:i/>
            <w:strike w:val="0"/>
            <w:noProof w:val="0"/>
            <w:color w:val="0077CC"/>
            <w:position w:val="0"/>
            <w:sz w:val="20"/>
            <w:u w:val="single"/>
            <w:vertAlign w:val="baseline"/>
          </w:rPr>
          <w:t>United States v. Reitmeyer</w:t>
        </w:r>
      </w:hyperlink>
      <w:hyperlink r:id="rId40" w:history="1">
        <w:r>
          <w:rPr>
            <w:rFonts w:ascii="arial" w:eastAsia="arial" w:hAnsi="arial" w:cs="arial"/>
            <w:b w:val="0"/>
            <w:i/>
            <w:strike w:val="0"/>
            <w:noProof w:val="0"/>
            <w:color w:val="0077CC"/>
            <w:position w:val="0"/>
            <w:sz w:val="20"/>
            <w:u w:val="single"/>
            <w:vertAlign w:val="baseline"/>
          </w:rPr>
          <w:t>, 356 F.3d 1313, 1323 (10th Cir. 2004)</w:t>
        </w:r>
      </w:hyperlink>
      <w:r>
        <w:rPr>
          <w:rFonts w:ascii="arial" w:eastAsia="arial" w:hAnsi="arial" w:cs="arial"/>
          <w:b w:val="0"/>
          <w:i w:val="0"/>
          <w:strike w:val="0"/>
          <w:noProof w:val="0"/>
          <w:color w:val="000000"/>
          <w:position w:val="0"/>
          <w:sz w:val="20"/>
          <w:u w:val="none"/>
          <w:vertAlign w:val="baseline"/>
        </w:rPr>
        <w:t xml:space="preserve"> ("[T]he continuing offense analysis for venue purposes is obviously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different from the continuing offense analysis for statute of limitations.") (cleaned up).</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86" w:name="Bookmark_para_17"/>
      <w:bookmarkEnd w:id="86"/>
      <w:bookmarkStart w:id="87" w:name="Bookmark_I69B1W212HM6GP0040000400"/>
      <w:bookmarkEnd w:id="87"/>
      <w:bookmarkStart w:id="88" w:name="Bookmark_I69B1W2128T4Y70030000400"/>
      <w:bookmarkEnd w:id="88"/>
      <w:r>
        <w:rPr>
          <w:rFonts w:ascii="arial" w:eastAsia="arial" w:hAnsi="arial" w:cs="arial"/>
          <w:b w:val="0"/>
          <w:i w:val="0"/>
          <w:strike w:val="0"/>
          <w:noProof w:val="0"/>
          <w:color w:val="000000"/>
          <w:position w:val="0"/>
          <w:sz w:val="20"/>
          <w:u w:val="none"/>
          <w:vertAlign w:val="baseline"/>
        </w:rPr>
        <w:t xml:space="preserve">The government, in its citation to </w:t>
      </w:r>
      <w:bookmarkStart w:id="89" w:name="Bookmark_I69B1W212HM6GP0030000400"/>
      <w:bookmarkEnd w:id="89"/>
      <w:hyperlink r:id="rId41" w:history="1">
        <w:r>
          <w:rPr>
            <w:rFonts w:ascii="arial" w:eastAsia="arial" w:hAnsi="arial" w:cs="arial"/>
            <w:b w:val="0"/>
            <w:i/>
            <w:strike w:val="0"/>
            <w:noProof w:val="0"/>
            <w:color w:val="0077CC"/>
            <w:position w:val="0"/>
            <w:sz w:val="20"/>
            <w:u w:val="single"/>
            <w:vertAlign w:val="baseline"/>
          </w:rPr>
          <w:t>United States v. Useni</w:t>
        </w:r>
      </w:hyperlink>
      <w:hyperlink r:id="rId41" w:history="1">
        <w:r>
          <w:rPr>
            <w:rFonts w:ascii="arial" w:eastAsia="arial" w:hAnsi="arial" w:cs="arial"/>
            <w:b w:val="0"/>
            <w:i/>
            <w:strike w:val="0"/>
            <w:noProof w:val="0"/>
            <w:color w:val="0077CC"/>
            <w:position w:val="0"/>
            <w:sz w:val="20"/>
            <w:u w:val="single"/>
            <w:vertAlign w:val="baseline"/>
          </w:rPr>
          <w:t>, 516 F.3d 634, 655-56 (7th Cir. 2008)</w:t>
        </w:r>
      </w:hyperlink>
      <w:r>
        <w:rPr>
          <w:rFonts w:ascii="arial" w:eastAsia="arial" w:hAnsi="arial" w:cs="arial"/>
          <w:b w:val="0"/>
          <w:i w:val="0"/>
          <w:strike w:val="0"/>
          <w:noProof w:val="0"/>
          <w:color w:val="000000"/>
          <w:position w:val="0"/>
          <w:sz w:val="20"/>
          <w:u w:val="none"/>
          <w:vertAlign w:val="baseline"/>
        </w:rPr>
        <w:t xml:space="preserve"> and </w:t>
      </w:r>
      <w:bookmarkStart w:id="90" w:name="Bookmark_I69B1W212HM6GP0050000400"/>
      <w:bookmarkEnd w:id="90"/>
      <w:hyperlink r:id="rId42" w:history="1">
        <w:r>
          <w:rPr>
            <w:rFonts w:ascii="arial" w:eastAsia="arial" w:hAnsi="arial" w:cs="arial"/>
            <w:b w:val="0"/>
            <w:i/>
            <w:strike w:val="0"/>
            <w:noProof w:val="0"/>
            <w:color w:val="0077CC"/>
            <w:position w:val="0"/>
            <w:sz w:val="20"/>
            <w:u w:val="single"/>
            <w:vertAlign w:val="baseline"/>
          </w:rPr>
          <w:t>United States v. Wellington</w:t>
        </w:r>
      </w:hyperlink>
      <w:hyperlink r:id="rId42" w:history="1">
        <w:r>
          <w:rPr>
            <w:rFonts w:ascii="arial" w:eastAsia="arial" w:hAnsi="arial" w:cs="arial"/>
            <w:b w:val="0"/>
            <w:i/>
            <w:strike w:val="0"/>
            <w:noProof w:val="0"/>
            <w:color w:val="0077CC"/>
            <w:position w:val="0"/>
            <w:sz w:val="20"/>
            <w:u w:val="single"/>
            <w:vertAlign w:val="baseline"/>
          </w:rPr>
          <w:t>, 647 F. Supp. 3d 1183, 2022 U.S. Dist. LEXIS 231819, at *4 (D.N.M. Dec. 27, 2022)</w:t>
        </w:r>
      </w:hyperlink>
      <w:r>
        <w:rPr>
          <w:rFonts w:ascii="arial" w:eastAsia="arial" w:hAnsi="arial" w:cs="arial"/>
          <w:b w:val="0"/>
          <w:i w:val="0"/>
          <w:strike w:val="0"/>
          <w:noProof w:val="0"/>
          <w:color w:val="000000"/>
          <w:position w:val="0"/>
          <w:sz w:val="20"/>
          <w:u w:val="none"/>
          <w:vertAlign w:val="baseline"/>
        </w:rPr>
        <w:t xml:space="preserve">, for the proposition that "conducting a business [] is, by nature, a continuing offense," ECF No. 106 at 6, seems to have overlooked this distinction. In fact, much of the government's subsequent argument follows from the initial, unstated assumption that continuing offense calculus for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statute-of-limitation purposes and venue purposes in the case of conducting a business is the same. </w:t>
      </w:r>
      <w:r>
        <w:rPr>
          <w:rFonts w:ascii="arial" w:eastAsia="arial" w:hAnsi="arial" w:cs="arial"/>
          <w:b w:val="0"/>
          <w:i/>
          <w:strike w:val="0"/>
          <w:noProof w:val="0"/>
          <w:color w:val="000000"/>
          <w:position w:val="0"/>
          <w:sz w:val="20"/>
          <w:u w:val="none"/>
          <w:vertAlign w:val="baseline"/>
        </w:rPr>
        <w:t xml:space="preserve">See </w:t>
      </w:r>
      <w:bookmarkStart w:id="91" w:name="Bookmark_I69B1W2128T4Y70020000400"/>
      <w:bookmarkEnd w:id="9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6-9</w:t>
        </w:r>
      </w:hyperlink>
      <w:r>
        <w:rPr>
          <w:rFonts w:ascii="arial" w:eastAsia="arial" w:hAnsi="arial" w:cs="arial"/>
          <w:b w:val="0"/>
          <w:i w:val="0"/>
          <w:strike w:val="0"/>
          <w:noProof w:val="0"/>
          <w:color w:val="000000"/>
          <w:position w:val="0"/>
          <w:sz w:val="20"/>
          <w:u w:val="none"/>
          <w:vertAlign w:val="baseline"/>
        </w:rPr>
        <w:t xml:space="preserve">. And while the government has certainly made a strong case that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's proscription of certain activities related to unlicensed money transmission businesses may trigger the continuing-offense doctrine for statute-of-limitations purposes, the venue determination must be carefully considered separately, and does not immediately follow from the logic of the government's argument as presented.</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99" w:name="Bookmark_para_18"/>
      <w:bookmarkEnd w:id="99"/>
      <w:bookmarkStart w:id="100" w:name="Bookmark_I69B1W212N1RKP0030000400"/>
      <w:bookmarkEnd w:id="100"/>
      <w:r>
        <w:rPr>
          <w:rFonts w:ascii="arial" w:eastAsia="arial" w:hAnsi="arial" w:cs="arial"/>
          <w:b w:val="0"/>
          <w:i w:val="0"/>
          <w:strike w:val="0"/>
          <w:noProof w:val="0"/>
          <w:color w:val="000000"/>
          <w:position w:val="0"/>
          <w:sz w:val="20"/>
          <w:u w:val="none"/>
          <w:vertAlign w:val="baseline"/>
        </w:rPr>
        <w:t xml:space="preserve">Rather, the proper analysis under the continuing violation doctrine in this case is found in the statutory language of </w:t>
      </w:r>
      <w:hyperlink r:id="rId43" w:history="1">
        <w:r>
          <w:rPr>
            <w:rFonts w:ascii="arial" w:eastAsia="arial" w:hAnsi="arial" w:cs="arial"/>
            <w:b w:val="0"/>
            <w:i/>
            <w:strike w:val="0"/>
            <w:noProof w:val="0"/>
            <w:color w:val="0077CC"/>
            <w:position w:val="0"/>
            <w:sz w:val="20"/>
            <w:u w:val="single"/>
            <w:vertAlign w:val="baseline"/>
          </w:rPr>
          <w:t>18 U.S.C. § 3237(a)</w:t>
        </w:r>
      </w:hyperlink>
      <w:r>
        <w:rPr>
          <w:rFonts w:ascii="arial" w:eastAsia="arial" w:hAnsi="arial" w:cs="arial"/>
          <w:b w:val="0"/>
          <w:i w:val="0"/>
          <w:strike w:val="0"/>
          <w:noProof w:val="0"/>
          <w:color w:val="000000"/>
          <w:position w:val="0"/>
          <w:sz w:val="20"/>
          <w:u w:val="none"/>
          <w:vertAlign w:val="baseline"/>
        </w:rPr>
        <w:t>, under which such an offense "may be inquired of and prosecuted in any district in which such offense was begun, continued, or completed."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If the crime "began,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continued, and [was] completed" only in one district, it must be prosecuted in that district." </w:t>
      </w:r>
      <w:bookmarkStart w:id="102" w:name="Bookmark_I69B1W212N1RKP0020000400"/>
      <w:bookmarkEnd w:id="102"/>
      <w:hyperlink r:id="rId39" w:history="1">
        <w:r>
          <w:rPr>
            <w:rFonts w:ascii="arial" w:eastAsia="arial" w:hAnsi="arial" w:cs="arial"/>
            <w:b w:val="0"/>
            <w:i/>
            <w:strike w:val="0"/>
            <w:noProof w:val="0"/>
            <w:color w:val="0077CC"/>
            <w:position w:val="0"/>
            <w:sz w:val="20"/>
            <w:u w:val="single"/>
            <w:vertAlign w:val="baseline"/>
          </w:rPr>
          <w:t>United States v. Smith</w:t>
        </w:r>
      </w:hyperlink>
      <w:hyperlink r:id="rId39" w:history="1">
        <w:r>
          <w:rPr>
            <w:rFonts w:ascii="arial" w:eastAsia="arial" w:hAnsi="arial" w:cs="arial"/>
            <w:b w:val="0"/>
            <w:i/>
            <w:strike w:val="0"/>
            <w:noProof w:val="0"/>
            <w:color w:val="0077CC"/>
            <w:position w:val="0"/>
            <w:sz w:val="20"/>
            <w:u w:val="single"/>
            <w:vertAlign w:val="baseline"/>
          </w:rPr>
          <w:t>, 641 F.3d 1200, 1207 (10th Cir. 2011)</w:t>
        </w:r>
      </w:hyperlink>
      <w:r>
        <w:rPr>
          <w:rFonts w:ascii="arial" w:eastAsia="arial" w:hAnsi="arial" w:cs="arial"/>
          <w:b w:val="0"/>
          <w:i w:val="0"/>
          <w:strike w:val="0"/>
          <w:noProof w:val="0"/>
          <w:color w:val="000000"/>
          <w:position w:val="0"/>
          <w:sz w:val="20"/>
          <w:u w:val="none"/>
          <w:vertAlign w:val="baseline"/>
        </w:rPr>
        <w:t xml:space="preserve"> (citing </w:t>
      </w:r>
      <w:bookmarkStart w:id="103" w:name="Bookmark_I69B1W212N1RKP0040000400"/>
      <w:bookmarkEnd w:id="103"/>
      <w:hyperlink r:id="rId21" w:history="1">
        <w:r>
          <w:rPr>
            <w:rFonts w:ascii="arial" w:eastAsia="arial" w:hAnsi="arial" w:cs="arial"/>
            <w:b w:val="0"/>
            <w:i/>
            <w:strike w:val="0"/>
            <w:noProof w:val="0"/>
            <w:color w:val="0077CC"/>
            <w:position w:val="0"/>
            <w:sz w:val="20"/>
            <w:u w:val="single"/>
            <w:vertAlign w:val="baseline"/>
          </w:rPr>
          <w:t>Cabrales</w:t>
        </w:r>
      </w:hyperlink>
      <w:hyperlink r:id="rId21" w:history="1">
        <w:r>
          <w:rPr>
            <w:rFonts w:ascii="arial" w:eastAsia="arial" w:hAnsi="arial" w:cs="arial"/>
            <w:b w:val="0"/>
            <w:i/>
            <w:strike w:val="0"/>
            <w:noProof w:val="0"/>
            <w:color w:val="0077CC"/>
            <w:position w:val="0"/>
            <w:sz w:val="20"/>
            <w:u w:val="single"/>
            <w:vertAlign w:val="baseline"/>
          </w:rPr>
          <w:t>, 524 U.S. at 8</w:t>
        </w:r>
      </w:hyperlink>
      <w:r>
        <w:rPr>
          <w:rFonts w:ascii="arial" w:eastAsia="arial" w:hAnsi="arial" w:cs="arial"/>
          <w:b w:val="0"/>
          <w:i w:val="0"/>
          <w:strike w:val="0"/>
          <w:noProof w:val="0"/>
          <w:color w:val="000000"/>
          <w:position w:val="0"/>
          <w:sz w:val="20"/>
          <w:u w:val="none"/>
          <w:vertAlign w:val="baseline"/>
        </w:rPr>
        <w:t>) (cleaned up).</w:t>
      </w:r>
    </w:p>
    <w:p>
      <w:pPr>
        <w:keepNext w:val="0"/>
        <w:spacing w:before="200" w:after="0" w:line="260" w:lineRule="atLeast"/>
        <w:ind w:left="0" w:right="0" w:firstLine="0"/>
        <w:jc w:val="both"/>
      </w:pPr>
      <w:bookmarkStart w:id="104" w:name="Bookmark_para_19"/>
      <w:bookmarkEnd w:id="104"/>
      <w:bookmarkStart w:id="105" w:name="Bookmark_I69B1W222D6NTG0020000400"/>
      <w:bookmarkEnd w:id="105"/>
      <w:bookmarkStart w:id="106" w:name="Bookmark_I69B1W222D6NTG0040000400"/>
      <w:bookmarkEnd w:id="106"/>
      <w:r>
        <w:rPr>
          <w:rFonts w:ascii="arial" w:eastAsia="arial" w:hAnsi="arial" w:cs="arial"/>
          <w:b w:val="0"/>
          <w:i w:val="0"/>
          <w:strike w:val="0"/>
          <w:noProof w:val="0"/>
          <w:color w:val="000000"/>
          <w:position w:val="0"/>
          <w:sz w:val="20"/>
          <w:u w:val="none"/>
          <w:vertAlign w:val="baseline"/>
        </w:rPr>
        <w:t xml:space="preserve">Thus, again turning to the text of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the court considers the nature of the crime alleged and the location of the act or acts that constituted it, from which it might determine the appropriate </w:t>
      </w:r>
      <w:r>
        <w:rPr>
          <w:rFonts w:ascii="arial" w:eastAsia="arial" w:hAnsi="arial" w:cs="arial"/>
          <w:b w:val="0"/>
          <w:i/>
          <w:strike w:val="0"/>
          <w:noProof w:val="0"/>
          <w:color w:val="000000"/>
          <w:position w:val="0"/>
          <w:sz w:val="20"/>
          <w:u w:val="none"/>
          <w:vertAlign w:val="baseline"/>
        </w:rPr>
        <w:t>locus delicti</w:t>
      </w:r>
      <w:r>
        <w:rPr>
          <w:rFonts w:ascii="arial" w:eastAsia="arial" w:hAnsi="arial" w:cs="arial"/>
          <w:b w:val="0"/>
          <w:i w:val="0"/>
          <w:strike w:val="0"/>
          <w:noProof w:val="0"/>
          <w:color w:val="000000"/>
          <w:position w:val="0"/>
          <w:sz w:val="20"/>
          <w:u w:val="none"/>
          <w:vertAlign w:val="baseline"/>
        </w:rPr>
        <w:t xml:space="preserve">. </w:t>
      </w:r>
      <w:bookmarkStart w:id="107" w:name="Bookmark_I69B1W222N1RKT0010000400"/>
      <w:bookmarkEnd w:id="107"/>
      <w:bookmarkStart w:id="108" w:name="Bookmark_I69B1W222D6NTG0010000400"/>
      <w:bookmarkEnd w:id="108"/>
      <w:hyperlink r:id="rId39" w:history="1">
        <w:r>
          <w:rPr>
            <w:rFonts w:ascii="arial" w:eastAsia="arial" w:hAnsi="arial" w:cs="arial"/>
            <w:b w:val="0"/>
            <w:i/>
            <w:strike w:val="0"/>
            <w:noProof w:val="0"/>
            <w:color w:val="0077CC"/>
            <w:position w:val="0"/>
            <w:sz w:val="20"/>
            <w:u w:val="single"/>
            <w:vertAlign w:val="baseline"/>
          </w:rPr>
          <w:t>Smith</w:t>
        </w:r>
      </w:hyperlink>
      <w:hyperlink r:id="rId39" w:history="1">
        <w:r>
          <w:rPr>
            <w:rFonts w:ascii="arial" w:eastAsia="arial" w:hAnsi="arial" w:cs="arial"/>
            <w:b w:val="0"/>
            <w:i/>
            <w:strike w:val="0"/>
            <w:noProof w:val="0"/>
            <w:color w:val="0077CC"/>
            <w:position w:val="0"/>
            <w:sz w:val="20"/>
            <w:u w:val="single"/>
            <w:vertAlign w:val="baseline"/>
          </w:rPr>
          <w:t>, 641 F.3d at 1207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makes clear that even if a proscribed act has </w:t>
      </w:r>
      <w:r>
        <w:rPr>
          <w:rFonts w:ascii="arial" w:eastAsia="arial" w:hAnsi="arial" w:cs="arial"/>
          <w:b w:val="0"/>
          <w:i/>
          <w:strike w:val="0"/>
          <w:noProof w:val="0"/>
          <w:color w:val="000000"/>
          <w:position w:val="0"/>
          <w:sz w:val="20"/>
          <w:u w:val="none"/>
          <w:vertAlign w:val="baseline"/>
        </w:rPr>
        <w:t>effects</w:t>
      </w:r>
      <w:r>
        <w:rPr>
          <w:rFonts w:ascii="arial" w:eastAsia="arial" w:hAnsi="arial" w:cs="arial"/>
          <w:b w:val="0"/>
          <w:i w:val="0"/>
          <w:strike w:val="0"/>
          <w:noProof w:val="0"/>
          <w:color w:val="000000"/>
          <w:position w:val="0"/>
          <w:sz w:val="20"/>
          <w:u w:val="none"/>
          <w:vertAlign w:val="baseline"/>
        </w:rPr>
        <w:t xml:space="preserve"> in other jurisdictions, venue is proper only where such acts begin and end. </w:t>
      </w:r>
      <w:bookmarkStart w:id="109" w:name="Bookmark_I69B1W222D6NTG0030000400"/>
      <w:bookmarkEnd w:id="109"/>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1208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Through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the Tenth Circuit explicitly considered and rejected the "substantial contacts" test in determining venue. </w:t>
      </w:r>
      <w:bookmarkStart w:id="116" w:name="Bookmark_I69B1W222N1RKT0010000400_2"/>
      <w:bookmarkEnd w:id="116"/>
      <w:bookmarkStart w:id="117" w:name="Bookmark_I69B1W222D6NTG0050000400"/>
      <w:bookmarkEnd w:id="117"/>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1208</w:t>
        </w:r>
      </w:hyperlink>
      <w:r>
        <w:rPr>
          <w:rFonts w:ascii="arial" w:eastAsia="arial" w:hAnsi="arial" w:cs="arial"/>
          <w:b w:val="0"/>
          <w:i w:val="0"/>
          <w:strike w:val="0"/>
          <w:noProof w:val="0"/>
          <w:color w:val="000000"/>
          <w:position w:val="0"/>
          <w:sz w:val="20"/>
          <w:u w:val="none"/>
          <w:vertAlign w:val="baseline"/>
        </w:rPr>
        <w:t xml:space="preserve">. Thus, this court is bound to find venue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where the Defendant "</w:t>
      </w:r>
      <w:r>
        <w:rPr>
          <w:rFonts w:ascii="arial" w:eastAsia="arial" w:hAnsi="arial" w:cs="arial"/>
          <w:b w:val="0"/>
          <w:i w:val="0"/>
          <w:strike w:val="0"/>
          <w:noProof w:val="0"/>
          <w:color w:val="000000"/>
          <w:position w:val="0"/>
          <w:sz w:val="20"/>
          <w:u w:val="single"/>
          <w:vertAlign w:val="baseline"/>
        </w:rPr>
        <w:t>committed</w:t>
      </w:r>
      <w:r>
        <w:rPr>
          <w:rFonts w:ascii="arial" w:eastAsia="arial" w:hAnsi="arial" w:cs="arial"/>
          <w:b w:val="0"/>
          <w:i w:val="0"/>
          <w:strike w:val="0"/>
          <w:noProof w:val="0"/>
          <w:color w:val="000000"/>
          <w:position w:val="0"/>
          <w:sz w:val="20"/>
          <w:u w:val="none"/>
          <w:vertAlign w:val="baseline"/>
        </w:rPr>
        <w:t xml:space="preserve">" the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not where the effect of the crime's commission was felt.</w:t>
      </w:r>
    </w:p>
    <w:p>
      <w:pPr>
        <w:keepNext w:val="0"/>
        <w:spacing w:before="200" w:after="0" w:line="260" w:lineRule="atLeast"/>
        <w:ind w:left="0" w:right="0" w:firstLine="0"/>
        <w:jc w:val="both"/>
      </w:pPr>
      <w:bookmarkStart w:id="118" w:name="Bookmark_para_20"/>
      <w:bookmarkEnd w:id="118"/>
      <w:bookmarkStart w:id="119" w:name="Bookmark_I69B1W222HM6H00040000400"/>
      <w:bookmarkEnd w:id="119"/>
      <w:r>
        <w:rPr>
          <w:rFonts w:ascii="arial" w:eastAsia="arial" w:hAnsi="arial" w:cs="arial"/>
          <w:b w:val="0"/>
          <w:i w:val="0"/>
          <w:strike w:val="0"/>
          <w:noProof w:val="0"/>
          <w:color w:val="000000"/>
          <w:position w:val="0"/>
          <w:sz w:val="20"/>
          <w:u w:val="none"/>
          <w:vertAlign w:val="baseline"/>
        </w:rPr>
        <w:t xml:space="preserve">"As with any question of statutory interpretation, our analysis begins with the plain language of the statute." </w:t>
      </w:r>
      <w:bookmarkStart w:id="120" w:name="Bookmark_I69B1W222HM6H00030000400"/>
      <w:bookmarkEnd w:id="120"/>
      <w:hyperlink r:id="rId44" w:history="1">
        <w:r>
          <w:rPr>
            <w:rFonts w:ascii="arial" w:eastAsia="arial" w:hAnsi="arial" w:cs="arial"/>
            <w:b w:val="0"/>
            <w:i/>
            <w:strike w:val="0"/>
            <w:noProof w:val="0"/>
            <w:color w:val="0077CC"/>
            <w:position w:val="0"/>
            <w:sz w:val="20"/>
            <w:u w:val="single"/>
            <w:vertAlign w:val="baseline"/>
          </w:rPr>
          <w:t>Jimenez v. Quarterman</w:t>
        </w:r>
      </w:hyperlink>
      <w:hyperlink r:id="rId44" w:history="1">
        <w:r>
          <w:rPr>
            <w:rFonts w:ascii="arial" w:eastAsia="arial" w:hAnsi="arial" w:cs="arial"/>
            <w:b w:val="0"/>
            <w:i/>
            <w:strike w:val="0"/>
            <w:noProof w:val="0"/>
            <w:color w:val="0077CC"/>
            <w:position w:val="0"/>
            <w:sz w:val="20"/>
            <w:u w:val="single"/>
            <w:vertAlign w:val="baseline"/>
          </w:rPr>
          <w:t>, 555 U.S. 113, 118, 129 S. Ct. 681, 172 L. Ed. 2d 475 (2009)</w:t>
        </w:r>
      </w:hyperlink>
      <w:r>
        <w:rPr>
          <w:rFonts w:ascii="arial" w:eastAsia="arial" w:hAnsi="arial" w:cs="arial"/>
          <w:b w:val="0"/>
          <w:i w:val="0"/>
          <w:strike w:val="0"/>
          <w:noProof w:val="0"/>
          <w:color w:val="000000"/>
          <w:position w:val="0"/>
          <w:sz w:val="20"/>
          <w:u w:val="none"/>
          <w:vertAlign w:val="baseline"/>
        </w:rPr>
        <w:t xml:space="preserve">. Turning to the plain language of the statute, the court again reiterates that criminal punishment under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may only be meted out upon those who "knowingly conduct[], control[], manage[], supervise[], direct[], or own[] all or part of an unlicensed money transmitting business." </w:t>
      </w:r>
      <w:hyperlink r:id="rId15" w:history="1">
        <w:r>
          <w:rPr>
            <w:rFonts w:ascii="arial" w:eastAsia="arial" w:hAnsi="arial" w:cs="arial"/>
            <w:b w:val="0"/>
            <w:i/>
            <w:strike w:val="0"/>
            <w:noProof w:val="0"/>
            <w:color w:val="0077CC"/>
            <w:position w:val="0"/>
            <w:sz w:val="20"/>
            <w:u w:val="single"/>
            <w:vertAlign w:val="baseline"/>
          </w:rPr>
          <w:t>18 U.S.C. § 1960(a)</w:t>
        </w:r>
      </w:hyperlink>
      <w:r>
        <w:rPr>
          <w:rFonts w:ascii="arial" w:eastAsia="arial" w:hAnsi="arial" w:cs="arial"/>
          <w:b w:val="0"/>
          <w:i w:val="0"/>
          <w:strike w:val="0"/>
          <w:noProof w:val="0"/>
          <w:color w:val="000000"/>
          <w:position w:val="0"/>
          <w:sz w:val="20"/>
          <w:u w:val="none"/>
          <w:vertAlign w:val="baseline"/>
        </w:rPr>
        <w:t>. It is these actions, and these actions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only,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for which Mr. Uchendu is culpable under the statute, and venue lies only in such district where Mr. Uchendu can be shown to have </w:t>
      </w:r>
      <w:r>
        <w:rPr>
          <w:rFonts w:ascii="arial" w:eastAsia="arial" w:hAnsi="arial" w:cs="arial"/>
          <w:b w:val="0"/>
          <w:i/>
          <w:strike w:val="0"/>
          <w:noProof w:val="0"/>
          <w:color w:val="000000"/>
          <w:position w:val="0"/>
          <w:sz w:val="20"/>
          <w:u w:val="none"/>
          <w:vertAlign w:val="baseline"/>
        </w:rPr>
        <w:t>done</w:t>
      </w:r>
      <w:r>
        <w:rPr>
          <w:rFonts w:ascii="arial" w:eastAsia="arial" w:hAnsi="arial" w:cs="arial"/>
          <w:b w:val="0"/>
          <w:i w:val="0"/>
          <w:strike w:val="0"/>
          <w:noProof w:val="0"/>
          <w:color w:val="000000"/>
          <w:position w:val="0"/>
          <w:sz w:val="20"/>
          <w:u w:val="none"/>
          <w:vertAlign w:val="baseline"/>
        </w:rPr>
        <w:t xml:space="preserve"> such conducting, controlling, managing, supervising, directing, or owning.</w:t>
      </w:r>
    </w:p>
    <w:p>
      <w:pPr>
        <w:keepNext w:val="0"/>
        <w:spacing w:before="200" w:after="0" w:line="260" w:lineRule="atLeast"/>
        <w:ind w:left="0" w:right="0" w:firstLine="0"/>
        <w:jc w:val="both"/>
      </w:pPr>
      <w:bookmarkStart w:id="124" w:name="Bookmark_para_21"/>
      <w:bookmarkEnd w:id="124"/>
      <w:r>
        <w:rPr>
          <w:rFonts w:ascii="arial" w:eastAsia="arial" w:hAnsi="arial" w:cs="arial"/>
          <w:b w:val="0"/>
          <w:i w:val="0"/>
          <w:strike w:val="0"/>
          <w:noProof w:val="0"/>
          <w:color w:val="000000"/>
          <w:position w:val="0"/>
          <w:sz w:val="20"/>
          <w:u w:val="none"/>
          <w:vertAlign w:val="baseline"/>
        </w:rPr>
        <w:t xml:space="preserve">Of course, the effects—even the </w:t>
      </w:r>
      <w:r>
        <w:rPr>
          <w:rFonts w:ascii="arial" w:eastAsia="arial" w:hAnsi="arial" w:cs="arial"/>
          <w:b w:val="0"/>
          <w:i/>
          <w:strike w:val="0"/>
          <w:noProof w:val="0"/>
          <w:color w:val="000000"/>
          <w:position w:val="0"/>
          <w:sz w:val="20"/>
          <w:u w:val="none"/>
          <w:vertAlign w:val="baseline"/>
        </w:rPr>
        <w:t>direct objects</w:t>
      </w:r>
      <w:r>
        <w:rPr>
          <w:rFonts w:ascii="arial" w:eastAsia="arial" w:hAnsi="arial" w:cs="arial"/>
          <w:b w:val="0"/>
          <w:i w:val="0"/>
          <w:strike w:val="0"/>
          <w:noProof w:val="0"/>
          <w:color w:val="000000"/>
          <w:position w:val="0"/>
          <w:sz w:val="20"/>
          <w:u w:val="none"/>
          <w:vertAlign w:val="baseline"/>
        </w:rPr>
        <w:t>—of such actions can certainly be felt in far-removed places. But it does not follow that such actions themselves begin, continue, or end anywhere but the place of the doer (in this case, Mr. Uchendu).</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because it is only the place of the proscribed actions </w:t>
      </w:r>
      <w:r>
        <w:rPr>
          <w:rFonts w:ascii="arial" w:eastAsia="arial" w:hAnsi="arial" w:cs="arial"/>
          <w:b w:val="0"/>
          <w:i/>
          <w:strike w:val="0"/>
          <w:noProof w:val="0"/>
          <w:color w:val="000000"/>
          <w:position w:val="0"/>
          <w:sz w:val="20"/>
          <w:u w:val="none"/>
          <w:vertAlign w:val="baseline"/>
        </w:rPr>
        <w:t>themselves</w:t>
      </w:r>
      <w:r>
        <w:rPr>
          <w:rFonts w:ascii="arial" w:eastAsia="arial" w:hAnsi="arial" w:cs="arial"/>
          <w:b w:val="0"/>
          <w:i w:val="0"/>
          <w:strike w:val="0"/>
          <w:noProof w:val="0"/>
          <w:color w:val="000000"/>
          <w:position w:val="0"/>
          <w:sz w:val="20"/>
          <w:u w:val="none"/>
          <w:vertAlign w:val="baseline"/>
        </w:rPr>
        <w:t xml:space="preserve"> that provide venue, the fact of the business's operation in the District of Utah is insufficient as a matter of law. Venue lies in the </w:t>
      </w:r>
      <w:r>
        <w:rPr>
          <w:rFonts w:ascii="arial" w:eastAsia="arial" w:hAnsi="arial" w:cs="arial"/>
          <w:b w:val="0"/>
          <w:i/>
          <w:strike w:val="0"/>
          <w:noProof w:val="0"/>
          <w:color w:val="000000"/>
          <w:position w:val="0"/>
          <w:sz w:val="20"/>
          <w:u w:val="none"/>
          <w:vertAlign w:val="baseline"/>
        </w:rPr>
        <w:t>locus delicti</w:t>
      </w:r>
      <w:r>
        <w:rPr>
          <w:rFonts w:ascii="arial" w:eastAsia="arial" w:hAnsi="arial" w:cs="arial"/>
          <w:b w:val="0"/>
          <w:i w:val="0"/>
          <w:strike w:val="0"/>
          <w:noProof w:val="0"/>
          <w:color w:val="000000"/>
          <w:position w:val="0"/>
          <w:sz w:val="20"/>
          <w:u w:val="none"/>
          <w:vertAlign w:val="baseline"/>
        </w:rPr>
        <w:t xml:space="preserve">—that is, the place of the misdeed, where such bad acts occurred that gave rise to the prosecution—and nowhere else, not even the </w:t>
      </w:r>
      <w:r>
        <w:rPr>
          <w:rFonts w:ascii="arial" w:eastAsia="arial" w:hAnsi="arial" w:cs="arial"/>
          <w:b w:val="0"/>
          <w:i/>
          <w:strike w:val="0"/>
          <w:noProof w:val="0"/>
          <w:color w:val="000000"/>
          <w:position w:val="0"/>
          <w:sz w:val="20"/>
          <w:u w:val="none"/>
          <w:vertAlign w:val="baseline"/>
        </w:rPr>
        <w:t>locus effecti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Locus Delicti</w:t>
      </w:r>
      <w:r>
        <w:rPr>
          <w:rFonts w:ascii="arial" w:eastAsia="arial" w:hAnsi="arial" w:cs="arial"/>
          <w:b/>
          <w:i w:val="0"/>
          <w:strike w:val="0"/>
          <w:noProof w:val="0"/>
          <w:color w:val="000000"/>
          <w:position w:val="0"/>
          <w:sz w:val="20"/>
          <w:u w:val="none"/>
          <w:vertAlign w:val="baseline"/>
        </w:rPr>
        <w:t xml:space="preserve"> of "conducting"</w:t>
      </w:r>
    </w:p>
    <w:p>
      <w:pPr>
        <w:keepNext w:val="0"/>
        <w:spacing w:before="240" w:after="0" w:line="260" w:lineRule="atLeast"/>
        <w:ind w:left="0" w:right="0" w:firstLine="0"/>
        <w:jc w:val="both"/>
      </w:pPr>
      <w:bookmarkStart w:id="126" w:name="Bookmark_para_22"/>
      <w:bookmarkEnd w:id="126"/>
      <w:bookmarkStart w:id="127" w:name="Bookmark_I69B1W222N1RKY0030000400"/>
      <w:bookmarkEnd w:id="127"/>
      <w:r>
        <w:rPr>
          <w:rFonts w:ascii="arial" w:eastAsia="arial" w:hAnsi="arial" w:cs="arial"/>
          <w:b w:val="0"/>
          <w:i w:val="0"/>
          <w:strike w:val="0"/>
          <w:noProof w:val="0"/>
          <w:color w:val="000000"/>
          <w:position w:val="0"/>
          <w:sz w:val="20"/>
          <w:u w:val="none"/>
          <w:vertAlign w:val="baseline"/>
        </w:rPr>
        <w:t xml:space="preserve">Relatedly, the government points to a number of cases for the proposition that, in the Tenth Circuit, the act of conducting a business is interpreted broadly. </w:t>
      </w:r>
      <w:bookmarkStart w:id="128" w:name="Bookmark_I69B1W222N1RKY0050000400"/>
      <w:bookmarkEnd w:id="128"/>
      <w:r>
        <w:rPr>
          <w:rFonts w:ascii="arial" w:eastAsia="arial" w:hAnsi="arial" w:cs="arial"/>
          <w:b w:val="0"/>
          <w:i w:val="0"/>
          <w:strike w:val="0"/>
          <w:noProof w:val="0"/>
          <w:color w:val="000000"/>
          <w:position w:val="0"/>
          <w:sz w:val="20"/>
          <w:u w:val="none"/>
          <w:vertAlign w:val="baseline"/>
        </w:rPr>
        <w:t xml:space="preserve">ECF 106 at 6-7. For example, in </w:t>
      </w:r>
      <w:r>
        <w:rPr>
          <w:rFonts w:ascii="arial" w:eastAsia="arial" w:hAnsi="arial" w:cs="arial"/>
          <w:b w:val="0"/>
          <w:i/>
          <w:strike w:val="0"/>
          <w:noProof w:val="0"/>
          <w:color w:val="000000"/>
          <w:position w:val="0"/>
          <w:sz w:val="20"/>
          <w:u w:val="none"/>
          <w:vertAlign w:val="baseline"/>
        </w:rPr>
        <w:t>United States v. Boss</w:t>
      </w:r>
      <w:r>
        <w:rPr>
          <w:rFonts w:ascii="arial" w:eastAsia="arial" w:hAnsi="arial" w:cs="arial"/>
          <w:b w:val="0"/>
          <w:i w:val="0"/>
          <w:strike w:val="0"/>
          <w:noProof w:val="0"/>
          <w:color w:val="000000"/>
          <w:position w:val="0"/>
          <w:sz w:val="20"/>
          <w:u w:val="none"/>
          <w:vertAlign w:val="baseline"/>
        </w:rPr>
        <w:t>, the Tenth Circuit held that "participants who may be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counted as conductors include those on lower or higher echelons, but with a function at their level necessary to the illegal gambling business." </w:t>
      </w:r>
      <w:bookmarkStart w:id="129" w:name="Bookmark_I69B1W222N1RKY0020000400"/>
      <w:bookmarkEnd w:id="129"/>
      <w:hyperlink r:id="rId45" w:history="1">
        <w:r>
          <w:rPr>
            <w:rFonts w:ascii="arial" w:eastAsia="arial" w:hAnsi="arial" w:cs="arial"/>
            <w:b w:val="0"/>
            <w:i/>
            <w:strike w:val="0"/>
            <w:noProof w:val="0"/>
            <w:color w:val="0077CC"/>
            <w:position w:val="0"/>
            <w:sz w:val="20"/>
            <w:u w:val="single"/>
            <w:vertAlign w:val="baseline"/>
          </w:rPr>
          <w:t>671 F.2d 396, 400 (10th Cir. 1982)</w:t>
        </w:r>
      </w:hyperlink>
      <w:r>
        <w:rPr>
          <w:rFonts w:ascii="arial" w:eastAsia="arial" w:hAnsi="arial" w:cs="arial"/>
          <w:b w:val="0"/>
          <w:i w:val="0"/>
          <w:strike w:val="0"/>
          <w:noProof w:val="0"/>
          <w:color w:val="000000"/>
          <w:position w:val="0"/>
          <w:sz w:val="20"/>
          <w:u w:val="none"/>
          <w:vertAlign w:val="baseline"/>
        </w:rPr>
        <w:t xml:space="preserve">. </w:t>
      </w:r>
      <w:bookmarkStart w:id="130" w:name="Bookmark_I69B1W222N1RKY0050000400_2"/>
      <w:bookmarkEnd w:id="130"/>
      <w:r>
        <w:rPr>
          <w:rFonts w:ascii="arial" w:eastAsia="arial" w:hAnsi="arial" w:cs="arial"/>
          <w:b w:val="0"/>
          <w:i w:val="0"/>
          <w:strike w:val="0"/>
          <w:noProof w:val="0"/>
          <w:color w:val="000000"/>
          <w:position w:val="0"/>
          <w:sz w:val="20"/>
          <w:u w:val="none"/>
          <w:vertAlign w:val="baseline"/>
        </w:rPr>
        <w:t xml:space="preserve">Such persons must at least be more than "merely helpful to the illegal gambling business." </w:t>
      </w:r>
      <w:r>
        <w:rPr>
          <w:rFonts w:ascii="arial" w:eastAsia="arial" w:hAnsi="arial" w:cs="arial"/>
          <w:b w:val="0"/>
          <w:i/>
          <w:strike w:val="0"/>
          <w:noProof w:val="0"/>
          <w:color w:val="000000"/>
          <w:position w:val="0"/>
          <w:sz w:val="20"/>
          <w:u w:val="none"/>
          <w:vertAlign w:val="baseline"/>
        </w:rPr>
        <w:t xml:space="preserve">Id.; accord </w:t>
      </w:r>
      <w:bookmarkStart w:id="131" w:name="Bookmark_I69B1W222N1RKY0040000400"/>
      <w:bookmarkEnd w:id="131"/>
      <w:hyperlink r:id="rId46" w:history="1">
        <w:r>
          <w:rPr>
            <w:rFonts w:ascii="arial" w:eastAsia="arial" w:hAnsi="arial" w:cs="arial"/>
            <w:b w:val="0"/>
            <w:i/>
            <w:strike w:val="0"/>
            <w:noProof w:val="0"/>
            <w:color w:val="0077CC"/>
            <w:position w:val="0"/>
            <w:sz w:val="20"/>
            <w:u w:val="single"/>
            <w:vertAlign w:val="baseline"/>
          </w:rPr>
          <w:t>United States v. O'Brien</w:t>
        </w:r>
      </w:hyperlink>
      <w:hyperlink r:id="rId46" w:history="1">
        <w:r>
          <w:rPr>
            <w:rFonts w:ascii="arial" w:eastAsia="arial" w:hAnsi="arial" w:cs="arial"/>
            <w:b w:val="0"/>
            <w:i/>
            <w:strike w:val="0"/>
            <w:noProof w:val="0"/>
            <w:color w:val="0077CC"/>
            <w:position w:val="0"/>
            <w:sz w:val="20"/>
            <w:u w:val="single"/>
            <w:vertAlign w:val="baseline"/>
          </w:rPr>
          <w:t>, 131 F.3d 1428, 1431 (10th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23"/>
      <w:bookmarkEnd w:id="132"/>
      <w:bookmarkStart w:id="133" w:name="Bookmark_I69B1W2328T4YR0020000400"/>
      <w:bookmarkEnd w:id="133"/>
      <w:r>
        <w:rPr>
          <w:rFonts w:ascii="arial" w:eastAsia="arial" w:hAnsi="arial" w:cs="arial"/>
          <w:b w:val="0"/>
          <w:i w:val="0"/>
          <w:strike w:val="0"/>
          <w:noProof w:val="0"/>
          <w:color w:val="000000"/>
          <w:position w:val="0"/>
          <w:sz w:val="20"/>
          <w:u w:val="none"/>
          <w:vertAlign w:val="baseline"/>
        </w:rPr>
        <w:t xml:space="preserve">It is certainly true that Mr. Uchendu's actions as pleaded in the Third Superseding Indictment, taken as true, could support a finding by a jury that Mr. Uchendu conducted an unlicensed money transmitting business contrary to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For example, mailing checks to addresses in the District of Utah or wiring funds to bank accounts in the District of Utah, Third Superseding Indictment ¶ 14, may satisfy the </w:t>
      </w:r>
      <w:r>
        <w:rPr>
          <w:rFonts w:ascii="arial" w:eastAsia="arial" w:hAnsi="arial" w:cs="arial"/>
          <w:b w:val="0"/>
          <w:i/>
          <w:strike w:val="0"/>
          <w:noProof w:val="0"/>
          <w:color w:val="000000"/>
          <w:position w:val="0"/>
          <w:sz w:val="20"/>
          <w:u w:val="none"/>
          <w:vertAlign w:val="baseline"/>
        </w:rPr>
        <w:t>Boss</w:t>
      </w:r>
      <w:r>
        <w:rPr>
          <w:rFonts w:ascii="arial" w:eastAsia="arial" w:hAnsi="arial" w:cs="arial"/>
          <w:b w:val="0"/>
          <w:i w:val="0"/>
          <w:strike w:val="0"/>
          <w:noProof w:val="0"/>
          <w:color w:val="000000"/>
          <w:position w:val="0"/>
          <w:sz w:val="20"/>
          <w:u w:val="none"/>
          <w:vertAlign w:val="baseline"/>
        </w:rPr>
        <w:t xml:space="preserve"> and </w:t>
      </w:r>
      <w:bookmarkStart w:id="134" w:name="Bookmark_I69B1W2328T4YR0010000400"/>
      <w:bookmarkEnd w:id="134"/>
      <w:hyperlink r:id="rId46" w:history="1">
        <w:r>
          <w:rPr>
            <w:rFonts w:ascii="arial" w:eastAsia="arial" w:hAnsi="arial" w:cs="arial"/>
            <w:b w:val="0"/>
            <w:i/>
            <w:strike w:val="0"/>
            <w:noProof w:val="0"/>
            <w:color w:val="0077CC"/>
            <w:position w:val="0"/>
            <w:sz w:val="20"/>
            <w:u w:val="single"/>
            <w:vertAlign w:val="baseline"/>
          </w:rPr>
          <w:t>O'Brien</w:t>
        </w:r>
      </w:hyperlink>
      <w:r>
        <w:rPr>
          <w:rFonts w:ascii="arial" w:eastAsia="arial" w:hAnsi="arial" w:cs="arial"/>
          <w:b w:val="0"/>
          <w:i w:val="0"/>
          <w:strike w:val="0"/>
          <w:noProof w:val="0"/>
          <w:color w:val="000000"/>
          <w:position w:val="0"/>
          <w:sz w:val="20"/>
          <w:u w:val="none"/>
          <w:vertAlign w:val="baseline"/>
        </w:rPr>
        <w:t xml:space="preserve"> standard for what constitutes the conducting of an illegal business.</w:t>
      </w:r>
    </w:p>
    <w:p>
      <w:pPr>
        <w:keepNext w:val="0"/>
        <w:spacing w:before="200" w:after="0" w:line="260" w:lineRule="atLeast"/>
        <w:ind w:left="0" w:right="0" w:firstLine="0"/>
        <w:jc w:val="both"/>
      </w:pPr>
      <w:bookmarkStart w:id="135" w:name="Bookmark_para_24"/>
      <w:bookmarkEnd w:id="135"/>
      <w:r>
        <w:rPr>
          <w:rFonts w:ascii="arial" w:eastAsia="arial" w:hAnsi="arial" w:cs="arial"/>
          <w:b w:val="0"/>
          <w:i w:val="0"/>
          <w:strike w:val="0"/>
          <w:noProof w:val="0"/>
          <w:color w:val="000000"/>
          <w:position w:val="0"/>
          <w:sz w:val="20"/>
          <w:u w:val="none"/>
          <w:vertAlign w:val="baseline"/>
        </w:rPr>
        <w:t xml:space="preserve">However, all of this merely begs the question of </w:t>
      </w:r>
      <w:r>
        <w:rPr>
          <w:rFonts w:ascii="arial" w:eastAsia="arial" w:hAnsi="arial" w:cs="arial"/>
          <w:b w:val="0"/>
          <w:i/>
          <w:strike w:val="0"/>
          <w:noProof w:val="0"/>
          <w:color w:val="000000"/>
          <w:position w:val="0"/>
          <w:sz w:val="20"/>
          <w:u w:val="none"/>
          <w:vertAlign w:val="baseline"/>
        </w:rPr>
        <w:t>where</w:t>
      </w:r>
      <w:r>
        <w:rPr>
          <w:rFonts w:ascii="arial" w:eastAsia="arial" w:hAnsi="arial" w:cs="arial"/>
          <w:b w:val="0"/>
          <w:i w:val="0"/>
          <w:strike w:val="0"/>
          <w:noProof w:val="0"/>
          <w:color w:val="000000"/>
          <w:position w:val="0"/>
          <w:sz w:val="20"/>
          <w:u w:val="none"/>
          <w:vertAlign w:val="baseline"/>
        </w:rPr>
        <w:t xml:space="preserve"> such conducting took place—where it began, continued, and ended. Even though Mr. Uchendu may have done many things that affected Utah, it does not necessarily follow that the conducting began, continued, or ended in Utah.</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Thus, even in light of the cases cited regarding "conducting" liability, the court again holds, as a matter of law, that conducting is not the sort of activity that can begin in one jurisdiction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end in another.</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There is simply no logical route that the government can take through which Mr. Uchendu's conducting of a business operation could be said to begin where he is and yet somehow end where the business is. Such an argument begs the court to engage in metaphysical gymnastics to find venue generously in clear contravention of a tradition of conservative venue jurisprudence beginning with the Constitution.</w:t>
      </w:r>
    </w:p>
    <w:p>
      <w:pPr>
        <w:keepNext w:val="0"/>
        <w:spacing w:before="240" w:after="0" w:line="260" w:lineRule="atLeast"/>
        <w:ind w:left="0" w:right="0" w:firstLine="0"/>
        <w:jc w:val="both"/>
      </w:pPr>
      <w:bookmarkStart w:id="143" w:name="Bookmark_para_25"/>
      <w:bookmarkEnd w:id="143"/>
      <w:bookmarkStart w:id="144" w:name="Bookmark_I69B1W232SF7YD0030000400"/>
      <w:bookmarkEnd w:id="144"/>
      <w:r>
        <w:rPr>
          <w:rFonts w:ascii="arial" w:eastAsia="arial" w:hAnsi="arial" w:cs="arial"/>
          <w:b w:val="0"/>
          <w:i w:val="0"/>
          <w:strike w:val="0"/>
          <w:noProof w:val="0"/>
          <w:color w:val="000000"/>
          <w:position w:val="0"/>
          <w:sz w:val="20"/>
          <w:u w:val="none"/>
          <w:vertAlign w:val="baseline"/>
        </w:rPr>
        <w:t xml:space="preserve">Reading the statute in any way that would allow venue to lie where the effects of such conducting, controlling, managing, supervising, directing, or owning are felt—for instance, where the conducted business itself operates—would be to look past the plain language of the statute and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the substantial contacts test or its functional equivalent through the back door into Tenth Circuit jurisprudence against the clear mandate of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Mr. Uchendu is alleged to have violated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by acts committed in Georgia, and the law dictates that venue lie in such district, even if the crime had substantial contacts with the District of Utah. "[W]hen the statutory language is plain, we must enforce it according to its terms." </w:t>
      </w:r>
      <w:bookmarkStart w:id="145" w:name="Bookmark_I69B1W232SF7YD0020000400"/>
      <w:bookmarkEnd w:id="145"/>
      <w:hyperlink r:id="rId47" w:history="1">
        <w:r>
          <w:rPr>
            <w:rFonts w:ascii="arial" w:eastAsia="arial" w:hAnsi="arial" w:cs="arial"/>
            <w:b w:val="0"/>
            <w:i/>
            <w:strike w:val="0"/>
            <w:noProof w:val="0"/>
            <w:color w:val="0077CC"/>
            <w:position w:val="0"/>
            <w:sz w:val="20"/>
            <w:u w:val="single"/>
            <w:vertAlign w:val="baseline"/>
          </w:rPr>
          <w:t>Dodd v. United States</w:t>
        </w:r>
      </w:hyperlink>
      <w:hyperlink r:id="rId47" w:history="1">
        <w:r>
          <w:rPr>
            <w:rFonts w:ascii="arial" w:eastAsia="arial" w:hAnsi="arial" w:cs="arial"/>
            <w:b w:val="0"/>
            <w:i/>
            <w:strike w:val="0"/>
            <w:noProof w:val="0"/>
            <w:color w:val="0077CC"/>
            <w:position w:val="0"/>
            <w:sz w:val="20"/>
            <w:u w:val="single"/>
            <w:vertAlign w:val="baseline"/>
          </w:rPr>
          <w:t>, 545 U.S. 353, 359, 125 S. Ct. 2478, 162 L. Ed. 2d 343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Analogy to Conspiracy</w:t>
      </w:r>
      <w:r>
        <w:rPr>
          <w:rFonts w:ascii="arial" w:eastAsia="arial" w:hAnsi="arial" w:cs="arial"/>
          <w:b/>
          <w:i w:val="0"/>
          <w:strike w:val="0"/>
          <w:noProof w:val="0"/>
          <w:color w:val="000000"/>
          <w:position w:val="0"/>
          <w:sz w:val="20"/>
          <w:u w:val="none"/>
          <w:vertAlign w:val="baseline"/>
        </w:rPr>
        <w:t> [*13] </w:t>
      </w:r>
    </w:p>
    <w:p>
      <w:pPr>
        <w:keepNext w:val="0"/>
        <w:spacing w:before="240" w:after="0" w:line="260" w:lineRule="atLeast"/>
        <w:ind w:left="0" w:right="0" w:firstLine="0"/>
        <w:jc w:val="both"/>
      </w:pPr>
      <w:bookmarkStart w:id="146" w:name="Bookmark_para_26"/>
      <w:bookmarkEnd w:id="146"/>
      <w:bookmarkStart w:id="147" w:name="Bookmark_I69B1W232SF7YD0050000400"/>
      <w:bookmarkEnd w:id="147"/>
      <w:bookmarkStart w:id="148" w:name="Bookmark_I69B1W242D6NV20050000400"/>
      <w:bookmarkEnd w:id="148"/>
      <w:r>
        <w:rPr>
          <w:rFonts w:ascii="arial" w:eastAsia="arial" w:hAnsi="arial" w:cs="arial"/>
          <w:b w:val="0"/>
          <w:i w:val="0"/>
          <w:strike w:val="0"/>
          <w:noProof w:val="0"/>
          <w:color w:val="000000"/>
          <w:position w:val="0"/>
          <w:sz w:val="20"/>
          <w:u w:val="none"/>
          <w:vertAlign w:val="baseline"/>
        </w:rPr>
        <w:t xml:space="preserve">At several points throughout its opposition memorandum, ECF No. 106, the government seeks to import the venue logic of conspiracy into the text of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And, in fact, at least one district court (in two related proceedings) has concluded that conducting an illegal business (in that case, a gambling business) ends where the business itself operates, borrowing from the "permissive" venue rules of conspiracy. </w:t>
      </w:r>
      <w:r>
        <w:rPr>
          <w:rFonts w:ascii="arial" w:eastAsia="arial" w:hAnsi="arial" w:cs="arial"/>
          <w:b w:val="0"/>
          <w:i/>
          <w:strike w:val="0"/>
          <w:noProof w:val="0"/>
          <w:color w:val="000000"/>
          <w:position w:val="0"/>
          <w:sz w:val="20"/>
          <w:u w:val="none"/>
          <w:vertAlign w:val="baseline"/>
        </w:rPr>
        <w:t xml:space="preserve">See </w:t>
      </w:r>
      <w:bookmarkStart w:id="149" w:name="Bookmark_I69B1W232SF7YD0040000400"/>
      <w:bookmarkEnd w:id="149"/>
      <w:hyperlink r:id="rId48" w:history="1">
        <w:r>
          <w:rPr>
            <w:rFonts w:ascii="arial" w:eastAsia="arial" w:hAnsi="arial" w:cs="arial"/>
            <w:b w:val="0"/>
            <w:i/>
            <w:strike w:val="0"/>
            <w:noProof w:val="0"/>
            <w:color w:val="0077CC"/>
            <w:position w:val="0"/>
            <w:sz w:val="20"/>
            <w:u w:val="single"/>
            <w:vertAlign w:val="baseline"/>
          </w:rPr>
          <w:t>United States v. Robles</w:t>
        </w:r>
      </w:hyperlink>
      <w:hyperlink r:id="rId48" w:history="1">
        <w:r>
          <w:rPr>
            <w:rFonts w:ascii="arial" w:eastAsia="arial" w:hAnsi="arial" w:cs="arial"/>
            <w:b w:val="0"/>
            <w:i/>
            <w:strike w:val="0"/>
            <w:noProof w:val="0"/>
            <w:color w:val="0077CC"/>
            <w:position w:val="0"/>
            <w:sz w:val="20"/>
            <w:u w:val="single"/>
            <w:vertAlign w:val="baseline"/>
          </w:rPr>
          <w:t>, 2015 U.S. Dist. LEXIS 183658, at *13-14 (W.D. Okla. 2015)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bookmarkStart w:id="153" w:name="Bookmark_I69B1W2428T4YW0010000400"/>
      <w:bookmarkEnd w:id="153"/>
      <w:hyperlink r:id="rId49" w:history="1">
        <w:r>
          <w:rPr>
            <w:rFonts w:ascii="arial" w:eastAsia="arial" w:hAnsi="arial" w:cs="arial"/>
            <w:b w:val="0"/>
            <w:i/>
            <w:strike w:val="0"/>
            <w:noProof w:val="0"/>
            <w:color w:val="0077CC"/>
            <w:position w:val="0"/>
            <w:sz w:val="20"/>
            <w:u w:val="single"/>
            <w:vertAlign w:val="baseline"/>
          </w:rPr>
          <w:t>United States v. Bramley</w:t>
        </w:r>
      </w:hyperlink>
      <w:hyperlink r:id="rId49" w:history="1">
        <w:r>
          <w:rPr>
            <w:rFonts w:ascii="arial" w:eastAsia="arial" w:hAnsi="arial" w:cs="arial"/>
            <w:b w:val="0"/>
            <w:i/>
            <w:strike w:val="0"/>
            <w:noProof w:val="0"/>
            <w:color w:val="0077CC"/>
            <w:position w:val="0"/>
            <w:sz w:val="20"/>
            <w:u w:val="single"/>
            <w:vertAlign w:val="baseline"/>
          </w:rPr>
          <w:t>, 2015 U.S. Dist. LEXIS 183656, at *28 (W.D. Okla. 2015)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This court, however, in unpersuaded that it is appropriate to import the liberal venue rules underlying conspiracy into a substantive charge.</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163" w:name="Bookmark_para_27"/>
      <w:bookmarkEnd w:id="163"/>
      <w:bookmarkStart w:id="164" w:name="Bookmark_I69B1W242HM6HJ0040000400"/>
      <w:bookmarkEnd w:id="164"/>
      <w:r>
        <w:rPr>
          <w:rFonts w:ascii="arial" w:eastAsia="arial" w:hAnsi="arial" w:cs="arial"/>
          <w:b w:val="0"/>
          <w:i w:val="0"/>
          <w:strike w:val="0"/>
          <w:noProof w:val="0"/>
          <w:color w:val="000000"/>
          <w:position w:val="0"/>
          <w:sz w:val="20"/>
          <w:u w:val="none"/>
          <w:vertAlign w:val="baseline"/>
        </w:rPr>
        <w:t xml:space="preserve">In fact, much of the government's argument boils down to an invitation (sometimes explicit, sometimes implicit) to shoehorn venue analysis under conspiracy into the substantive count of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arguing that many of the distinctions between criminal conspiracy and an illegal business "make no difference" in the instant case. ECF No. 106 at 10 n.3. Many of the cases cited for the proposition that venue will lie for conducting a business in violation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the law in any district where its participants performed acts in furtherance of the business's operations, </w:t>
      </w:r>
      <w:r>
        <w:rPr>
          <w:rFonts w:ascii="arial" w:eastAsia="arial" w:hAnsi="arial" w:cs="arial"/>
          <w:b w:val="0"/>
          <w:i/>
          <w:strike w:val="0"/>
          <w:noProof w:val="0"/>
          <w:color w:val="000000"/>
          <w:position w:val="0"/>
          <w:sz w:val="20"/>
          <w:u w:val="none"/>
          <w:vertAlign w:val="baseline"/>
        </w:rPr>
        <w:t xml:space="preserve">see, e.g., </w:t>
      </w:r>
      <w:bookmarkStart w:id="165" w:name="Bookmark_I69B1W242HM6HJ0030000400"/>
      <w:bookmarkEnd w:id="165"/>
      <w:hyperlink r:id="rId50" w:history="1">
        <w:r>
          <w:rPr>
            <w:rFonts w:ascii="arial" w:eastAsia="arial" w:hAnsi="arial" w:cs="arial"/>
            <w:b w:val="0"/>
            <w:i/>
            <w:strike w:val="0"/>
            <w:noProof w:val="0"/>
            <w:color w:val="0077CC"/>
            <w:position w:val="0"/>
            <w:sz w:val="20"/>
            <w:u w:val="single"/>
            <w:vertAlign w:val="baseline"/>
          </w:rPr>
          <w:t>United States v. Rinke</w:t>
        </w:r>
      </w:hyperlink>
      <w:hyperlink r:id="rId50" w:history="1">
        <w:r>
          <w:rPr>
            <w:rFonts w:ascii="arial" w:eastAsia="arial" w:hAnsi="arial" w:cs="arial"/>
            <w:b w:val="0"/>
            <w:i/>
            <w:strike w:val="0"/>
            <w:noProof w:val="0"/>
            <w:color w:val="0077CC"/>
            <w:position w:val="0"/>
            <w:sz w:val="20"/>
            <w:u w:val="single"/>
            <w:vertAlign w:val="baseline"/>
          </w:rPr>
          <w:t>, 778 F.2d 581, 584 (10th Cir. 1985)</w:t>
        </w:r>
      </w:hyperlink>
      <w:r>
        <w:rPr>
          <w:rFonts w:ascii="arial" w:eastAsia="arial" w:hAnsi="arial" w:cs="arial"/>
          <w:b w:val="0"/>
          <w:i w:val="0"/>
          <w:strike w:val="0"/>
          <w:noProof w:val="0"/>
          <w:color w:val="000000"/>
          <w:position w:val="0"/>
          <w:sz w:val="20"/>
          <w:u w:val="none"/>
          <w:vertAlign w:val="baseline"/>
        </w:rPr>
        <w:t xml:space="preserve">, </w:t>
      </w:r>
      <w:bookmarkStart w:id="166" w:name="Bookmark_I69B1W242HM6HJ0050000400"/>
      <w:bookmarkEnd w:id="166"/>
      <w:hyperlink r:id="rId51" w:history="1">
        <w:r>
          <w:rPr>
            <w:rFonts w:ascii="arial" w:eastAsia="arial" w:hAnsi="arial" w:cs="arial"/>
            <w:b w:val="0"/>
            <w:i/>
            <w:strike w:val="0"/>
            <w:noProof w:val="0"/>
            <w:color w:val="0077CC"/>
            <w:position w:val="0"/>
            <w:sz w:val="20"/>
            <w:u w:val="single"/>
            <w:vertAlign w:val="baseline"/>
          </w:rPr>
          <w:t>United States v. Smith</w:t>
        </w:r>
      </w:hyperlink>
      <w:hyperlink r:id="rId51" w:history="1">
        <w:r>
          <w:rPr>
            <w:rFonts w:ascii="arial" w:eastAsia="arial" w:hAnsi="arial" w:cs="arial"/>
            <w:b w:val="0"/>
            <w:i/>
            <w:strike w:val="0"/>
            <w:noProof w:val="0"/>
            <w:color w:val="0077CC"/>
            <w:position w:val="0"/>
            <w:sz w:val="20"/>
            <w:u w:val="single"/>
            <w:vertAlign w:val="baseline"/>
          </w:rPr>
          <w:t>, 692 F.2d 693 (10th Cir. 1982)</w:t>
        </w:r>
      </w:hyperlink>
      <w:r>
        <w:rPr>
          <w:rFonts w:ascii="arial" w:eastAsia="arial" w:hAnsi="arial" w:cs="arial"/>
          <w:b w:val="0"/>
          <w:i w:val="0"/>
          <w:strike w:val="0"/>
          <w:noProof w:val="0"/>
          <w:color w:val="000000"/>
          <w:position w:val="0"/>
          <w:sz w:val="20"/>
          <w:u w:val="none"/>
          <w:vertAlign w:val="baseline"/>
        </w:rPr>
        <w:t xml:space="preserve">, actually only speak to conspiracy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7" w:name="Bookmark_para_28"/>
      <w:bookmarkEnd w:id="167"/>
      <w:bookmarkStart w:id="168" w:name="Bookmark_I4MWK8V64VS000013110000S"/>
      <w:bookmarkEnd w:id="168"/>
      <w:bookmarkStart w:id="169" w:name="Bookmark_I69B1W242N1RMH0030000400"/>
      <w:bookmarkEnd w:id="169"/>
      <w:r>
        <w:rPr>
          <w:rFonts w:ascii="arial" w:eastAsia="arial" w:hAnsi="arial" w:cs="arial"/>
          <w:b w:val="0"/>
          <w:i w:val="0"/>
          <w:strike w:val="0"/>
          <w:noProof w:val="0"/>
          <w:color w:val="000000"/>
          <w:position w:val="0"/>
          <w:sz w:val="20"/>
          <w:u w:val="none"/>
          <w:vertAlign w:val="baseline"/>
        </w:rPr>
        <w:t xml:space="preserve">Because this court is persuaded that venue analysis for conspiracy and substantive crimes must be performed separately, </w:t>
      </w:r>
      <w:bookmarkStart w:id="170" w:name="Bookmark_I69B1W242N1RMH0020000400"/>
      <w:bookmarkEnd w:id="170"/>
      <w:hyperlink r:id="rId52" w:history="1">
        <w:r>
          <w:rPr>
            <w:rFonts w:ascii="arial" w:eastAsia="arial" w:hAnsi="arial" w:cs="arial"/>
            <w:b w:val="0"/>
            <w:i/>
            <w:strike w:val="0"/>
            <w:noProof w:val="0"/>
            <w:color w:val="0077CC"/>
            <w:position w:val="0"/>
            <w:sz w:val="20"/>
            <w:u w:val="single"/>
            <w:vertAlign w:val="baseline"/>
          </w:rPr>
          <w:t>United States v. Granados</w:t>
        </w:r>
      </w:hyperlink>
      <w:hyperlink r:id="rId52" w:history="1">
        <w:r>
          <w:rPr>
            <w:rFonts w:ascii="arial" w:eastAsia="arial" w:hAnsi="arial" w:cs="arial"/>
            <w:b w:val="0"/>
            <w:i/>
            <w:strike w:val="0"/>
            <w:noProof w:val="0"/>
            <w:color w:val="0077CC"/>
            <w:position w:val="0"/>
            <w:sz w:val="20"/>
            <w:u w:val="single"/>
            <w:vertAlign w:val="baseline"/>
          </w:rPr>
          <w:t>, 117 F.3d 1089, 1091 (8th Cir. 1997)</w:t>
        </w:r>
      </w:hyperlink>
      <w:r>
        <w:rPr>
          <w:rFonts w:ascii="arial" w:eastAsia="arial" w:hAnsi="arial" w:cs="arial"/>
          <w:b w:val="0"/>
          <w:i w:val="0"/>
          <w:strike w:val="0"/>
          <w:noProof w:val="0"/>
          <w:color w:val="000000"/>
          <w:position w:val="0"/>
          <w:sz w:val="20"/>
          <w:u w:val="none"/>
          <w:vertAlign w:val="baseline"/>
        </w:rPr>
        <w:t xml:space="preserve">; </w:t>
      </w:r>
      <w:bookmarkStart w:id="171" w:name="Bookmark_I69B1W242N1RMH0040000400"/>
      <w:bookmarkEnd w:id="171"/>
      <w:hyperlink r:id="rId53" w:history="1">
        <w:r>
          <w:rPr>
            <w:rFonts w:ascii="arial" w:eastAsia="arial" w:hAnsi="arial" w:cs="arial"/>
            <w:b w:val="0"/>
            <w:i/>
            <w:strike w:val="0"/>
            <w:noProof w:val="0"/>
            <w:color w:val="0077CC"/>
            <w:position w:val="0"/>
            <w:sz w:val="20"/>
            <w:u w:val="single"/>
            <w:vertAlign w:val="baseline"/>
          </w:rPr>
          <w:t>United States v. Corona</w:t>
        </w:r>
      </w:hyperlink>
      <w:hyperlink r:id="rId53" w:history="1">
        <w:r>
          <w:rPr>
            <w:rFonts w:ascii="arial" w:eastAsia="arial" w:hAnsi="arial" w:cs="arial"/>
            <w:b w:val="0"/>
            <w:i/>
            <w:strike w:val="0"/>
            <w:noProof w:val="0"/>
            <w:color w:val="0077CC"/>
            <w:position w:val="0"/>
            <w:sz w:val="20"/>
            <w:u w:val="single"/>
            <w:vertAlign w:val="baseline"/>
          </w:rPr>
          <w:t>, 34 F.3d 876, 879 (9th Cir. 1997)</w:t>
        </w:r>
      </w:hyperlink>
      <w:r>
        <w:rPr>
          <w:rFonts w:ascii="arial" w:eastAsia="arial" w:hAnsi="arial" w:cs="arial"/>
          <w:b w:val="0"/>
          <w:i w:val="0"/>
          <w:strike w:val="0"/>
          <w:noProof w:val="0"/>
          <w:color w:val="000000"/>
          <w:position w:val="0"/>
          <w:sz w:val="20"/>
          <w:u w:val="none"/>
          <w:vertAlign w:val="baseline"/>
        </w:rPr>
        <w:t xml:space="preserve">, this court declines to follow the </w:t>
      </w:r>
      <w:bookmarkStart w:id="172" w:name="Bookmark_I69B1W252D6NV90010000400"/>
      <w:bookmarkEnd w:id="172"/>
      <w:hyperlink r:id="rId48" w:history="1">
        <w:r>
          <w:rPr>
            <w:rFonts w:ascii="arial" w:eastAsia="arial" w:hAnsi="arial" w:cs="arial"/>
            <w:b w:val="0"/>
            <w:i/>
            <w:strike w:val="0"/>
            <w:noProof w:val="0"/>
            <w:color w:val="0077CC"/>
            <w:position w:val="0"/>
            <w:sz w:val="20"/>
            <w:u w:val="single"/>
            <w:vertAlign w:val="baseline"/>
          </w:rPr>
          <w:t>Robles</w:t>
        </w:r>
      </w:hyperlink>
      <w:r>
        <w:rPr>
          <w:rFonts w:ascii="arial" w:eastAsia="arial" w:hAnsi="arial" w:cs="arial"/>
          <w:b w:val="0"/>
          <w:i w:val="0"/>
          <w:strike w:val="0"/>
          <w:noProof w:val="0"/>
          <w:color w:val="000000"/>
          <w:position w:val="0"/>
          <w:sz w:val="20"/>
          <w:u w:val="none"/>
          <w:vertAlign w:val="baseline"/>
        </w:rPr>
        <w:t xml:space="preserve"> court or the government's invitation to conflate operating a business with conspiracy for venue purposes. Instead, the court will again reiterate its commitment to hew to the plain text of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and will therefore decline to find venue in the District of Utah by virtue of the textual analysis provided above. </w:t>
      </w:r>
      <w:r>
        <w:rPr>
          <w:rFonts w:ascii="arial" w:eastAsia="arial" w:hAnsi="arial" w:cs="arial"/>
          <w:b w:val="0"/>
          <w:i w:val="0"/>
          <w:strike w:val="0"/>
          <w:noProof w:val="0"/>
          <w:color w:val="000000"/>
          <w:position w:val="0"/>
          <w:sz w:val="20"/>
          <w:u w:val="none"/>
          <w:vertAlign w:val="baseline"/>
        </w:rPr>
        <w:t xml:space="preserve">Because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is not a conspiracy charge, this court will not treat it like one for purposes of venue. The government already seeks a conspiracy charge under </w:t>
      </w:r>
      <w:hyperlink r:id="rId13" w:history="1">
        <w:r>
          <w:rPr>
            <w:rFonts w:ascii="arial" w:eastAsia="arial" w:hAnsi="arial" w:cs="arial"/>
            <w:b w:val="0"/>
            <w:i/>
            <w:strike w:val="0"/>
            <w:noProof w:val="0"/>
            <w:color w:val="0077CC"/>
            <w:position w:val="0"/>
            <w:sz w:val="20"/>
            <w:u w:val="single"/>
            <w:vertAlign w:val="baseline"/>
          </w:rPr>
          <w:t>§ 1956</w:t>
        </w:r>
      </w:hyperlink>
      <w:r>
        <w:rPr>
          <w:rFonts w:ascii="arial" w:eastAsia="arial" w:hAnsi="arial" w:cs="arial"/>
          <w:b w:val="0"/>
          <w:i w:val="0"/>
          <w:strike w:val="0"/>
          <w:noProof w:val="0"/>
          <w:color w:val="000000"/>
          <w:position w:val="0"/>
          <w:sz w:val="20"/>
          <w:u w:val="none"/>
          <w:vertAlign w:val="baseline"/>
        </w:rPr>
        <w:t>, and Defendant does not move for dismissal of such count on venue grounds.</w:t>
      </w:r>
    </w:p>
    <w:p>
      <w:pPr>
        <w:keepNext w:val="0"/>
        <w:spacing w:before="200" w:after="0" w:line="260" w:lineRule="atLeast"/>
        <w:ind w:left="0" w:right="0" w:firstLine="0"/>
        <w:jc w:val="both"/>
      </w:pPr>
      <w:bookmarkStart w:id="173" w:name="Bookmark_para_29"/>
      <w:bookmarkEnd w:id="173"/>
      <w:hyperlink r:id="rId13" w:history="1">
        <w:r>
          <w:rPr>
            <w:rFonts w:ascii="arial" w:eastAsia="arial" w:hAnsi="arial" w:cs="arial"/>
            <w:b w:val="0"/>
            <w:i/>
            <w:strike w:val="0"/>
            <w:color w:val="0077CC"/>
            <w:sz w:val="20"/>
            <w:u w:val="single"/>
            <w:vertAlign w:val="baseline"/>
          </w:rPr>
          <w:t>Section 1956</w:t>
        </w:r>
      </w:hyperlink>
      <w:r>
        <w:rPr>
          <w:rFonts w:ascii="arial" w:eastAsia="arial" w:hAnsi="arial" w:cs="arial"/>
          <w:b w:val="0"/>
          <w:i w:val="0"/>
          <w:strike w:val="0"/>
          <w:noProof w:val="0"/>
          <w:color w:val="000000"/>
          <w:position w:val="0"/>
          <w:sz w:val="20"/>
          <w:u w:val="none"/>
          <w:vertAlign w:val="baseline"/>
        </w:rPr>
        <w:t xml:space="preserve">, however, is notable in its own right in considering venue as to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for another reason altogether. That reason, ultimately, is that, in the same 2001 Act by which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as we know it came into being, 115 Stat. 272, Congress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amended the adjacent </w:t>
      </w:r>
      <w:hyperlink r:id="rId13" w:history="1">
        <w:r>
          <w:rPr>
            <w:rFonts w:ascii="arial" w:eastAsia="arial" w:hAnsi="arial" w:cs="arial"/>
            <w:b w:val="0"/>
            <w:i/>
            <w:strike w:val="0"/>
            <w:noProof w:val="0"/>
            <w:color w:val="0077CC"/>
            <w:position w:val="0"/>
            <w:sz w:val="20"/>
            <w:u w:val="single"/>
            <w:vertAlign w:val="baseline"/>
          </w:rPr>
          <w:t>§ 1956</w:t>
        </w:r>
      </w:hyperlink>
      <w:r>
        <w:rPr>
          <w:rFonts w:ascii="arial" w:eastAsia="arial" w:hAnsi="arial" w:cs="arial"/>
          <w:b w:val="0"/>
          <w:i w:val="0"/>
          <w:strike w:val="0"/>
          <w:noProof w:val="0"/>
          <w:color w:val="000000"/>
          <w:position w:val="0"/>
          <w:sz w:val="20"/>
          <w:u w:val="none"/>
          <w:vertAlign w:val="baseline"/>
        </w:rPr>
        <w:t xml:space="preserve"> money-laundering statute to include special venue provisions. In particular, Congress provided that venue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would lie in money laundering cases </w:t>
      </w:r>
      <w:r>
        <w:rPr>
          <w:rFonts w:ascii="arial" w:eastAsia="arial" w:hAnsi="arial" w:cs="arial"/>
          <w:b w:val="0"/>
          <w:i/>
          <w:strike w:val="0"/>
          <w:noProof w:val="0"/>
          <w:color w:val="000000"/>
          <w:position w:val="0"/>
          <w:sz w:val="20"/>
          <w:u w:val="none"/>
          <w:vertAlign w:val="baseline"/>
        </w:rPr>
        <w:t>not only</w:t>
      </w:r>
      <w:r>
        <w:rPr>
          <w:rFonts w:ascii="arial" w:eastAsia="arial" w:hAnsi="arial" w:cs="arial"/>
          <w:b w:val="0"/>
          <w:i w:val="0"/>
          <w:strike w:val="0"/>
          <w:noProof w:val="0"/>
          <w:color w:val="000000"/>
          <w:position w:val="0"/>
          <w:sz w:val="20"/>
          <w:u w:val="none"/>
          <w:vertAlign w:val="baseline"/>
        </w:rPr>
        <w:t xml:space="preserve"> in "any district in which the financial or monetary transaction is conducted" </w:t>
      </w:r>
      <w:r>
        <w:rPr>
          <w:rFonts w:ascii="arial" w:eastAsia="arial" w:hAnsi="arial" w:cs="arial"/>
          <w:b w:val="0"/>
          <w:i/>
          <w:strike w:val="0"/>
          <w:noProof w:val="0"/>
          <w:color w:val="000000"/>
          <w:position w:val="0"/>
          <w:sz w:val="20"/>
          <w:u w:val="none"/>
          <w:vertAlign w:val="baseline"/>
        </w:rPr>
        <w:t>but also</w:t>
      </w:r>
      <w:r>
        <w:rPr>
          <w:rFonts w:ascii="arial" w:eastAsia="arial" w:hAnsi="arial" w:cs="arial"/>
          <w:b w:val="0"/>
          <w:i w:val="0"/>
          <w:strike w:val="0"/>
          <w:noProof w:val="0"/>
          <w:color w:val="000000"/>
          <w:position w:val="0"/>
          <w:sz w:val="20"/>
          <w:u w:val="none"/>
          <w:vertAlign w:val="baseline"/>
        </w:rPr>
        <w:t xml:space="preserve"> "any district where a prosecution for the underlying specified unlawful activity could be brought, if the defendant participated in the transfer of the proceeds of the specified unlawful activity from that district to the district where the financial or monetary transaction is conducted." 115 Stat. at 392.</w:t>
      </w:r>
    </w:p>
    <w:p>
      <w:pPr>
        <w:keepNext w:val="0"/>
        <w:spacing w:before="240" w:after="0" w:line="260" w:lineRule="atLeast"/>
        <w:ind w:left="0" w:right="0" w:firstLine="0"/>
        <w:jc w:val="both"/>
      </w:pPr>
      <w:bookmarkStart w:id="174" w:name="Bookmark_para_30"/>
      <w:bookmarkEnd w:id="174"/>
      <w:bookmarkStart w:id="175" w:name="Bookmark_I69B1W252D6NV90040000400"/>
      <w:bookmarkEnd w:id="175"/>
      <w:r>
        <w:rPr>
          <w:rFonts w:ascii="arial" w:eastAsia="arial" w:hAnsi="arial" w:cs="arial"/>
          <w:b w:val="0"/>
          <w:i w:val="0"/>
          <w:strike w:val="0"/>
          <w:noProof w:val="0"/>
          <w:color w:val="000000"/>
          <w:position w:val="0"/>
          <w:sz w:val="20"/>
          <w:u w:val="none"/>
          <w:vertAlign w:val="baseline"/>
        </w:rPr>
        <w:t xml:space="preserve">Thus, Congress made clear that it knows perfectly well how to broaden venue to include not only where </w:t>
      </w:r>
      <w:r>
        <w:rPr>
          <w:rFonts w:ascii="arial" w:eastAsia="arial" w:hAnsi="arial" w:cs="arial"/>
          <w:b w:val="0"/>
          <w:i/>
          <w:strike w:val="0"/>
          <w:noProof w:val="0"/>
          <w:color w:val="000000"/>
          <w:position w:val="0"/>
          <w:sz w:val="20"/>
          <w:u w:val="none"/>
          <w:vertAlign w:val="baseline"/>
        </w:rPr>
        <w:t>conduct</w:t>
      </w:r>
      <w:r>
        <w:rPr>
          <w:rFonts w:ascii="arial" w:eastAsia="arial" w:hAnsi="arial" w:cs="arial"/>
          <w:b w:val="0"/>
          <w:i w:val="0"/>
          <w:strike w:val="0"/>
          <w:noProof w:val="0"/>
          <w:color w:val="000000"/>
          <w:position w:val="0"/>
          <w:sz w:val="20"/>
          <w:u w:val="none"/>
          <w:vertAlign w:val="baseline"/>
        </w:rPr>
        <w:t xml:space="preserve"> occurs, but also where the objects or effects of such conduct are or may be felt. Further, to argue that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could be read so expansively </w:t>
      </w:r>
      <w:r>
        <w:rPr>
          <w:rFonts w:ascii="arial" w:eastAsia="arial" w:hAnsi="arial" w:cs="arial"/>
          <w:b w:val="0"/>
          <w:i/>
          <w:strike w:val="0"/>
          <w:noProof w:val="0"/>
          <w:color w:val="000000"/>
          <w:position w:val="0"/>
          <w:sz w:val="20"/>
          <w:u w:val="none"/>
          <w:vertAlign w:val="baseline"/>
        </w:rPr>
        <w:t>without</w:t>
      </w:r>
      <w:r>
        <w:rPr>
          <w:rFonts w:ascii="arial" w:eastAsia="arial" w:hAnsi="arial" w:cs="arial"/>
          <w:b w:val="0"/>
          <w:i w:val="0"/>
          <w:strike w:val="0"/>
          <w:noProof w:val="0"/>
          <w:color w:val="000000"/>
          <w:position w:val="0"/>
          <w:sz w:val="20"/>
          <w:u w:val="none"/>
          <w:vertAlign w:val="baseline"/>
        </w:rPr>
        <w:t xml:space="preserve"> language or amendment such as this would be to contravene the maxim that "[w]hen Congress acts to amend a statute, we presume it intends its amendment to have real and substantial effect." </w:t>
      </w:r>
      <w:r>
        <w:rPr>
          <w:rFonts w:ascii="arial" w:eastAsia="arial" w:hAnsi="arial" w:cs="arial"/>
          <w:b w:val="0"/>
          <w:i/>
          <w:strike w:val="0"/>
          <w:noProof w:val="0"/>
          <w:color w:val="000000"/>
          <w:position w:val="0"/>
          <w:sz w:val="20"/>
          <w:u w:val="none"/>
          <w:vertAlign w:val="baseline"/>
        </w:rPr>
        <w:t xml:space="preserve">See </w:t>
      </w:r>
      <w:bookmarkStart w:id="176" w:name="Bookmark_I69B1W252D6NV90030000400"/>
      <w:bookmarkEnd w:id="176"/>
      <w:hyperlink r:id="rId54" w:history="1">
        <w:r>
          <w:rPr>
            <w:rFonts w:ascii="arial" w:eastAsia="arial" w:hAnsi="arial" w:cs="arial"/>
            <w:b w:val="0"/>
            <w:i/>
            <w:strike w:val="0"/>
            <w:noProof w:val="0"/>
            <w:color w:val="0077CC"/>
            <w:position w:val="0"/>
            <w:sz w:val="20"/>
            <w:u w:val="single"/>
            <w:vertAlign w:val="baseline"/>
          </w:rPr>
          <w:t>U.S. v. Quality Stores, Inc.</w:t>
        </w:r>
      </w:hyperlink>
      <w:hyperlink r:id="rId54" w:history="1">
        <w:r>
          <w:rPr>
            <w:rFonts w:ascii="arial" w:eastAsia="arial" w:hAnsi="arial" w:cs="arial"/>
            <w:b w:val="0"/>
            <w:i/>
            <w:strike w:val="0"/>
            <w:noProof w:val="0"/>
            <w:color w:val="0077CC"/>
            <w:position w:val="0"/>
            <w:sz w:val="20"/>
            <w:u w:val="single"/>
            <w:vertAlign w:val="baseline"/>
          </w:rPr>
          <w:t>, 572 U.S. 141, 134 S.Ct. 1395, 188 L. Ed. 2d 413 (2014)</w:t>
        </w:r>
      </w:hyperlink>
      <w:r>
        <w:rPr>
          <w:rFonts w:ascii="arial" w:eastAsia="arial" w:hAnsi="arial" w:cs="arial"/>
          <w:b w:val="0"/>
          <w:i w:val="0"/>
          <w:strike w:val="0"/>
          <w:noProof w:val="0"/>
          <w:color w:val="000000"/>
          <w:position w:val="0"/>
          <w:sz w:val="20"/>
          <w:u w:val="none"/>
          <w:vertAlign w:val="baseline"/>
        </w:rPr>
        <w:t xml:space="preserve">; </w:t>
      </w:r>
      <w:bookmarkStart w:id="177" w:name="Bookmark_I69B1W252D6NV90050000400"/>
      <w:bookmarkEnd w:id="177"/>
      <w:hyperlink r:id="rId55" w:history="1">
        <w:r>
          <w:rPr>
            <w:rFonts w:ascii="arial" w:eastAsia="arial" w:hAnsi="arial" w:cs="arial"/>
            <w:b w:val="0"/>
            <w:i/>
            <w:strike w:val="0"/>
            <w:noProof w:val="0"/>
            <w:color w:val="0077CC"/>
            <w:position w:val="0"/>
            <w:sz w:val="20"/>
            <w:u w:val="single"/>
            <w:vertAlign w:val="baseline"/>
          </w:rPr>
          <w:t>Pierce County, Wash. v. Guillen</w:t>
        </w:r>
      </w:hyperlink>
      <w:hyperlink r:id="rId55" w:history="1">
        <w:r>
          <w:rPr>
            <w:rFonts w:ascii="arial" w:eastAsia="arial" w:hAnsi="arial" w:cs="arial"/>
            <w:b w:val="0"/>
            <w:i/>
            <w:strike w:val="0"/>
            <w:noProof w:val="0"/>
            <w:color w:val="0077CC"/>
            <w:position w:val="0"/>
            <w:sz w:val="20"/>
            <w:u w:val="single"/>
            <w:vertAlign w:val="baseline"/>
          </w:rPr>
          <w:t>, 537 U.S. 129, 145, 123 S. Ct. 720, 154 L. Ed. 2d 610 (2003)</w:t>
        </w:r>
      </w:hyperlink>
      <w:r>
        <w:rPr>
          <w:rFonts w:ascii="arial" w:eastAsia="arial" w:hAnsi="arial" w:cs="arial"/>
          <w:b w:val="0"/>
          <w:i w:val="0"/>
          <w:strike w:val="0"/>
          <w:noProof w:val="0"/>
          <w:color w:val="000000"/>
          <w:position w:val="0"/>
          <w:sz w:val="20"/>
          <w:u w:val="none"/>
          <w:vertAlign w:val="baseline"/>
        </w:rPr>
        <w:t xml:space="preserve">. If such an amendment weren't necessary to broaden venue (given baseline venue rules as the government suggests), Congress wouldn't have enacted it. However, Congress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enact such venue-broadening provisions in the context of </w:t>
      </w:r>
      <w:hyperlink r:id="rId13" w:history="1">
        <w:r>
          <w:rPr>
            <w:rFonts w:ascii="arial" w:eastAsia="arial" w:hAnsi="arial" w:cs="arial"/>
            <w:b w:val="0"/>
            <w:i/>
            <w:strike w:val="0"/>
            <w:noProof w:val="0"/>
            <w:color w:val="0077CC"/>
            <w:position w:val="0"/>
            <w:sz w:val="20"/>
            <w:u w:val="single"/>
            <w:vertAlign w:val="baseline"/>
          </w:rPr>
          <w:t>§ 1956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but not</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and this court declines to either read the amended language in </w:t>
      </w:r>
      <w:hyperlink r:id="rId13" w:history="1">
        <w:r>
          <w:rPr>
            <w:rFonts w:ascii="arial" w:eastAsia="arial" w:hAnsi="arial" w:cs="arial"/>
            <w:b w:val="0"/>
            <w:i/>
            <w:strike w:val="0"/>
            <w:noProof w:val="0"/>
            <w:color w:val="0077CC"/>
            <w:position w:val="0"/>
            <w:sz w:val="20"/>
            <w:u w:val="single"/>
            <w:vertAlign w:val="baseline"/>
          </w:rPr>
          <w:t>§ 1956</w:t>
        </w:r>
      </w:hyperlink>
      <w:r>
        <w:rPr>
          <w:rFonts w:ascii="arial" w:eastAsia="arial" w:hAnsi="arial" w:cs="arial"/>
          <w:b w:val="0"/>
          <w:i w:val="0"/>
          <w:strike w:val="0"/>
          <w:noProof w:val="0"/>
          <w:color w:val="000000"/>
          <w:position w:val="0"/>
          <w:sz w:val="20"/>
          <w:u w:val="none"/>
          <w:vertAlign w:val="baseline"/>
        </w:rPr>
        <w:t xml:space="preserve"> as surplusage, or, on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other hand, import such language into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(created by the very same legislative instrument), where Congress decided not to.</w:t>
      </w:r>
    </w:p>
    <w:p>
      <w:pPr>
        <w:keepNext w:val="0"/>
        <w:spacing w:before="240" w:after="0" w:line="260" w:lineRule="atLeast"/>
        <w:ind w:left="0" w:right="0" w:firstLine="0"/>
        <w:jc w:val="both"/>
      </w:pPr>
      <w:bookmarkStart w:id="178" w:name="Bookmark_para_31"/>
      <w:bookmarkEnd w:id="178"/>
      <w:bookmarkStart w:id="179" w:name="Bookmark_I69B1W252D6NVB0030000400"/>
      <w:bookmarkEnd w:id="179"/>
      <w:r>
        <w:rPr>
          <w:rFonts w:ascii="arial" w:eastAsia="arial" w:hAnsi="arial" w:cs="arial"/>
          <w:b w:val="0"/>
          <w:i w:val="0"/>
          <w:strike w:val="0"/>
          <w:noProof w:val="0"/>
          <w:color w:val="000000"/>
          <w:position w:val="0"/>
          <w:sz w:val="20"/>
          <w:u w:val="none"/>
          <w:vertAlign w:val="baseline"/>
        </w:rPr>
        <w:t xml:space="preserve">It truly strains logic that Congress, in the same breath that it created broad venue rules for one offense, would not think to speak clearly as to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at its effective conception if it wanted venue to lie anywhere but the narrowly construed and traditional </w:t>
      </w:r>
      <w:r>
        <w:rPr>
          <w:rFonts w:ascii="arial" w:eastAsia="arial" w:hAnsi="arial" w:cs="arial"/>
          <w:b w:val="0"/>
          <w:i/>
          <w:strike w:val="0"/>
          <w:noProof w:val="0"/>
          <w:color w:val="000000"/>
          <w:position w:val="0"/>
          <w:sz w:val="20"/>
          <w:u w:val="none"/>
          <w:vertAlign w:val="baseline"/>
        </w:rPr>
        <w:t>locus delicti</w:t>
      </w:r>
      <w:r>
        <w:rPr>
          <w:rFonts w:ascii="arial" w:eastAsia="arial" w:hAnsi="arial" w:cs="arial"/>
          <w:b w:val="0"/>
          <w:i w:val="0"/>
          <w:strike w:val="0"/>
          <w:noProof w:val="0"/>
          <w:color w:val="000000"/>
          <w:position w:val="0"/>
          <w:sz w:val="20"/>
          <w:u w:val="none"/>
          <w:vertAlign w:val="baseline"/>
        </w:rPr>
        <w:t xml:space="preserve">. To read venue expansively in one statute, when Congress has shown clearly that it knows how to craft such venue rules under such provisions as it sees fit (even in an adjacent statutory provision and through the same Act), would be to "take a chainsaw to these nuanced problems" when Congress has demonstrated that it "meant to use a scalpel." </w:t>
      </w:r>
      <w:bookmarkStart w:id="180" w:name="Bookmark_I69B1W252D6NVB0020000400"/>
      <w:bookmarkEnd w:id="180"/>
      <w:hyperlink r:id="rId56" w:history="1">
        <w:r>
          <w:rPr>
            <w:rFonts w:ascii="arial" w:eastAsia="arial" w:hAnsi="arial" w:cs="arial"/>
            <w:b w:val="0"/>
            <w:i/>
            <w:strike w:val="0"/>
            <w:noProof w:val="0"/>
            <w:color w:val="0077CC"/>
            <w:position w:val="0"/>
            <w:sz w:val="20"/>
            <w:u w:val="single"/>
            <w:vertAlign w:val="baseline"/>
          </w:rPr>
          <w:t>Facebook, Inc. v. Duguid</w:t>
        </w:r>
      </w:hyperlink>
      <w:hyperlink r:id="rId56" w:history="1">
        <w:r>
          <w:rPr>
            <w:rFonts w:ascii="arial" w:eastAsia="arial" w:hAnsi="arial" w:cs="arial"/>
            <w:b w:val="0"/>
            <w:i/>
            <w:strike w:val="0"/>
            <w:noProof w:val="0"/>
            <w:color w:val="0077CC"/>
            <w:position w:val="0"/>
            <w:sz w:val="20"/>
            <w:u w:val="single"/>
            <w:vertAlign w:val="baseline"/>
          </w:rPr>
          <w:t>, 141 S. Ct. 1163, 1171, 209 L. Ed. 2d 272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17" w:history="1">
        <w:r>
          <w:rPr>
            <w:rFonts w:ascii="arial" w:eastAsia="arial" w:hAnsi="arial" w:cs="arial"/>
            <w:b/>
            <w:i/>
            <w:strike w:val="0"/>
            <w:noProof w:val="0"/>
            <w:color w:val="0077CC"/>
            <w:position w:val="0"/>
            <w:sz w:val="20"/>
            <w:u w:val="single"/>
            <w:vertAlign w:val="baseline"/>
          </w:rPr>
          <w:t>18 U.S.C. § 2</w:t>
        </w:r>
      </w:hyperlink>
    </w:p>
    <w:p>
      <w:pPr>
        <w:keepNext w:val="0"/>
        <w:spacing w:before="240" w:after="0" w:line="260" w:lineRule="atLeast"/>
        <w:ind w:left="0" w:right="0" w:firstLine="0"/>
        <w:jc w:val="both"/>
      </w:pPr>
      <w:bookmarkStart w:id="181" w:name="Bookmark_para_32"/>
      <w:bookmarkEnd w:id="181"/>
      <w:bookmarkStart w:id="182" w:name="Bookmark_I69B1W252D6NVB0050000400"/>
      <w:bookmarkEnd w:id="182"/>
      <w:r>
        <w:rPr>
          <w:rFonts w:ascii="arial" w:eastAsia="arial" w:hAnsi="arial" w:cs="arial"/>
          <w:b w:val="0"/>
          <w:i w:val="0"/>
          <w:strike w:val="0"/>
          <w:noProof w:val="0"/>
          <w:color w:val="000000"/>
          <w:position w:val="0"/>
          <w:sz w:val="20"/>
          <w:u w:val="none"/>
          <w:vertAlign w:val="baseline"/>
        </w:rPr>
        <w:t xml:space="preserve">Finally, the government argues that venue should lie in the District of Utah because the "Defendant aided and abetted others conducting an unlicensed money transmitting business in the District of Utah and elsewhere." ECF No. 106 at 15. The government then cites </w:t>
      </w:r>
      <w:bookmarkStart w:id="183" w:name="Bookmark_I69B1W252D6NVB0040000400"/>
      <w:bookmarkEnd w:id="183"/>
      <w:hyperlink r:id="rId57" w:history="1">
        <w:r>
          <w:rPr>
            <w:rFonts w:ascii="arial" w:eastAsia="arial" w:hAnsi="arial" w:cs="arial"/>
            <w:b w:val="0"/>
            <w:i/>
            <w:strike w:val="0"/>
            <w:noProof w:val="0"/>
            <w:color w:val="0077CC"/>
            <w:position w:val="0"/>
            <w:sz w:val="20"/>
            <w:u w:val="single"/>
            <w:vertAlign w:val="baseline"/>
          </w:rPr>
          <w:t>United States v. Coppola</w:t>
        </w:r>
      </w:hyperlink>
      <w:hyperlink r:id="rId57" w:history="1">
        <w:r>
          <w:rPr>
            <w:rFonts w:ascii="arial" w:eastAsia="arial" w:hAnsi="arial" w:cs="arial"/>
            <w:b w:val="0"/>
            <w:i/>
            <w:strike w:val="0"/>
            <w:noProof w:val="0"/>
            <w:color w:val="0077CC"/>
            <w:position w:val="0"/>
            <w:sz w:val="20"/>
            <w:u w:val="single"/>
            <w:vertAlign w:val="baseline"/>
          </w:rPr>
          <w:t>, 486 F.2d 882, 886 (10th Cir. 1973)</w:t>
        </w:r>
      </w:hyperlink>
      <w:r>
        <w:rPr>
          <w:rFonts w:ascii="arial" w:eastAsia="arial" w:hAnsi="arial" w:cs="arial"/>
          <w:b w:val="0"/>
          <w:i w:val="0"/>
          <w:strike w:val="0"/>
          <w:noProof w:val="0"/>
          <w:color w:val="000000"/>
          <w:position w:val="0"/>
          <w:sz w:val="20"/>
          <w:u w:val="none"/>
          <w:vertAlign w:val="baseline"/>
        </w:rPr>
        <w:t>, for the proposition that "an alleged aider and abettor is subject to venue where the substantive offense was committed." ECF No. 106 at 15.</w:t>
      </w:r>
    </w:p>
    <w:p>
      <w:pPr>
        <w:keepNext w:val="0"/>
        <w:spacing w:before="240" w:after="0" w:line="260" w:lineRule="atLeast"/>
        <w:ind w:left="0" w:right="0" w:firstLine="0"/>
        <w:jc w:val="both"/>
      </w:pPr>
      <w:bookmarkStart w:id="184" w:name="Bookmark_para_33"/>
      <w:bookmarkEnd w:id="184"/>
      <w:bookmarkStart w:id="185" w:name="Bookmark_I69B1W262N1RMV0020000400"/>
      <w:bookmarkEnd w:id="185"/>
      <w:bookmarkStart w:id="186" w:name="Bookmark_I69B1W262HM6J10030000400"/>
      <w:bookmarkEnd w:id="186"/>
      <w:bookmarkStart w:id="187" w:name="Bookmark_I69B1W262N1RMV0010000400"/>
      <w:bookmarkEnd w:id="187"/>
      <w:hyperlink r:id="rId57" w:history="1">
        <w:r>
          <w:rPr>
            <w:rFonts w:ascii="arial" w:eastAsia="arial" w:hAnsi="arial" w:cs="arial"/>
            <w:b w:val="0"/>
            <w:i/>
            <w:strike w:val="0"/>
            <w:color w:val="0077CC"/>
            <w:sz w:val="20"/>
            <w:u w:val="single"/>
            <w:vertAlign w:val="baseline"/>
          </w:rPr>
          <w:t>Coppola</w:t>
        </w:r>
      </w:hyperlink>
      <w:r>
        <w:rPr>
          <w:rFonts w:ascii="arial" w:eastAsia="arial" w:hAnsi="arial" w:cs="arial"/>
          <w:b w:val="0"/>
          <w:i w:val="0"/>
          <w:strike w:val="0"/>
          <w:noProof w:val="0"/>
          <w:color w:val="000000"/>
          <w:position w:val="0"/>
          <w:sz w:val="20"/>
          <w:u w:val="none"/>
          <w:vertAlign w:val="baseline"/>
        </w:rPr>
        <w:t>, in turn, cites two cases—</w:t>
      </w:r>
      <w:bookmarkStart w:id="188" w:name="Bookmark_I69B1W262N1RMV0030000400"/>
      <w:bookmarkEnd w:id="188"/>
      <w:hyperlink r:id="rId58" w:history="1">
        <w:r>
          <w:rPr>
            <w:rFonts w:ascii="arial" w:eastAsia="arial" w:hAnsi="arial" w:cs="arial"/>
            <w:b w:val="0"/>
            <w:i/>
            <w:strike w:val="0"/>
            <w:noProof w:val="0"/>
            <w:color w:val="0077CC"/>
            <w:position w:val="0"/>
            <w:sz w:val="20"/>
            <w:u w:val="single"/>
            <w:vertAlign w:val="baseline"/>
          </w:rPr>
          <w:t>United States v. Jackson</w:t>
        </w:r>
      </w:hyperlink>
      <w:hyperlink r:id="rId58" w:history="1">
        <w:r>
          <w:rPr>
            <w:rFonts w:ascii="arial" w:eastAsia="arial" w:hAnsi="arial" w:cs="arial"/>
            <w:b w:val="0"/>
            <w:i/>
            <w:strike w:val="0"/>
            <w:noProof w:val="0"/>
            <w:color w:val="0077CC"/>
            <w:position w:val="0"/>
            <w:sz w:val="20"/>
            <w:u w:val="single"/>
            <w:vertAlign w:val="baseline"/>
          </w:rPr>
          <w:t>, 482 F.2d 1167 (10th Cir. 1973)</w:t>
        </w:r>
      </w:hyperlink>
      <w:r>
        <w:rPr>
          <w:rFonts w:ascii="arial" w:eastAsia="arial" w:hAnsi="arial" w:cs="arial"/>
          <w:b w:val="0"/>
          <w:i w:val="0"/>
          <w:strike w:val="0"/>
          <w:noProof w:val="0"/>
          <w:color w:val="000000"/>
          <w:position w:val="0"/>
          <w:sz w:val="20"/>
          <w:u w:val="none"/>
          <w:vertAlign w:val="baseline"/>
        </w:rPr>
        <w:t xml:space="preserve"> and </w:t>
      </w:r>
      <w:bookmarkStart w:id="189" w:name="Bookmark_I69B1W262N1RMV0050000400"/>
      <w:bookmarkEnd w:id="189"/>
      <w:hyperlink r:id="rId59" w:history="1">
        <w:r>
          <w:rPr>
            <w:rFonts w:ascii="arial" w:eastAsia="arial" w:hAnsi="arial" w:cs="arial"/>
            <w:b w:val="0"/>
            <w:i/>
            <w:strike w:val="0"/>
            <w:noProof w:val="0"/>
            <w:color w:val="0077CC"/>
            <w:position w:val="0"/>
            <w:sz w:val="20"/>
            <w:u w:val="single"/>
            <w:vertAlign w:val="baseline"/>
          </w:rPr>
          <w:t>United States v. Kilpatrick</w:t>
        </w:r>
      </w:hyperlink>
      <w:hyperlink r:id="rId59" w:history="1">
        <w:r>
          <w:rPr>
            <w:rFonts w:ascii="arial" w:eastAsia="arial" w:hAnsi="arial" w:cs="arial"/>
            <w:b w:val="0"/>
            <w:i/>
            <w:strike w:val="0"/>
            <w:noProof w:val="0"/>
            <w:color w:val="0077CC"/>
            <w:position w:val="0"/>
            <w:sz w:val="20"/>
            <w:u w:val="single"/>
            <w:vertAlign w:val="baseline"/>
          </w:rPr>
          <w:t>, 458 F.2d 864 (7th Cir. 1972)</w:t>
        </w:r>
      </w:hyperlink>
      <w:r>
        <w:rPr>
          <w:rFonts w:ascii="arial" w:eastAsia="arial" w:hAnsi="arial" w:cs="arial"/>
          <w:b w:val="0"/>
          <w:i w:val="0"/>
          <w:strike w:val="0"/>
          <w:noProof w:val="0"/>
          <w:color w:val="000000"/>
          <w:position w:val="0"/>
          <w:sz w:val="20"/>
          <w:u w:val="none"/>
          <w:vertAlign w:val="baseline"/>
        </w:rPr>
        <w:t xml:space="preserve">. </w:t>
      </w:r>
      <w:bookmarkStart w:id="190" w:name="Bookmark_I69B1W262HM6J10050000400"/>
      <w:bookmarkEnd w:id="190"/>
      <w:bookmarkStart w:id="191" w:name="Bookmark_I69B1W262HM6J10030000400_2"/>
      <w:bookmarkEnd w:id="191"/>
      <w:bookmarkStart w:id="192" w:name="Bookmark_I69B1W262N1RMV0020000400_2"/>
      <w:bookmarkEnd w:id="192"/>
      <w:bookmarkStart w:id="193" w:name="Bookmark_I69B1W262HM6J10020000400"/>
      <w:bookmarkEnd w:id="193"/>
      <w:hyperlink r:id="rId58" w:history="1">
        <w:r>
          <w:rPr>
            <w:rFonts w:ascii="arial" w:eastAsia="arial" w:hAnsi="arial" w:cs="arial"/>
            <w:b w:val="0"/>
            <w:i/>
            <w:strike w:val="0"/>
            <w:noProof w:val="0"/>
            <w:color w:val="0077CC"/>
            <w:position w:val="0"/>
            <w:sz w:val="20"/>
            <w:u w:val="single"/>
            <w:vertAlign w:val="baseline"/>
          </w:rPr>
          <w:t>Jackson</w:t>
        </w:r>
      </w:hyperlink>
      <w:bookmarkStart w:id="194" w:name="Bookmark_I69B1W262N1RMY0020000400"/>
      <w:bookmarkEnd w:id="194"/>
      <w:r>
        <w:rPr>
          <w:rFonts w:ascii="arial" w:eastAsia="arial" w:hAnsi="arial" w:cs="arial"/>
          <w:b w:val="0"/>
          <w:i w:val="0"/>
          <w:strike w:val="0"/>
          <w:noProof w:val="0"/>
          <w:color w:val="000000"/>
          <w:position w:val="0"/>
          <w:sz w:val="20"/>
          <w:u w:val="none"/>
          <w:vertAlign w:val="baseline"/>
        </w:rPr>
        <w:t xml:space="preserve"> holds that "[i]t necessarily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follows that as the substantive crime was committed in [one district], the crime for aiding and abetting may also be tried in that district. Congress has declared that an aider and abettor may be punished as a principal, and hence he may be punished in the same district as the principal." </w:t>
      </w:r>
      <w:bookmarkStart w:id="195" w:name="Bookmark_I69B1W262HM6J10040000400"/>
      <w:bookmarkEnd w:id="195"/>
      <w:hyperlink r:id="rId58" w:history="1">
        <w:r>
          <w:rPr>
            <w:rFonts w:ascii="arial" w:eastAsia="arial" w:hAnsi="arial" w:cs="arial"/>
            <w:b w:val="0"/>
            <w:i/>
            <w:strike w:val="0"/>
            <w:noProof w:val="0"/>
            <w:color w:val="0077CC"/>
            <w:position w:val="0"/>
            <w:sz w:val="20"/>
            <w:u w:val="single"/>
            <w:vertAlign w:val="baseline"/>
          </w:rPr>
          <w:t>482 F.2d at 1178-79</w:t>
        </w:r>
      </w:hyperlink>
      <w:r>
        <w:rPr>
          <w:rFonts w:ascii="arial" w:eastAsia="arial" w:hAnsi="arial" w:cs="arial"/>
          <w:b w:val="0"/>
          <w:i w:val="0"/>
          <w:strike w:val="0"/>
          <w:noProof w:val="0"/>
          <w:color w:val="000000"/>
          <w:position w:val="0"/>
          <w:sz w:val="20"/>
          <w:u w:val="none"/>
          <w:vertAlign w:val="baseline"/>
        </w:rPr>
        <w:t xml:space="preserve">. </w:t>
      </w:r>
      <w:bookmarkStart w:id="196" w:name="Bookmark_I69B1W2628T50J0030000400"/>
      <w:bookmarkEnd w:id="196"/>
      <w:bookmarkStart w:id="197" w:name="Bookmark_I69B1W262N1RMY0020000400_2"/>
      <w:bookmarkEnd w:id="197"/>
      <w:bookmarkStart w:id="198" w:name="Bookmark_I69B1W262N1RMY0010000400"/>
      <w:bookmarkEnd w:id="198"/>
      <w:hyperlink r:id="rId59" w:history="1">
        <w:r>
          <w:rPr>
            <w:rFonts w:ascii="arial" w:eastAsia="arial" w:hAnsi="arial" w:cs="arial"/>
            <w:b w:val="0"/>
            <w:i/>
            <w:strike w:val="0"/>
            <w:noProof w:val="0"/>
            <w:color w:val="0077CC"/>
            <w:position w:val="0"/>
            <w:sz w:val="20"/>
            <w:u w:val="single"/>
            <w:vertAlign w:val="baseline"/>
          </w:rPr>
          <w:t>Kilpatrick</w:t>
        </w:r>
      </w:hyperlink>
      <w:r>
        <w:rPr>
          <w:rFonts w:ascii="arial" w:eastAsia="arial" w:hAnsi="arial" w:cs="arial"/>
          <w:b w:val="0"/>
          <w:i w:val="0"/>
          <w:strike w:val="0"/>
          <w:noProof w:val="0"/>
          <w:color w:val="000000"/>
          <w:position w:val="0"/>
          <w:sz w:val="20"/>
          <w:u w:val="none"/>
          <w:vertAlign w:val="baseline"/>
        </w:rPr>
        <w:t xml:space="preserve"> holds much the same. </w:t>
      </w:r>
      <w:bookmarkStart w:id="199" w:name="Bookmark_I69B1W262N1RMY0030000400"/>
      <w:bookmarkEnd w:id="199"/>
      <w:hyperlink r:id="rId59" w:history="1">
        <w:r>
          <w:rPr>
            <w:rFonts w:ascii="arial" w:eastAsia="arial" w:hAnsi="arial" w:cs="arial"/>
            <w:b w:val="0"/>
            <w:i/>
            <w:strike w:val="0"/>
            <w:noProof w:val="0"/>
            <w:color w:val="0077CC"/>
            <w:position w:val="0"/>
            <w:sz w:val="20"/>
            <w:u w:val="single"/>
            <w:vertAlign w:val="baseline"/>
          </w:rPr>
          <w:t>458 F.2d at 868</w:t>
        </w:r>
      </w:hyperlink>
      <w:r>
        <w:rPr>
          <w:rFonts w:ascii="arial" w:eastAsia="arial" w:hAnsi="arial" w:cs="arial"/>
          <w:b w:val="0"/>
          <w:i w:val="0"/>
          <w:strike w:val="0"/>
          <w:noProof w:val="0"/>
          <w:color w:val="000000"/>
          <w:position w:val="0"/>
          <w:sz w:val="20"/>
          <w:u w:val="none"/>
          <w:vertAlign w:val="baseline"/>
        </w:rPr>
        <w:t xml:space="preserve"> ("Congress has declared that an aider and abettor may be punished as a principal, and it follows that he may be punished in the same district as the principal."); </w:t>
      </w:r>
      <w:r>
        <w:rPr>
          <w:rFonts w:ascii="arial" w:eastAsia="arial" w:hAnsi="arial" w:cs="arial"/>
          <w:b w:val="0"/>
          <w:i/>
          <w:strike w:val="0"/>
          <w:noProof w:val="0"/>
          <w:color w:val="000000"/>
          <w:position w:val="0"/>
          <w:sz w:val="20"/>
          <w:u w:val="none"/>
          <w:vertAlign w:val="baseline"/>
        </w:rPr>
        <w:t xml:space="preserve">accord </w:t>
      </w:r>
      <w:bookmarkStart w:id="200" w:name="Bookmark_I69B1W262N1RMY0050000400"/>
      <w:bookmarkEnd w:id="200"/>
      <w:hyperlink r:id="rId60" w:history="1">
        <w:r>
          <w:rPr>
            <w:rFonts w:ascii="arial" w:eastAsia="arial" w:hAnsi="arial" w:cs="arial"/>
            <w:b w:val="0"/>
            <w:i/>
            <w:strike w:val="0"/>
            <w:noProof w:val="0"/>
            <w:color w:val="0077CC"/>
            <w:position w:val="0"/>
            <w:sz w:val="20"/>
            <w:u w:val="single"/>
            <w:vertAlign w:val="baseline"/>
          </w:rPr>
          <w:t>United States v. Davis</w:t>
        </w:r>
      </w:hyperlink>
      <w:hyperlink r:id="rId60" w:history="1">
        <w:r>
          <w:rPr>
            <w:rFonts w:ascii="arial" w:eastAsia="arial" w:hAnsi="arial" w:cs="arial"/>
            <w:b w:val="0"/>
            <w:i/>
            <w:strike w:val="0"/>
            <w:noProof w:val="0"/>
            <w:color w:val="0077CC"/>
            <w:position w:val="0"/>
            <w:sz w:val="20"/>
            <w:u w:val="single"/>
            <w:vertAlign w:val="baseline"/>
          </w:rPr>
          <w:t>, 666 F.2d 195, 200 (5th Cir. 1982)</w:t>
        </w:r>
      </w:hyperlink>
      <w:r>
        <w:rPr>
          <w:rFonts w:ascii="arial" w:eastAsia="arial" w:hAnsi="arial" w:cs="arial"/>
          <w:b w:val="0"/>
          <w:i w:val="0"/>
          <w:strike w:val="0"/>
          <w:noProof w:val="0"/>
          <w:color w:val="000000"/>
          <w:position w:val="0"/>
          <w:sz w:val="20"/>
          <w:u w:val="none"/>
          <w:vertAlign w:val="baseline"/>
        </w:rPr>
        <w:t xml:space="preserve"> (finding venue for aiding-and-abetting liability under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in the district where the principal was culpable). It is thus true that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kicks open the door of traditional venue rules and enables prosecution in districts in which the charged Defendant himself did not act. The effect of that provision, and the thrust of cases interpreting it, is undoubtedly to broaden the venue jurisprudence inherited from English law. </w:t>
      </w:r>
      <w:r>
        <w:rPr>
          <w:rFonts w:ascii="arial" w:eastAsia="arial" w:hAnsi="arial" w:cs="arial"/>
          <w:b w:val="0"/>
          <w:i/>
          <w:strike w:val="0"/>
          <w:noProof w:val="0"/>
          <w:color w:val="000000"/>
          <w:position w:val="0"/>
          <w:sz w:val="20"/>
          <w:u w:val="none"/>
          <w:vertAlign w:val="baseline"/>
        </w:rPr>
        <w:t xml:space="preserve">See </w:t>
      </w:r>
      <w:bookmarkStart w:id="201" w:name="Bookmark_I69B1W2628T50J0020000400"/>
      <w:bookmarkEnd w:id="201"/>
      <w:hyperlink r:id="rId61" w:history="1">
        <w:r>
          <w:rPr>
            <w:rFonts w:ascii="arial" w:eastAsia="arial" w:hAnsi="arial" w:cs="arial"/>
            <w:b w:val="0"/>
            <w:i/>
            <w:strike w:val="0"/>
            <w:noProof w:val="0"/>
            <w:color w:val="0077CC"/>
            <w:position w:val="0"/>
            <w:sz w:val="20"/>
            <w:u w:val="single"/>
            <w:vertAlign w:val="baseline"/>
          </w:rPr>
          <w:t>United States v. Gillette</w:t>
        </w:r>
      </w:hyperlink>
      <w:hyperlink r:id="rId61" w:history="1">
        <w:r>
          <w:rPr>
            <w:rFonts w:ascii="arial" w:eastAsia="arial" w:hAnsi="arial" w:cs="arial"/>
            <w:b w:val="0"/>
            <w:i/>
            <w:strike w:val="0"/>
            <w:noProof w:val="0"/>
            <w:color w:val="0077CC"/>
            <w:position w:val="0"/>
            <w:sz w:val="20"/>
            <w:u w:val="single"/>
            <w:vertAlign w:val="baseline"/>
          </w:rPr>
          <w:t>, 189 F.2d 449, 451-52 (2d Cir. 1951)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2" w:name="Bookmark_para_34"/>
      <w:bookmarkEnd w:id="202"/>
      <w:bookmarkStart w:id="203" w:name="Bookmark_I69B1W2628T50J0050000400"/>
      <w:bookmarkEnd w:id="203"/>
      <w:bookmarkStart w:id="204" w:name="Bookmark_I69B1W262D6NVV0020000400"/>
      <w:bookmarkEnd w:id="204"/>
      <w:r>
        <w:rPr>
          <w:rFonts w:ascii="arial" w:eastAsia="arial" w:hAnsi="arial" w:cs="arial"/>
          <w:b w:val="0"/>
          <w:i w:val="0"/>
          <w:strike w:val="0"/>
          <w:noProof w:val="0"/>
          <w:color w:val="000000"/>
          <w:position w:val="0"/>
          <w:sz w:val="20"/>
          <w:u w:val="none"/>
          <w:vertAlign w:val="baseline"/>
        </w:rPr>
        <w:t xml:space="preserve">Although the Third Superseding Indictment charges only Mr. Uchendu under Count Three, "[i]t was not necessary that the indictment name the principals who committed the offense. </w:t>
      </w:r>
      <w:bookmarkStart w:id="205" w:name="Bookmark_I69B1W272D6NW20010000400"/>
      <w:bookmarkEnd w:id="205"/>
      <w:r>
        <w:rPr>
          <w:rFonts w:ascii="arial" w:eastAsia="arial" w:hAnsi="arial" w:cs="arial"/>
          <w:b w:val="0"/>
          <w:i w:val="0"/>
          <w:strike w:val="0"/>
          <w:noProof w:val="0"/>
          <w:color w:val="000000"/>
          <w:position w:val="0"/>
          <w:sz w:val="20"/>
          <w:u w:val="none"/>
          <w:vertAlign w:val="baseline"/>
        </w:rPr>
        <w:t xml:space="preserve">Their names are not essential elements of the offense." </w:t>
      </w:r>
      <w:bookmarkStart w:id="206" w:name="Bookmark_I69B1W2628T50J0040000400"/>
      <w:bookmarkEnd w:id="206"/>
      <w:hyperlink r:id="rId62" w:history="1">
        <w:r>
          <w:rPr>
            <w:rFonts w:ascii="arial" w:eastAsia="arial" w:hAnsi="arial" w:cs="arial"/>
            <w:b w:val="0"/>
            <w:i/>
            <w:strike w:val="0"/>
            <w:noProof w:val="0"/>
            <w:color w:val="0077CC"/>
            <w:position w:val="0"/>
            <w:sz w:val="20"/>
            <w:u w:val="single"/>
            <w:vertAlign w:val="baseline"/>
          </w:rPr>
          <w:t>United States v. Harris</w:t>
        </w:r>
      </w:hyperlink>
      <w:hyperlink r:id="rId62" w:history="1">
        <w:r>
          <w:rPr>
            <w:rFonts w:ascii="arial" w:eastAsia="arial" w:hAnsi="arial" w:cs="arial"/>
            <w:b w:val="0"/>
            <w:i/>
            <w:strike w:val="0"/>
            <w:noProof w:val="0"/>
            <w:color w:val="0077CC"/>
            <w:position w:val="0"/>
            <w:sz w:val="20"/>
            <w:u w:val="single"/>
            <w:vertAlign w:val="baseline"/>
          </w:rPr>
          <w:t>, 523 F.2d 172, 174 (6th Cir. 1975)</w:t>
        </w:r>
      </w:hyperlink>
      <w:r>
        <w:rPr>
          <w:rFonts w:ascii="arial" w:eastAsia="arial" w:hAnsi="arial" w:cs="arial"/>
          <w:b w:val="0"/>
          <w:i w:val="0"/>
          <w:strike w:val="0"/>
          <w:noProof w:val="0"/>
          <w:color w:val="000000"/>
          <w:position w:val="0"/>
          <w:sz w:val="20"/>
          <w:u w:val="none"/>
          <w:vertAlign w:val="baseline"/>
        </w:rPr>
        <w:t>. Instead, it suffices that the indictment, liberally construed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interpreted to include facts necessarily implied, </w:t>
      </w:r>
      <w:bookmarkStart w:id="207" w:name="Bookmark_I69B1W262D6NVV0010000400"/>
      <w:bookmarkEnd w:id="207"/>
      <w:hyperlink r:id="rId63" w:history="1">
        <w:r>
          <w:rPr>
            <w:rFonts w:ascii="arial" w:eastAsia="arial" w:hAnsi="arial" w:cs="arial"/>
            <w:b w:val="0"/>
            <w:i/>
            <w:strike w:val="0"/>
            <w:noProof w:val="0"/>
            <w:color w:val="0077CC"/>
            <w:position w:val="0"/>
            <w:sz w:val="20"/>
            <w:u w:val="single"/>
            <w:vertAlign w:val="baseline"/>
          </w:rPr>
          <w:t>United States v. Phillips</w:t>
        </w:r>
      </w:hyperlink>
      <w:hyperlink r:id="rId63" w:history="1">
        <w:r>
          <w:rPr>
            <w:rFonts w:ascii="arial" w:eastAsia="arial" w:hAnsi="arial" w:cs="arial"/>
            <w:b w:val="0"/>
            <w:i/>
            <w:strike w:val="0"/>
            <w:noProof w:val="0"/>
            <w:color w:val="0077CC"/>
            <w:position w:val="0"/>
            <w:sz w:val="20"/>
            <w:u w:val="single"/>
            <w:vertAlign w:val="baseline"/>
          </w:rPr>
          <w:t>, 869 F.2d 1361, 1364 (10th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08" w:name="Bookmark_I69B1W262D6NVV0030000400"/>
      <w:bookmarkEnd w:id="208"/>
      <w:hyperlink r:id="rId64" w:history="1">
        <w:r>
          <w:rPr>
            <w:rFonts w:ascii="arial" w:eastAsia="arial" w:hAnsi="arial" w:cs="arial"/>
            <w:b w:val="0"/>
            <w:i/>
            <w:strike w:val="0"/>
            <w:noProof w:val="0"/>
            <w:color w:val="0077CC"/>
            <w:position w:val="0"/>
            <w:sz w:val="20"/>
            <w:u w:val="single"/>
            <w:vertAlign w:val="baseline"/>
          </w:rPr>
          <w:t>United States v. Harper</w:t>
        </w:r>
      </w:hyperlink>
      <w:hyperlink r:id="rId64" w:history="1">
        <w:r>
          <w:rPr>
            <w:rFonts w:ascii="arial" w:eastAsia="arial" w:hAnsi="arial" w:cs="arial"/>
            <w:b w:val="0"/>
            <w:i/>
            <w:strike w:val="0"/>
            <w:noProof w:val="0"/>
            <w:color w:val="0077CC"/>
            <w:position w:val="0"/>
            <w:sz w:val="20"/>
            <w:u w:val="single"/>
            <w:vertAlign w:val="baseline"/>
          </w:rPr>
          <w:t>, 579 F.2d 1235, 1239 (10th Cir. 1978)</w:t>
        </w:r>
      </w:hyperlink>
      <w:r>
        <w:rPr>
          <w:rFonts w:ascii="arial" w:eastAsia="arial" w:hAnsi="arial" w:cs="arial"/>
          <w:b w:val="0"/>
          <w:i w:val="0"/>
          <w:strike w:val="0"/>
          <w:noProof w:val="0"/>
          <w:color w:val="000000"/>
          <w:position w:val="0"/>
          <w:sz w:val="20"/>
          <w:u w:val="none"/>
          <w:vertAlign w:val="baseline"/>
        </w:rPr>
        <w:t xml:space="preserve">, allege all of the essential elements of the crime by a third-party principal that may have been aided and abetted by the charged Defendant. </w:t>
      </w:r>
      <w:bookmarkStart w:id="209" w:name="Bookmark_I69B1W272D6NW20010000400_2"/>
      <w:bookmarkEnd w:id="209"/>
      <w:r>
        <w:rPr>
          <w:rFonts w:ascii="arial" w:eastAsia="arial" w:hAnsi="arial" w:cs="arial"/>
          <w:b w:val="0"/>
          <w:i/>
          <w:strike w:val="0"/>
          <w:noProof w:val="0"/>
          <w:color w:val="000000"/>
          <w:position w:val="0"/>
          <w:sz w:val="20"/>
          <w:u w:val="none"/>
          <w:vertAlign w:val="baseline"/>
        </w:rPr>
        <w:t xml:space="preserve">See </w:t>
      </w:r>
      <w:bookmarkStart w:id="210" w:name="Bookmark_I69B1W262D6NVV0050000400"/>
      <w:bookmarkEnd w:id="210"/>
      <w:hyperlink r:id="rId62" w:history="1">
        <w:r>
          <w:rPr>
            <w:rFonts w:ascii="arial" w:eastAsia="arial" w:hAnsi="arial" w:cs="arial"/>
            <w:b w:val="0"/>
            <w:i/>
            <w:strike w:val="0"/>
            <w:noProof w:val="0"/>
            <w:color w:val="0077CC"/>
            <w:position w:val="0"/>
            <w:sz w:val="20"/>
            <w:u w:val="single"/>
            <w:vertAlign w:val="baseline"/>
          </w:rPr>
          <w:t>Harris</w:t>
        </w:r>
      </w:hyperlink>
      <w:hyperlink r:id="rId62" w:history="1">
        <w:r>
          <w:rPr>
            <w:rFonts w:ascii="arial" w:eastAsia="arial" w:hAnsi="arial" w:cs="arial"/>
            <w:b w:val="0"/>
            <w:i/>
            <w:strike w:val="0"/>
            <w:noProof w:val="0"/>
            <w:color w:val="0077CC"/>
            <w:position w:val="0"/>
            <w:sz w:val="20"/>
            <w:u w:val="single"/>
            <w:vertAlign w:val="baseline"/>
          </w:rPr>
          <w:t>, 523 F.2d at 174</w:t>
        </w:r>
      </w:hyperlink>
      <w:r>
        <w:rPr>
          <w:rFonts w:ascii="arial" w:eastAsia="arial" w:hAnsi="arial" w:cs="arial"/>
          <w:b w:val="0"/>
          <w:i w:val="0"/>
          <w:strike w:val="0"/>
          <w:noProof w:val="0"/>
          <w:color w:val="000000"/>
          <w:position w:val="0"/>
          <w:sz w:val="20"/>
          <w:u w:val="none"/>
          <w:vertAlign w:val="baseline"/>
        </w:rPr>
        <w:t xml:space="preserve">. And here, the court concludes that the Third Superseding Indictment sufficiently pleads third-party commission of the substantive offensive under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that may have been aided and abetted by Mr. Uchendu,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Third Superseding Indictment at 9-10, particularly as to Coconspirator-1.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1" w:name="Bookmark_para_35"/>
      <w:bookmarkEnd w:id="211"/>
      <w:r>
        <w:rPr>
          <w:rFonts w:ascii="arial" w:eastAsia="arial" w:hAnsi="arial" w:cs="arial"/>
          <w:b w:val="0"/>
          <w:i w:val="0"/>
          <w:strike w:val="0"/>
          <w:noProof w:val="0"/>
          <w:color w:val="000000"/>
          <w:position w:val="0"/>
          <w:sz w:val="20"/>
          <w:u w:val="none"/>
          <w:vertAlign w:val="baseline"/>
        </w:rPr>
        <w:t xml:space="preserve">In his supplemental memorandum, Mr. Uchendu argues that Count Three must be "dismissed to the extent it alleges Uchendu independently violated </w:t>
      </w:r>
      <w:hyperlink r:id="rId15"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ECF No. 122 at 2, and that the jury must find some other person committed every element of that statute before Uchendu can face liability under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short, Mr. Uchendu argues that "the court should not collapse the venue determination for aiding and abetting with that [] for the substantive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40" w:after="0" w:line="260" w:lineRule="atLeast"/>
        <w:ind w:left="0" w:right="0" w:firstLine="0"/>
        <w:jc w:val="both"/>
      </w:pPr>
      <w:bookmarkStart w:id="212" w:name="Bookmark_para_36"/>
      <w:bookmarkEnd w:id="212"/>
      <w:bookmarkStart w:id="213" w:name="Bookmark_I69B1W272D6NW20030000400"/>
      <w:bookmarkEnd w:id="213"/>
      <w:r>
        <w:rPr>
          <w:rFonts w:ascii="arial" w:eastAsia="arial" w:hAnsi="arial" w:cs="arial"/>
          <w:b w:val="0"/>
          <w:i w:val="0"/>
          <w:strike w:val="0"/>
          <w:noProof w:val="0"/>
          <w:color w:val="000000"/>
          <w:position w:val="0"/>
          <w:sz w:val="20"/>
          <w:u w:val="none"/>
          <w:vertAlign w:val="baseline"/>
        </w:rPr>
        <w:t xml:space="preserve">In response, the government characterizes this request as "carv[ing]" Count Three "into two separate offenses." ECF No. 123 at 1. As the government notes, "[a]iding and abetting is not an offense separate from that as a principal."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And,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this way, the government is correct—</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is "an alternative charge that permits one to be found guilty as a principal for aiding or procuring someone else to commit the offense." </w:t>
      </w:r>
      <w:bookmarkStart w:id="214" w:name="Bookmark_I69B1W272D6NW20020000400"/>
      <w:bookmarkEnd w:id="214"/>
      <w:hyperlink r:id="rId65" w:history="1">
        <w:r>
          <w:rPr>
            <w:rFonts w:ascii="arial" w:eastAsia="arial" w:hAnsi="arial" w:cs="arial"/>
            <w:b w:val="0"/>
            <w:i/>
            <w:strike w:val="0"/>
            <w:noProof w:val="0"/>
            <w:color w:val="0077CC"/>
            <w:position w:val="0"/>
            <w:sz w:val="20"/>
            <w:u w:val="single"/>
            <w:vertAlign w:val="baseline"/>
          </w:rPr>
          <w:t>United States v. Deiter</w:t>
        </w:r>
      </w:hyperlink>
      <w:hyperlink r:id="rId65" w:history="1">
        <w:r>
          <w:rPr>
            <w:rFonts w:ascii="arial" w:eastAsia="arial" w:hAnsi="arial" w:cs="arial"/>
            <w:b w:val="0"/>
            <w:i/>
            <w:strike w:val="0"/>
            <w:noProof w:val="0"/>
            <w:color w:val="0077CC"/>
            <w:position w:val="0"/>
            <w:sz w:val="20"/>
            <w:u w:val="single"/>
            <w:vertAlign w:val="baseline"/>
          </w:rPr>
          <w:t>, 890 F.3d 1203, 1216 (10th Cir. 2018)</w:t>
        </w:r>
      </w:hyperlink>
      <w:r>
        <w:rPr>
          <w:rFonts w:ascii="arial" w:eastAsia="arial" w:hAnsi="arial" w:cs="arial"/>
          <w:b w:val="0"/>
          <w:i w:val="0"/>
          <w:strike w:val="0"/>
          <w:noProof w:val="0"/>
          <w:color w:val="000000"/>
          <w:position w:val="0"/>
          <w:sz w:val="20"/>
          <w:u w:val="none"/>
          <w:vertAlign w:val="baseline"/>
        </w:rPr>
        <w:t xml:space="preserve"> (quoting </w:t>
      </w:r>
      <w:bookmarkStart w:id="215" w:name="Bookmark_I69B1W272D6NW20040000400"/>
      <w:bookmarkEnd w:id="215"/>
      <w:hyperlink r:id="rId66" w:history="1">
        <w:r>
          <w:rPr>
            <w:rFonts w:ascii="arial" w:eastAsia="arial" w:hAnsi="arial" w:cs="arial"/>
            <w:b w:val="0"/>
            <w:i/>
            <w:strike w:val="0"/>
            <w:noProof w:val="0"/>
            <w:color w:val="0077CC"/>
            <w:position w:val="0"/>
            <w:sz w:val="20"/>
            <w:u w:val="single"/>
            <w:vertAlign w:val="baseline"/>
          </w:rPr>
          <w:t>In re Colon</w:t>
        </w:r>
      </w:hyperlink>
      <w:hyperlink r:id="rId66" w:history="1">
        <w:r>
          <w:rPr>
            <w:rFonts w:ascii="arial" w:eastAsia="arial" w:hAnsi="arial" w:cs="arial"/>
            <w:b w:val="0"/>
            <w:i/>
            <w:strike w:val="0"/>
            <w:noProof w:val="0"/>
            <w:color w:val="0077CC"/>
            <w:position w:val="0"/>
            <w:sz w:val="20"/>
            <w:u w:val="single"/>
            <w:vertAlign w:val="baseline"/>
          </w:rPr>
          <w:t>, 826 F.3d 1301, 1305 (11th Cir. 2016)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As a result, no part of Count Three is properly dismissed because the government has pleaded, through the Third Superseding Indictment, sufficient facts to support a claim under that count, and venue is proper in this district by operation of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37"/>
      <w:bookmarkEnd w:id="225"/>
      <w:r>
        <w:rPr>
          <w:rFonts w:ascii="arial" w:eastAsia="arial" w:hAnsi="arial" w:cs="arial"/>
          <w:b w:val="0"/>
          <w:i w:val="0"/>
          <w:strike w:val="0"/>
          <w:noProof w:val="0"/>
          <w:color w:val="000000"/>
          <w:position w:val="0"/>
          <w:sz w:val="20"/>
          <w:u w:val="none"/>
          <w:vertAlign w:val="baseline"/>
        </w:rPr>
        <w:t xml:space="preserve">However, although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does not form a separate </w:t>
      </w:r>
      <w:r>
        <w:rPr>
          <w:rFonts w:ascii="arial" w:eastAsia="arial" w:hAnsi="arial" w:cs="arial"/>
          <w:b w:val="0"/>
          <w:i/>
          <w:strike w:val="0"/>
          <w:noProof w:val="0"/>
          <w:color w:val="000000"/>
          <w:position w:val="0"/>
          <w:sz w:val="20"/>
          <w:u w:val="none"/>
          <w:vertAlign w:val="baseline"/>
        </w:rPr>
        <w:t>offense</w:t>
      </w:r>
      <w:r>
        <w:rPr>
          <w:rFonts w:ascii="arial" w:eastAsia="arial" w:hAnsi="arial" w:cs="arial"/>
          <w:b w:val="0"/>
          <w:i w:val="0"/>
          <w:strike w:val="0"/>
          <w:noProof w:val="0"/>
          <w:color w:val="000000"/>
          <w:position w:val="0"/>
          <w:sz w:val="20"/>
          <w:u w:val="none"/>
          <w:vertAlign w:val="baseline"/>
        </w:rPr>
        <w:t xml:space="preserve"> (and liability necessarily remains premised on </w:t>
      </w:r>
      <w:hyperlink r:id="rId1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it certainly does form a separately instructible theory of liability as principal, as Mr. Uchendu argues. And while the issue of jury instructions is, of course, more appropriately resolved conclusively at a later stage of litigation according to the Amended Trial Order, ECF No. 117, the court believes it is appropriate to emphasize that, insofar as venue is appropriate as to Count Three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by operation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conviction will lie in this district, if at all, given proper instruction under </w:t>
      </w:r>
      <w:hyperlink r:id="rId17"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6" w:name="Bookmark_para_38"/>
      <w:bookmarkEnd w:id="226"/>
      <w:bookmarkStart w:id="227" w:name="Bookmark_I69B1W282HM6JM0050000400"/>
      <w:bookmarkEnd w:id="227"/>
      <w:bookmarkStart w:id="228" w:name="Bookmark_I69B1W282HM6JR0040000400"/>
      <w:bookmarkEnd w:id="228"/>
      <w:r>
        <w:rPr>
          <w:rFonts w:ascii="arial" w:eastAsia="arial" w:hAnsi="arial" w:cs="arial"/>
          <w:b w:val="0"/>
          <w:i w:val="0"/>
          <w:strike w:val="0"/>
          <w:noProof w:val="0"/>
          <w:color w:val="000000"/>
          <w:position w:val="0"/>
          <w:sz w:val="20"/>
          <w:u w:val="none"/>
          <w:vertAlign w:val="baseline"/>
        </w:rPr>
        <w:t>"[T]he law 'is clear that before one can be convicted as an aider and abettor, the jury must first find that the substantive offense has been committed.'"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bookmarkStart w:id="229" w:name="Bookmark_I69B1W282HM6JM0040000400"/>
      <w:bookmarkEnd w:id="229"/>
      <w:r>
        <w:rPr>
          <w:rFonts w:ascii="arial" w:eastAsia="arial" w:hAnsi="arial" w:cs="arial"/>
          <w:b w:val="0"/>
          <w:i/>
          <w:strike w:val="0"/>
          <w:noProof w:val="0"/>
          <w:color w:val="000000"/>
          <w:position w:val="0"/>
          <w:sz w:val="20"/>
          <w:u w:val="none"/>
          <w:vertAlign w:val="baseline"/>
        </w:rPr>
        <w:t>United States v. Edwards</w:t>
      </w:r>
      <w:r>
        <w:rPr>
          <w:rFonts w:ascii="arial" w:eastAsia="arial" w:hAnsi="arial" w:cs="arial"/>
          <w:b w:val="0"/>
          <w:i/>
          <w:strike w:val="0"/>
          <w:noProof w:val="0"/>
          <w:color w:val="000000"/>
          <w:position w:val="0"/>
          <w:sz w:val="20"/>
          <w:u w:val="none"/>
          <w:vertAlign w:val="baseline"/>
        </w:rPr>
        <w:t>, 782 F.3d 554, 564 (10th Cir. 2015)</w:t>
      </w:r>
      <w:r>
        <w:rPr>
          <w:rFonts w:ascii="arial" w:eastAsia="arial" w:hAnsi="arial" w:cs="arial"/>
          <w:b w:val="0"/>
          <w:i w:val="0"/>
          <w:strike w:val="0"/>
          <w:noProof w:val="0"/>
          <w:color w:val="000000"/>
          <w:position w:val="0"/>
          <w:sz w:val="20"/>
          <w:u w:val="none"/>
          <w:vertAlign w:val="baseline"/>
        </w:rPr>
        <w:t xml:space="preserve"> (quoting </w:t>
      </w:r>
      <w:bookmarkStart w:id="230" w:name="Bookmark_I69B1W282HM6JR0010000400"/>
      <w:bookmarkEnd w:id="230"/>
      <w:hyperlink r:id="rId67" w:history="1">
        <w:r>
          <w:rPr>
            <w:rFonts w:ascii="arial" w:eastAsia="arial" w:hAnsi="arial" w:cs="arial"/>
            <w:b w:val="0"/>
            <w:i/>
            <w:strike w:val="0"/>
            <w:noProof w:val="0"/>
            <w:color w:val="0077CC"/>
            <w:position w:val="0"/>
            <w:sz w:val="20"/>
            <w:u w:val="single"/>
            <w:vertAlign w:val="baseline"/>
          </w:rPr>
          <w:t>United States v. Morris</w:t>
        </w:r>
      </w:hyperlink>
      <w:hyperlink r:id="rId67" w:history="1">
        <w:r>
          <w:rPr>
            <w:rFonts w:ascii="arial" w:eastAsia="arial" w:hAnsi="arial" w:cs="arial"/>
            <w:b w:val="0"/>
            <w:i/>
            <w:strike w:val="0"/>
            <w:noProof w:val="0"/>
            <w:color w:val="0077CC"/>
            <w:position w:val="0"/>
            <w:sz w:val="20"/>
            <w:u w:val="single"/>
            <w:vertAlign w:val="baseline"/>
          </w:rPr>
          <w:t>, 612 F.2d 483, 496 (10th Cir. 1979)</w:t>
        </w:r>
      </w:hyperlink>
      <w:r>
        <w:rPr>
          <w:rFonts w:ascii="arial" w:eastAsia="arial" w:hAnsi="arial" w:cs="arial"/>
          <w:b w:val="0"/>
          <w:i w:val="0"/>
          <w:strike w:val="0"/>
          <w:noProof w:val="0"/>
          <w:color w:val="000000"/>
          <w:position w:val="0"/>
          <w:sz w:val="20"/>
          <w:u w:val="none"/>
          <w:vertAlign w:val="baseline"/>
        </w:rPr>
        <w:t xml:space="preserve">). It will therefore be necessary for the prosecution to prove to the jury at trial that the substantive offense was committed by some third party in the District of Utah, and that Mr. Uchendu aided and abetted such offense. </w:t>
      </w:r>
      <w:bookmarkStart w:id="231" w:name="Bookmark_I69B1W282HM6JR0030000400"/>
      <w:bookmarkEnd w:id="231"/>
      <w:hyperlink r:id="rId67" w:history="1">
        <w:r>
          <w:rPr>
            <w:rFonts w:ascii="arial" w:eastAsia="arial" w:hAnsi="arial" w:cs="arial"/>
            <w:b w:val="0"/>
            <w:i/>
            <w:strike w:val="0"/>
            <w:noProof w:val="0"/>
            <w:color w:val="0077CC"/>
            <w:position w:val="0"/>
            <w:sz w:val="20"/>
            <w:u w:val="single"/>
            <w:vertAlign w:val="baseline"/>
          </w:rPr>
          <w:t>United States v. Morris</w:t>
        </w:r>
      </w:hyperlink>
      <w:hyperlink r:id="rId67" w:history="1">
        <w:r>
          <w:rPr>
            <w:rFonts w:ascii="arial" w:eastAsia="arial" w:hAnsi="arial" w:cs="arial"/>
            <w:b w:val="0"/>
            <w:i/>
            <w:strike w:val="0"/>
            <w:noProof w:val="0"/>
            <w:color w:val="0077CC"/>
            <w:position w:val="0"/>
            <w:sz w:val="20"/>
            <w:u w:val="single"/>
            <w:vertAlign w:val="baseline"/>
          </w:rPr>
          <w:t>, 612 F.2d 483, 496 (10th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32" w:name="Bookmark_I69B1W282HM6JR0050000400"/>
      <w:bookmarkEnd w:id="232"/>
      <w:hyperlink r:id="rId68" w:history="1">
        <w:r>
          <w:rPr>
            <w:rFonts w:ascii="arial" w:eastAsia="arial" w:hAnsi="arial" w:cs="arial"/>
            <w:b w:val="0"/>
            <w:i/>
            <w:strike w:val="0"/>
            <w:noProof w:val="0"/>
            <w:color w:val="0077CC"/>
            <w:position w:val="0"/>
            <w:sz w:val="20"/>
            <w:u w:val="single"/>
            <w:vertAlign w:val="baseline"/>
          </w:rPr>
          <w:t>United States v. Barker</w:t>
        </w:r>
      </w:hyperlink>
      <w:hyperlink r:id="rId68" w:history="1">
        <w:r>
          <w:rPr>
            <w:rFonts w:ascii="arial" w:eastAsia="arial" w:hAnsi="arial" w:cs="arial"/>
            <w:b w:val="0"/>
            <w:i/>
            <w:strike w:val="0"/>
            <w:noProof w:val="0"/>
            <w:color w:val="0077CC"/>
            <w:position w:val="0"/>
            <w:sz w:val="20"/>
            <w:u w:val="single"/>
            <w:vertAlign w:val="baseline"/>
          </w:rPr>
          <w:t>, 542 F.2d 479, 485-86 n.14 (8th Cir. 1976)</w:t>
        </w:r>
      </w:hyperlink>
      <w:r>
        <w:rPr>
          <w:rFonts w:ascii="arial" w:eastAsia="arial" w:hAnsi="arial" w:cs="arial"/>
          <w:b w:val="0"/>
          <w:i w:val="0"/>
          <w:strike w:val="0"/>
          <w:noProof w:val="0"/>
          <w:color w:val="000000"/>
          <w:position w:val="0"/>
          <w:sz w:val="20"/>
          <w:u w:val="none"/>
          <w:vertAlign w:val="baseline"/>
        </w:rPr>
        <w:t>. Otherwise, venue is not proper in this district for the reasons discussed at length above.</w:t>
      </w:r>
    </w:p>
    <w:p>
      <w:pPr>
        <w:keepNext w:val="0"/>
        <w:spacing w:before="200" w:after="0" w:line="260" w:lineRule="atLeast"/>
        <w:ind w:left="0" w:right="0" w:firstLine="0"/>
        <w:jc w:val="both"/>
      </w:pPr>
      <w:bookmarkStart w:id="233" w:name="Bookmark_para_39"/>
      <w:bookmarkEnd w:id="233"/>
      <w:r>
        <w:rPr>
          <w:rFonts w:ascii="arial" w:eastAsia="arial" w:hAnsi="arial" w:cs="arial"/>
          <w:b w:val="0"/>
          <w:i w:val="0"/>
          <w:strike w:val="0"/>
          <w:noProof w:val="0"/>
          <w:color w:val="000000"/>
          <w:position w:val="0"/>
          <w:sz w:val="20"/>
          <w:u w:val="none"/>
          <w:vertAlign w:val="baseline"/>
        </w:rPr>
        <w:t xml:space="preserve">The jury will be so instructed, and the parties are counseled to consider this doctrinal nuance in preparing their proposed jury instructions.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1 </w:t>
      </w:r>
      <w:r>
        <w:rPr>
          <w:rFonts w:ascii="arial" w:eastAsia="arial" w:hAnsi="arial" w:cs="arial"/>
          <w:b w:val="0"/>
          <w:i w:val="0"/>
          <w:smallCaps/>
          <w:strike w:val="0"/>
          <w:noProof w:val="0"/>
          <w:color w:val="000000"/>
          <w:position w:val="0"/>
          <w:sz w:val="20"/>
          <w:u w:val="none"/>
          <w:vertAlign w:val="baseline"/>
        </w:rPr>
        <w:t>Modern Federal Jury Instructions-Criminal</w:t>
      </w:r>
      <w:r>
        <w:rPr>
          <w:rFonts w:ascii="arial" w:eastAsia="arial" w:hAnsi="arial" w:cs="arial"/>
          <w:b w:val="0"/>
          <w:i w:val="0"/>
          <w:strike w:val="0"/>
          <w:noProof w:val="0"/>
          <w:color w:val="000000"/>
          <w:position w:val="0"/>
          <w:sz w:val="20"/>
          <w:u w:val="none"/>
          <w:vertAlign w:val="baseline"/>
        </w:rPr>
        <w:t xml:space="preserve"> ¶ 11.01 (Lexis); </w:t>
      </w:r>
      <w:r>
        <w:rPr>
          <w:rFonts w:ascii="arial" w:eastAsia="arial" w:hAnsi="arial" w:cs="arial"/>
          <w:b w:val="0"/>
          <w:i w:val="0"/>
          <w:smallCaps/>
          <w:strike w:val="0"/>
          <w:noProof w:val="0"/>
          <w:color w:val="000000"/>
          <w:position w:val="0"/>
          <w:sz w:val="20"/>
          <w:u w:val="none"/>
          <w:vertAlign w:val="baseline"/>
        </w:rPr>
        <w:t>Pattern Crim. Jury Instr. 10th Cir.</w:t>
      </w:r>
      <w:r>
        <w:rPr>
          <w:rFonts w:ascii="arial" w:eastAsia="arial" w:hAnsi="arial" w:cs="arial"/>
          <w:b w:val="0"/>
          <w:i w:val="0"/>
          <w:strike w:val="0"/>
          <w:noProof w:val="0"/>
          <w:color w:val="000000"/>
          <w:position w:val="0"/>
          <w:sz w:val="20"/>
          <w:u w:val="none"/>
          <w:vertAlign w:val="baseline"/>
        </w:rPr>
        <w:t xml:space="preserve"> 2.06 (West).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 &amp; ORDER</w:t>
      </w:r>
    </w:p>
    <w:p>
      <w:pPr>
        <w:keepNext w:val="0"/>
        <w:spacing w:before="200" w:after="0" w:line="260" w:lineRule="atLeast"/>
        <w:ind w:left="0" w:right="0" w:firstLine="0"/>
        <w:jc w:val="both"/>
      </w:pPr>
      <w:bookmarkStart w:id="234" w:name="Bookmark_para_40"/>
      <w:bookmarkEnd w:id="234"/>
      <w:r>
        <w:rPr>
          <w:rFonts w:ascii="arial" w:eastAsia="arial" w:hAnsi="arial" w:cs="arial"/>
          <w:b w:val="0"/>
          <w:i w:val="0"/>
          <w:strike w:val="0"/>
          <w:noProof w:val="0"/>
          <w:color w:val="000000"/>
          <w:position w:val="0"/>
          <w:sz w:val="20"/>
          <w:u w:val="none"/>
          <w:vertAlign w:val="baseline"/>
        </w:rPr>
        <w:t xml:space="preserve">For the foregoing reasons, Mr. Uchendu's motion to dismiss Count Three for lack of venue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However, because venue is appropriate as to Count Three only under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a conviction must be supported by instruction under that section. </w:t>
      </w:r>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5" w:name="Bookmark_para_41"/>
      <w:bookmarkEnd w:id="235"/>
      <w:r>
        <w:rPr>
          <w:rFonts w:ascii="arial" w:eastAsia="arial" w:hAnsi="arial" w:cs="arial"/>
          <w:b w:val="0"/>
          <w:i w:val="0"/>
          <w:strike w:val="0"/>
          <w:noProof w:val="0"/>
          <w:color w:val="000000"/>
          <w:position w:val="0"/>
          <w:sz w:val="20"/>
          <w:u w:val="none"/>
          <w:vertAlign w:val="baseline"/>
        </w:rPr>
        <w:t>DATED September 28, 2023.</w:t>
      </w:r>
    </w:p>
    <w:p>
      <w:pPr>
        <w:keepNext w:val="0"/>
        <w:spacing w:before="200" w:after="0" w:line="260" w:lineRule="atLeast"/>
        <w:ind w:left="0" w:right="0" w:firstLine="0"/>
        <w:jc w:val="both"/>
      </w:pPr>
      <w:bookmarkStart w:id="236" w:name="Bookmark_para_42"/>
      <w:bookmarkEnd w:id="236"/>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237" w:name="Bookmark_para_43"/>
      <w:bookmarkEnd w:id="237"/>
      <w:r>
        <w:rPr>
          <w:rFonts w:ascii="arial" w:eastAsia="arial" w:hAnsi="arial" w:cs="arial"/>
          <w:b w:val="0"/>
          <w:i w:val="0"/>
          <w:strike w:val="0"/>
          <w:noProof w:val="0"/>
          <w:color w:val="000000"/>
          <w:position w:val="0"/>
          <w:sz w:val="20"/>
          <w:u w:val="none"/>
          <w:vertAlign w:val="baseline"/>
        </w:rPr>
        <w:t>/s/ Jill N. Parish</w:t>
      </w:r>
    </w:p>
    <w:p>
      <w:pPr>
        <w:keepNext w:val="0"/>
        <w:spacing w:before="200" w:after="0" w:line="260" w:lineRule="atLeast"/>
        <w:ind w:left="0" w:right="0" w:firstLine="0"/>
        <w:jc w:val="both"/>
      </w:pPr>
      <w:bookmarkStart w:id="238" w:name="Bookmark_para_44"/>
      <w:bookmarkEnd w:id="238"/>
      <w:r>
        <w:rPr>
          <w:rFonts w:ascii="arial" w:eastAsia="arial" w:hAnsi="arial" w:cs="arial"/>
          <w:b w:val="0"/>
          <w:i w:val="0"/>
          <w:strike w:val="0"/>
          <w:noProof w:val="0"/>
          <w:color w:val="000000"/>
          <w:position w:val="0"/>
          <w:sz w:val="20"/>
          <w:u w:val="none"/>
          <w:vertAlign w:val="baseline"/>
        </w:rPr>
        <w:t>Jill N. Parrish</w:t>
      </w:r>
    </w:p>
    <w:p>
      <w:pPr>
        <w:keepNext w:val="0"/>
        <w:spacing w:before="200" w:after="0" w:line="260" w:lineRule="atLeast"/>
        <w:ind w:left="0" w:right="0" w:firstLine="0"/>
        <w:jc w:val="both"/>
      </w:pPr>
      <w:bookmarkStart w:id="239" w:name="Bookmark_para_45"/>
      <w:bookmarkEnd w:id="239"/>
      <w:r>
        <w:rPr>
          <w:rFonts w:ascii="arial" w:eastAsia="arial" w:hAnsi="arial" w:cs="arial"/>
          <w:b w:val="0"/>
          <w:i w:val="0"/>
          <w:strike w:val="0"/>
          <w:noProof w:val="0"/>
          <w:color w:val="000000"/>
          <w:position w:val="0"/>
          <w:sz w:val="20"/>
          <w:u w:val="none"/>
          <w:vertAlign w:val="baseline"/>
        </w:rPr>
        <w:t>United States District Court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8" w:name="Bookmark_fnpara_1"/>
      <w:bookmarkEnd w:id="58"/>
      <w:r>
        <w:rPr>
          <w:rFonts w:ascii="arial" w:eastAsia="arial" w:hAnsi="arial" w:cs="arial"/>
          <w:b w:val="0"/>
          <w:i w:val="0"/>
          <w:strike w:val="0"/>
          <w:noProof w:val="0"/>
          <w:color w:val="000000"/>
          <w:position w:val="0"/>
          <w:sz w:val="18"/>
          <w:u w:val="none"/>
          <w:vertAlign w:val="baseline"/>
        </w:rPr>
        <w:t>An unlicensed money transmitting business is a money transmitting business which affects interstate or foreign commerce in any manner or degree and:</w:t>
      </w:r>
    </w:p>
    <w:p>
      <w:pPr>
        <w:keepNext w:val="0"/>
        <w:spacing w:before="200" w:after="0" w:line="240" w:lineRule="atLeast"/>
        <w:ind w:left="400" w:right="0" w:firstLine="0"/>
        <w:jc w:val="both"/>
      </w:pPr>
      <w:bookmarkStart w:id="59" w:name="Bookmark_para_12"/>
      <w:bookmarkEnd w:id="59"/>
      <w:r>
        <w:rPr>
          <w:rFonts w:ascii="arial" w:eastAsia="arial" w:hAnsi="arial" w:cs="arial"/>
          <w:b w:val="0"/>
          <w:i w:val="0"/>
          <w:strike w:val="0"/>
          <w:noProof w:val="0"/>
          <w:color w:val="000000"/>
          <w:position w:val="0"/>
          <w:sz w:val="18"/>
          <w:u w:val="none"/>
          <w:vertAlign w:val="baseline"/>
        </w:rPr>
        <w:t>(A) is operated without an appropriate money transmitting license in a State where such operation is punishable as a misdemeanor or a felony under State law whether</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or not the defendant knew that the operation was required to be licensed or that the operation was so punishable;</w:t>
      </w:r>
    </w:p>
    <w:p>
      <w:pPr>
        <w:keepNext w:val="0"/>
        <w:spacing w:before="240" w:after="0" w:line="240" w:lineRule="atLeast"/>
        <w:ind w:left="400" w:right="0" w:firstLine="0"/>
        <w:jc w:val="both"/>
      </w:pPr>
      <w:bookmarkStart w:id="60" w:name="Bookmark_para_13"/>
      <w:bookmarkEnd w:id="60"/>
      <w:r>
        <w:rPr>
          <w:rFonts w:ascii="arial" w:eastAsia="arial" w:hAnsi="arial" w:cs="arial"/>
          <w:b w:val="0"/>
          <w:i w:val="0"/>
          <w:strike w:val="0"/>
          <w:noProof w:val="0"/>
          <w:color w:val="000000"/>
          <w:position w:val="0"/>
          <w:sz w:val="18"/>
          <w:u w:val="none"/>
          <w:vertAlign w:val="baseline"/>
        </w:rPr>
        <w:t xml:space="preserve">(B) fails to comply with the money transmitting business registration requirements under </w:t>
      </w:r>
      <w:hyperlink r:id="rId1" w:history="1">
        <w:r>
          <w:rPr>
            <w:rFonts w:ascii="arial" w:eastAsia="arial" w:hAnsi="arial" w:cs="arial"/>
            <w:b w:val="0"/>
            <w:i/>
            <w:strike w:val="0"/>
            <w:noProof w:val="0"/>
            <w:color w:val="0077CC"/>
            <w:position w:val="0"/>
            <w:sz w:val="18"/>
            <w:u w:val="single"/>
            <w:vertAlign w:val="baseline"/>
          </w:rPr>
          <w:t>section 5330 of title 31, United States Code</w:t>
        </w:r>
      </w:hyperlink>
      <w:r>
        <w:rPr>
          <w:rFonts w:ascii="arial" w:eastAsia="arial" w:hAnsi="arial" w:cs="arial"/>
          <w:b w:val="0"/>
          <w:i w:val="0"/>
          <w:strike w:val="0"/>
          <w:noProof w:val="0"/>
          <w:color w:val="000000"/>
          <w:position w:val="0"/>
          <w:sz w:val="18"/>
          <w:u w:val="none"/>
          <w:vertAlign w:val="baseline"/>
        </w:rPr>
        <w:t>, or regulations prescribed under such section; or</w:t>
      </w:r>
    </w:p>
    <w:p>
      <w:pPr>
        <w:keepNext w:val="0"/>
        <w:spacing w:before="120" w:after="0" w:line="240" w:lineRule="atLeast"/>
        <w:ind w:left="400" w:right="0" w:firstLine="0"/>
        <w:jc w:val="both"/>
      </w:pPr>
      <w:bookmarkStart w:id="61" w:name="Bookmark_para_14"/>
      <w:bookmarkEnd w:id="61"/>
      <w:r>
        <w:rPr>
          <w:rFonts w:ascii="arial" w:eastAsia="arial" w:hAnsi="arial" w:cs="arial"/>
          <w:b w:val="0"/>
          <w:i w:val="0"/>
          <w:strike w:val="0"/>
          <w:noProof w:val="0"/>
          <w:color w:val="000000"/>
          <w:position w:val="0"/>
          <w:sz w:val="18"/>
          <w:u w:val="none"/>
          <w:vertAlign w:val="baseline"/>
        </w:rPr>
        <w:t>(C) otherwise involves the transportation or transmission of funds that are known to the defendant to have been derived from a criminal offense or are intended to be used to promote or support unlawful activity.</w:t>
      </w:r>
    </w:p>
    <w:p>
      <w:pPr>
        <w:keepNext w:val="0"/>
        <w:spacing w:before="240" w:after="0" w:line="240" w:lineRule="atLeast"/>
        <w:ind w:left="0" w:right="0" w:firstLine="0"/>
        <w:jc w:val="both"/>
      </w:pPr>
      <w:hyperlink r:id="rId2" w:history="1">
        <w:r>
          <w:rPr>
            <w:rFonts w:ascii="arial" w:eastAsia="arial" w:hAnsi="arial" w:cs="arial"/>
            <w:b w:val="0"/>
            <w:i/>
            <w:strike w:val="0"/>
            <w:color w:val="0077CC"/>
            <w:sz w:val="18"/>
            <w:u w:val="single"/>
            <w:vertAlign w:val="baseline"/>
          </w:rPr>
          <w:t>18 U.S.C. § 1960(b)(1)</w:t>
        </w:r>
      </w:hyperlink>
      <w:r>
        <w:rPr>
          <w:rFonts w:ascii="arial" w:eastAsia="arial" w:hAnsi="arial" w:cs="arial"/>
          <w:b w:val="0"/>
          <w:i w:val="0"/>
          <w:strike w:val="0"/>
          <w:noProof w:val="0"/>
          <w:color w:val="000000"/>
          <w:position w:val="0"/>
          <w:sz w:val="18"/>
          <w:u w:val="none"/>
          <w:vertAlign w:val="baseline"/>
        </w:rPr>
        <w:t xml:space="preserve">. "Money transmitting" is defined as "transferring funds on behalf of the public by any and all means including but not limited to transfers within this country or to locations abroad by wire, check, draft, facsimile, or courier[.]"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 1960(b)(2)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2" w:name="Bookmark_fnpara_2"/>
      <w:bookmarkEnd w:id="62"/>
      <w:r>
        <w:rPr>
          <w:rFonts w:ascii="arial" w:eastAsia="arial" w:hAnsi="arial" w:cs="arial"/>
          <w:b w:val="0"/>
          <w:i w:val="0"/>
          <w:strike w:val="0"/>
          <w:noProof w:val="0"/>
          <w:color w:val="000000"/>
          <w:position w:val="0"/>
          <w:sz w:val="18"/>
          <w:u w:val="none"/>
          <w:vertAlign w:val="baseline"/>
        </w:rPr>
        <w:t xml:space="preserve">The court notes that this is an unusual case. Typically, the Government reserves </w:t>
      </w:r>
      <w:hyperlink r:id="rId2" w:history="1">
        <w:r>
          <w:rPr>
            <w:rFonts w:ascii="arial" w:eastAsia="arial" w:hAnsi="arial" w:cs="arial"/>
            <w:b w:val="0"/>
            <w:i/>
            <w:strike w:val="0"/>
            <w:noProof w:val="0"/>
            <w:color w:val="0077CC"/>
            <w:position w:val="0"/>
            <w:sz w:val="18"/>
            <w:u w:val="single"/>
            <w:vertAlign w:val="baseline"/>
          </w:rPr>
          <w:t>§ 1960</w:t>
        </w:r>
      </w:hyperlink>
      <w:r>
        <w:rPr>
          <w:rFonts w:ascii="arial" w:eastAsia="arial" w:hAnsi="arial" w:cs="arial"/>
          <w:b w:val="0"/>
          <w:i w:val="0"/>
          <w:strike w:val="0"/>
          <w:noProof w:val="0"/>
          <w:color w:val="000000"/>
          <w:position w:val="0"/>
          <w:sz w:val="18"/>
          <w:u w:val="none"/>
          <w:vertAlign w:val="baseline"/>
        </w:rPr>
        <w:t xml:space="preserve"> charges for "non-bank financial institutions like wire remitters and currency exchangers." </w:t>
      </w:r>
      <w:bookmarkStart w:id="63" w:name="Bookmark_I69B1W202D6NT00050000400"/>
      <w:bookmarkEnd w:id="63"/>
      <w:hyperlink r:id="rId3" w:history="1">
        <w:r>
          <w:rPr>
            <w:rFonts w:ascii="arial" w:eastAsia="arial" w:hAnsi="arial" w:cs="arial"/>
            <w:b w:val="0"/>
            <w:i/>
            <w:strike w:val="0"/>
            <w:noProof w:val="0"/>
            <w:color w:val="0077CC"/>
            <w:position w:val="0"/>
            <w:sz w:val="18"/>
            <w:u w:val="single"/>
            <w:vertAlign w:val="baseline"/>
          </w:rPr>
          <w:t>United States v. $215,587.22 in United States Currency</w:t>
        </w:r>
      </w:hyperlink>
      <w:hyperlink r:id="rId3" w:history="1">
        <w:r>
          <w:rPr>
            <w:rFonts w:ascii="arial" w:eastAsia="arial" w:hAnsi="arial" w:cs="arial"/>
            <w:b w:val="0"/>
            <w:i/>
            <w:strike w:val="0"/>
            <w:noProof w:val="0"/>
            <w:color w:val="0077CC"/>
            <w:position w:val="0"/>
            <w:sz w:val="18"/>
            <w:u w:val="single"/>
            <w:vertAlign w:val="baseline"/>
          </w:rPr>
          <w:t>, 306 F. Supp.3d 213, 215 (D.D.C. 2018)</w:t>
        </w:r>
      </w:hyperlink>
      <w:r>
        <w:rPr>
          <w:rFonts w:ascii="arial" w:eastAsia="arial" w:hAnsi="arial" w:cs="arial"/>
          <w:b w:val="0"/>
          <w:i w:val="0"/>
          <w:strike w:val="0"/>
          <w:noProof w:val="0"/>
          <w:color w:val="000000"/>
          <w:position w:val="0"/>
          <w:sz w:val="18"/>
          <w:u w:val="none"/>
          <w:vertAlign w:val="baseline"/>
        </w:rPr>
        <w:t xml:space="preserve"> ("Rarely, if ever, have they been applied to ostensible nonfinancial professional-services firms that also transfer funds for clients.").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4" w:name="Bookmark_fnpara_3"/>
      <w:bookmarkEnd w:id="64"/>
      <w:r>
        <w:rPr>
          <w:rFonts w:ascii="arial" w:eastAsia="arial" w:hAnsi="arial" w:cs="arial"/>
          <w:b w:val="0"/>
          <w:i w:val="0"/>
          <w:strike w:val="0"/>
          <w:noProof w:val="0"/>
          <w:color w:val="000000"/>
          <w:position w:val="0"/>
          <w:sz w:val="18"/>
          <w:u w:val="none"/>
          <w:vertAlign w:val="baseline"/>
        </w:rPr>
        <w:t xml:space="preserve">"Whoever commits an offense against the United States or aids, abets, counsels, commands, induces or procures its commission, is punishable as a principal." </w:t>
      </w:r>
      <w:hyperlink r:id="rId4" w:history="1">
        <w:r>
          <w:rPr>
            <w:rFonts w:ascii="arial" w:eastAsia="arial" w:hAnsi="arial" w:cs="arial"/>
            <w:b w:val="0"/>
            <w:i/>
            <w:strike w:val="0"/>
            <w:noProof w:val="0"/>
            <w:color w:val="0077CC"/>
            <w:position w:val="0"/>
            <w:sz w:val="18"/>
            <w:u w:val="single"/>
            <w:vertAlign w:val="baseline"/>
          </w:rPr>
          <w:t>18 U.S.C. § 2(a)</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8" w:name="Bookmark_fnpara_4"/>
      <w:bookmarkEnd w:id="68"/>
      <w:bookmarkStart w:id="69" w:name="Bookmark_I69B1W2028T4XY0050000400"/>
      <w:bookmarkEnd w:id="69"/>
      <w:r>
        <w:rPr>
          <w:rFonts w:ascii="arial" w:eastAsia="arial" w:hAnsi="arial" w:cs="arial"/>
          <w:b w:val="0"/>
          <w:i w:val="0"/>
          <w:strike w:val="0"/>
          <w:noProof w:val="0"/>
          <w:color w:val="000000"/>
          <w:position w:val="0"/>
          <w:sz w:val="18"/>
          <w:u w:val="none"/>
          <w:vertAlign w:val="baseline"/>
        </w:rPr>
        <w:t xml:space="preserve">This is, in fairness, a plain language reading of the statute that considers where Mr. Uchendu acted in a culpable manner. </w:t>
      </w:r>
      <w:bookmarkStart w:id="70" w:name="Bookmark_I69B1W202D6NT30020000400"/>
      <w:bookmarkEnd w:id="70"/>
      <w:bookmarkStart w:id="71" w:name="Bookmark_I69B1W2028T4XY0040000400"/>
      <w:bookmarkEnd w:id="71"/>
      <w:hyperlink r:id="rId5" w:history="1">
        <w:r>
          <w:rPr>
            <w:rFonts w:ascii="arial" w:eastAsia="arial" w:hAnsi="arial" w:cs="arial"/>
            <w:b w:val="0"/>
            <w:i/>
            <w:strike w:val="0"/>
            <w:noProof w:val="0"/>
            <w:color w:val="0077CC"/>
            <w:position w:val="0"/>
            <w:sz w:val="18"/>
            <w:u w:val="single"/>
            <w:vertAlign w:val="baseline"/>
          </w:rPr>
          <w:t>Cabrales</w:t>
        </w:r>
      </w:hyperlink>
      <w:hyperlink r:id="rId5" w:history="1">
        <w:r>
          <w:rPr>
            <w:rFonts w:ascii="arial" w:eastAsia="arial" w:hAnsi="arial" w:cs="arial"/>
            <w:b w:val="0"/>
            <w:i/>
            <w:strike w:val="0"/>
            <w:noProof w:val="0"/>
            <w:color w:val="0077CC"/>
            <w:position w:val="0"/>
            <w:sz w:val="18"/>
            <w:u w:val="single"/>
            <w:vertAlign w:val="baseline"/>
          </w:rPr>
          <w:t>, 524 U.S. at 5</w:t>
        </w:r>
      </w:hyperlink>
      <w:r>
        <w:rPr>
          <w:rFonts w:ascii="arial" w:eastAsia="arial" w:hAnsi="arial" w:cs="arial"/>
          <w:b w:val="0"/>
          <w:i w:val="0"/>
          <w:strike w:val="0"/>
          <w:noProof w:val="0"/>
          <w:color w:val="000000"/>
          <w:position w:val="0"/>
          <w:sz w:val="18"/>
          <w:u w:val="none"/>
          <w:vertAlign w:val="baseline"/>
        </w:rPr>
        <w:t xml:space="preserve">. That is, those things that he did in violation of </w:t>
      </w:r>
      <w:hyperlink r:id="rId2" w:history="1">
        <w:r>
          <w:rPr>
            <w:rFonts w:ascii="arial" w:eastAsia="arial" w:hAnsi="arial" w:cs="arial"/>
            <w:b w:val="0"/>
            <w:i/>
            <w:strike w:val="0"/>
            <w:noProof w:val="0"/>
            <w:color w:val="0077CC"/>
            <w:position w:val="0"/>
            <w:sz w:val="18"/>
            <w:u w:val="single"/>
            <w:vertAlign w:val="baseline"/>
          </w:rPr>
          <w:t>18 U.S.C. § 1960</w:t>
        </w:r>
      </w:hyperlink>
      <w:r>
        <w:rPr>
          <w:rFonts w:ascii="arial" w:eastAsia="arial" w:hAnsi="arial" w:cs="arial"/>
          <w:b w:val="0"/>
          <w:i w:val="0"/>
          <w:strike w:val="0"/>
          <w:noProof w:val="0"/>
          <w:color w:val="000000"/>
          <w:position w:val="0"/>
          <w:sz w:val="18"/>
          <w:u w:val="none"/>
          <w:vertAlign w:val="baseline"/>
        </w:rPr>
        <w:t xml:space="preserve">, he did in Georgia. </w:t>
      </w:r>
      <w:bookmarkStart w:id="72" w:name="Bookmark_I69B1W202D6NT30020000400_2"/>
      <w:bookmarkEnd w:id="72"/>
      <w:r>
        <w:rPr>
          <w:rFonts w:ascii="arial" w:eastAsia="arial" w:hAnsi="arial" w:cs="arial"/>
          <w:b w:val="0"/>
          <w:i w:val="0"/>
          <w:strike w:val="0"/>
          <w:noProof w:val="0"/>
          <w:color w:val="000000"/>
          <w:position w:val="0"/>
          <w:sz w:val="18"/>
          <w:u w:val="none"/>
          <w:vertAlign w:val="baseline"/>
        </w:rPr>
        <w:t xml:space="preserve">It is also consonant with </w:t>
      </w:r>
      <w:bookmarkStart w:id="73" w:name="Bookmark_I69B1W202D6NT30020000400_3"/>
      <w:bookmarkEnd w:id="73"/>
      <w:bookmarkStart w:id="74" w:name="Bookmark_I69B1W202D6NT30010000400"/>
      <w:bookmarkEnd w:id="74"/>
      <w:hyperlink r:id="rId6" w:history="1">
        <w:r>
          <w:rPr>
            <w:rFonts w:ascii="arial" w:eastAsia="arial" w:hAnsi="arial" w:cs="arial"/>
            <w:b w:val="0"/>
            <w:i/>
            <w:strike w:val="0"/>
            <w:noProof w:val="0"/>
            <w:color w:val="0077CC"/>
            <w:position w:val="0"/>
            <w:sz w:val="18"/>
            <w:u w:val="single"/>
            <w:vertAlign w:val="baseline"/>
          </w:rPr>
          <w:t>Johnson</w:t>
        </w:r>
      </w:hyperlink>
      <w:r>
        <w:rPr>
          <w:rFonts w:ascii="arial" w:eastAsia="arial" w:hAnsi="arial" w:cs="arial"/>
          <w:b w:val="0"/>
          <w:i w:val="0"/>
          <w:strike w:val="0"/>
          <w:noProof w:val="0"/>
          <w:color w:val="000000"/>
          <w:position w:val="0"/>
          <w:sz w:val="18"/>
          <w:u w:val="none"/>
          <w:vertAlign w:val="baseline"/>
        </w:rPr>
        <w:t xml:space="preserve"> and federal courts' general prerogative not to over-read venue and therefore to closely police the constitutional mandate of the </w:t>
      </w:r>
      <w:hyperlink r:id="rId7"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8" w:name="Bookmark_fnpara_5"/>
      <w:bookmarkEnd w:id="78"/>
      <w:bookmarkStart w:id="79" w:name="Bookmark_I69B1W212SF7XP0010000400"/>
      <w:bookmarkEnd w:id="79"/>
      <w:r>
        <w:rPr>
          <w:rFonts w:ascii="arial" w:eastAsia="arial" w:hAnsi="arial" w:cs="arial"/>
          <w:b w:val="0"/>
          <w:i w:val="0"/>
          <w:strike w:val="0"/>
          <w:noProof w:val="0"/>
          <w:color w:val="000000"/>
          <w:position w:val="0"/>
          <w:sz w:val="18"/>
          <w:u w:val="none"/>
          <w:vertAlign w:val="baseline"/>
        </w:rPr>
        <w:t xml:space="preserve">But this is not to say that the two aren't, at times, mutually relevant. </w:t>
      </w:r>
      <w:bookmarkStart w:id="80" w:name="Bookmark_I69B1W212HM6GP0020000400"/>
      <w:bookmarkEnd w:id="80"/>
      <w:r>
        <w:rPr>
          <w:rFonts w:ascii="arial" w:eastAsia="arial" w:hAnsi="arial" w:cs="arial"/>
          <w:b w:val="0"/>
          <w:i w:val="0"/>
          <w:strike w:val="0"/>
          <w:noProof w:val="0"/>
          <w:color w:val="000000"/>
          <w:position w:val="0"/>
          <w:sz w:val="18"/>
          <w:u w:val="none"/>
          <w:vertAlign w:val="baseline"/>
        </w:rPr>
        <w:t xml:space="preserve">While statute-of-limitations analysis under the continuing-offense doctrine is clearly "not dispositive" in venue determinations, </w:t>
      </w:r>
      <w:bookmarkStart w:id="81" w:name="Bookmark_I69B1W202D6NT30050000400"/>
      <w:bookmarkEnd w:id="81"/>
      <w:hyperlink r:id="rId8" w:history="1">
        <w:r>
          <w:rPr>
            <w:rFonts w:ascii="arial" w:eastAsia="arial" w:hAnsi="arial" w:cs="arial"/>
            <w:b w:val="0"/>
            <w:i/>
            <w:strike w:val="0"/>
            <w:noProof w:val="0"/>
            <w:color w:val="0077CC"/>
            <w:position w:val="0"/>
            <w:sz w:val="18"/>
            <w:u w:val="single"/>
            <w:vertAlign w:val="baseline"/>
          </w:rPr>
          <w:t>Reitmeyer</w:t>
        </w:r>
      </w:hyperlink>
      <w:hyperlink r:id="rId8" w:history="1">
        <w:r>
          <w:rPr>
            <w:rFonts w:ascii="arial" w:eastAsia="arial" w:hAnsi="arial" w:cs="arial"/>
            <w:b w:val="0"/>
            <w:i/>
            <w:strike w:val="0"/>
            <w:noProof w:val="0"/>
            <w:color w:val="0077CC"/>
            <w:position w:val="0"/>
            <w:sz w:val="18"/>
            <w:u w:val="single"/>
            <w:vertAlign w:val="baseline"/>
          </w:rPr>
          <w:t>, 356 F.3d at 1324</w:t>
        </w:r>
      </w:hyperlink>
      <w:r>
        <w:rPr>
          <w:rFonts w:ascii="arial" w:eastAsia="arial" w:hAnsi="arial" w:cs="arial"/>
          <w:b w:val="0"/>
          <w:i w:val="0"/>
          <w:strike w:val="0"/>
          <w:noProof w:val="0"/>
          <w:color w:val="000000"/>
          <w:position w:val="0"/>
          <w:sz w:val="18"/>
          <w:u w:val="none"/>
          <w:vertAlign w:val="baseline"/>
        </w:rPr>
        <w:t xml:space="preserve">, "these cases cannot be entirely ignored." </w:t>
      </w:r>
      <w:bookmarkStart w:id="82" w:name="Bookmark_I69B1W212SF7XP0020000400"/>
      <w:bookmarkEnd w:id="82"/>
      <w:hyperlink r:id="rId9" w:history="1">
        <w:r>
          <w:rPr>
            <w:rFonts w:ascii="arial" w:eastAsia="arial" w:hAnsi="arial" w:cs="arial"/>
            <w:b w:val="0"/>
            <w:i/>
            <w:strike w:val="0"/>
            <w:noProof w:val="0"/>
            <w:color w:val="0077CC"/>
            <w:position w:val="0"/>
            <w:sz w:val="18"/>
            <w:u w:val="single"/>
            <w:vertAlign w:val="baseline"/>
          </w:rPr>
          <w:t>United States v. Dunne</w:t>
        </w:r>
      </w:hyperlink>
      <w:hyperlink r:id="rId9" w:history="1">
        <w:r>
          <w:rPr>
            <w:rFonts w:ascii="arial" w:eastAsia="arial" w:hAnsi="arial" w:cs="arial"/>
            <w:b w:val="0"/>
            <w:i/>
            <w:strike w:val="0"/>
            <w:noProof w:val="0"/>
            <w:color w:val="0077CC"/>
            <w:position w:val="0"/>
            <w:sz w:val="18"/>
            <w:u w:val="single"/>
            <w:vertAlign w:val="baseline"/>
          </w:rPr>
          <w:t>, 324 F.3d 1158, 1166 (10th Cir. 2003)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bookmarkStart w:id="83" w:name="Bookmark_I69B1W212SF7XP0040000400"/>
      <w:bookmarkEnd w:id="83"/>
      <w:hyperlink r:id="rId10" w:history="1">
        <w:r>
          <w:rPr>
            <w:rFonts w:ascii="arial" w:eastAsia="arial" w:hAnsi="arial" w:cs="arial"/>
            <w:b w:val="0"/>
            <w:i/>
            <w:strike w:val="0"/>
            <w:noProof w:val="0"/>
            <w:color w:val="0077CC"/>
            <w:position w:val="0"/>
            <w:sz w:val="18"/>
            <w:u w:val="single"/>
            <w:vertAlign w:val="baseline"/>
          </w:rPr>
          <w:t>Toussie v. United States</w:t>
        </w:r>
      </w:hyperlink>
      <w:hyperlink r:id="rId10" w:history="1">
        <w:r>
          <w:rPr>
            <w:rFonts w:ascii="arial" w:eastAsia="arial" w:hAnsi="arial" w:cs="arial"/>
            <w:b w:val="0"/>
            <w:i/>
            <w:strike w:val="0"/>
            <w:noProof w:val="0"/>
            <w:color w:val="0077CC"/>
            <w:position w:val="0"/>
            <w:sz w:val="18"/>
            <w:u w:val="single"/>
            <w:vertAlign w:val="baseline"/>
          </w:rPr>
          <w:t>, 397 U.S. 112, 120 n.16, 90 S. Ct. 858, 25 L. Ed. 2d 156 (1970)</w:t>
        </w:r>
      </w:hyperlink>
      <w:r>
        <w:rPr>
          <w:rFonts w:ascii="arial" w:eastAsia="arial" w:hAnsi="arial" w:cs="arial"/>
          <w:b w:val="0"/>
          <w:i w:val="0"/>
          <w:strike w:val="0"/>
          <w:noProof w:val="0"/>
          <w:color w:val="000000"/>
          <w:position w:val="0"/>
          <w:sz w:val="18"/>
          <w:u w:val="none"/>
          <w:vertAlign w:val="baseline"/>
        </w:rPr>
        <w:t xml:space="preserve"> (considering briefly how venue determinations under the continuing-offense doctrine may differ from the statute of limitations analysis otherwise provided in that opinion). In some cases, identifying continuing offenses for venue purposes versus statute-of-limitations purposes is simple—for example, where </w:t>
      </w:r>
      <w:hyperlink r:id="rId11" w:history="1">
        <w:r>
          <w:rPr>
            <w:rFonts w:ascii="arial" w:eastAsia="arial" w:hAnsi="arial" w:cs="arial"/>
            <w:b w:val="0"/>
            <w:i/>
            <w:strike w:val="0"/>
            <w:noProof w:val="0"/>
            <w:color w:val="0077CC"/>
            <w:position w:val="0"/>
            <w:sz w:val="18"/>
            <w:u w:val="single"/>
            <w:vertAlign w:val="baseline"/>
          </w:rPr>
          <w:t>18 U.S.C. § 3237(a)</w:t>
        </w:r>
      </w:hyperlink>
      <w:r>
        <w:rPr>
          <w:rFonts w:ascii="arial" w:eastAsia="arial" w:hAnsi="arial" w:cs="arial"/>
          <w:b w:val="0"/>
          <w:i w:val="0"/>
          <w:strike w:val="0"/>
          <w:noProof w:val="0"/>
          <w:color w:val="000000"/>
          <w:position w:val="0"/>
          <w:sz w:val="18"/>
          <w:u w:val="none"/>
          <w:vertAlign w:val="baseline"/>
        </w:rPr>
        <w:t xml:space="preserve"> provides that "the use of the mails" is a continuing offense for venue purposes, the Tenth Circuit held that it was not necessarily a continuing offense for statute of limitations purposes. </w:t>
      </w:r>
      <w:bookmarkStart w:id="84" w:name="Bookmark_I69B1W212HM6GP0020000400_2"/>
      <w:bookmarkEnd w:id="84"/>
      <w:r>
        <w:rPr>
          <w:rFonts w:ascii="arial" w:eastAsia="arial" w:hAnsi="arial" w:cs="arial"/>
          <w:b w:val="0"/>
          <w:i/>
          <w:strike w:val="0"/>
          <w:noProof w:val="0"/>
          <w:color w:val="000000"/>
          <w:position w:val="0"/>
          <w:sz w:val="18"/>
          <w:u w:val="none"/>
          <w:vertAlign w:val="baseline"/>
        </w:rPr>
        <w:t xml:space="preserve">See </w:t>
      </w:r>
      <w:bookmarkStart w:id="85" w:name="Bookmark_I69B1W212HM6GP0010000400"/>
      <w:bookmarkEnd w:id="85"/>
      <w:hyperlink r:id="rId8" w:history="1">
        <w:r>
          <w:rPr>
            <w:rFonts w:ascii="arial" w:eastAsia="arial" w:hAnsi="arial" w:cs="arial"/>
            <w:b w:val="0"/>
            <w:i/>
            <w:strike w:val="0"/>
            <w:noProof w:val="0"/>
            <w:color w:val="0077CC"/>
            <w:position w:val="0"/>
            <w:sz w:val="18"/>
            <w:u w:val="single"/>
            <w:vertAlign w:val="baseline"/>
          </w:rPr>
          <w:t>Reitmeyer</w:t>
        </w:r>
      </w:hyperlink>
      <w:hyperlink r:id="rId8" w:history="1">
        <w:r>
          <w:rPr>
            <w:rFonts w:ascii="arial" w:eastAsia="arial" w:hAnsi="arial" w:cs="arial"/>
            <w:b w:val="0"/>
            <w:i/>
            <w:strike w:val="0"/>
            <w:noProof w:val="0"/>
            <w:color w:val="0077CC"/>
            <w:position w:val="0"/>
            <w:sz w:val="18"/>
            <w:u w:val="single"/>
            <w:vertAlign w:val="baseline"/>
          </w:rPr>
          <w:t>, 356 F.3d at 1323</w:t>
        </w:r>
      </w:hyperlink>
      <w:r>
        <w:rPr>
          <w:rFonts w:ascii="arial" w:eastAsia="arial" w:hAnsi="arial" w:cs="arial"/>
          <w:b w:val="0"/>
          <w:i w:val="0"/>
          <w:strike w:val="0"/>
          <w:noProof w:val="0"/>
          <w:color w:val="000000"/>
          <w:position w:val="0"/>
          <w:sz w:val="18"/>
          <w:u w:val="none"/>
          <w:vertAlign w:val="baseline"/>
        </w:rPr>
        <w:t>. In this case, the court concludes that the thrust of the government's argument regarding the continuing offense doctrine is inapposite as to venue.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2" w:name="Bookmark_fnpara_6"/>
      <w:bookmarkEnd w:id="92"/>
      <w:bookmarkStart w:id="93" w:name="Bookmark_I69B1W2128T4Y70050000400"/>
      <w:bookmarkEnd w:id="93"/>
      <w:r>
        <w:rPr>
          <w:rFonts w:ascii="arial" w:eastAsia="arial" w:hAnsi="arial" w:cs="arial"/>
          <w:b w:val="0"/>
          <w:i w:val="0"/>
          <w:strike w:val="0"/>
          <w:noProof w:val="0"/>
          <w:color w:val="000000"/>
          <w:position w:val="0"/>
          <w:sz w:val="18"/>
          <w:u w:val="none"/>
          <w:vertAlign w:val="baseline"/>
        </w:rPr>
        <w:t xml:space="preserve">However, to the government's advantage, because this court hesitates to blur the line between the continuing-offense doctrine for statute-of-limitations and venue purposes, it declines to apply the clear statement rule otherwise at play in statute-of-limitations continuing-offense analysis. In </w:t>
      </w:r>
      <w:bookmarkStart w:id="94" w:name="Bookmark_I69B1W2128T4Y70040000400"/>
      <w:bookmarkEnd w:id="94"/>
      <w:hyperlink r:id="rId8" w:history="1">
        <w:r>
          <w:rPr>
            <w:rFonts w:ascii="arial" w:eastAsia="arial" w:hAnsi="arial" w:cs="arial"/>
            <w:b w:val="0"/>
            <w:i/>
            <w:strike w:val="0"/>
            <w:noProof w:val="0"/>
            <w:color w:val="0077CC"/>
            <w:position w:val="0"/>
            <w:sz w:val="18"/>
            <w:u w:val="single"/>
            <w:vertAlign w:val="baseline"/>
          </w:rPr>
          <w:t>Reitmeyer</w:t>
        </w:r>
      </w:hyperlink>
      <w:r>
        <w:rPr>
          <w:rFonts w:ascii="arial" w:eastAsia="arial" w:hAnsi="arial" w:cs="arial"/>
          <w:b w:val="0"/>
          <w:i w:val="0"/>
          <w:strike w:val="0"/>
          <w:noProof w:val="0"/>
          <w:color w:val="000000"/>
          <w:position w:val="0"/>
          <w:sz w:val="18"/>
          <w:u w:val="none"/>
          <w:vertAlign w:val="baseline"/>
        </w:rPr>
        <w:t xml:space="preserve">, for example, the Tenth Circuit demanded particularly explicit language in the terms of the statute to support a finding that the offense in question was a continuing offense for timeliness purposes—the </w:t>
      </w:r>
      <w:bookmarkStart w:id="95" w:name="Bookmark_I69B1W2128T4Y70050000400_2"/>
      <w:bookmarkEnd w:id="95"/>
      <w:bookmarkStart w:id="96" w:name="Bookmark_I69B1W212D6NTC0010000400"/>
      <w:bookmarkEnd w:id="96"/>
      <w:hyperlink r:id="rId8" w:history="1">
        <w:r>
          <w:rPr>
            <w:rFonts w:ascii="arial" w:eastAsia="arial" w:hAnsi="arial" w:cs="arial"/>
            <w:b w:val="0"/>
            <w:i/>
            <w:strike w:val="0"/>
            <w:noProof w:val="0"/>
            <w:color w:val="0077CC"/>
            <w:position w:val="0"/>
            <w:sz w:val="18"/>
            <w:u w:val="single"/>
            <w:vertAlign w:val="baseline"/>
          </w:rPr>
          <w:t>Reitmeyer</w:t>
        </w:r>
      </w:hyperlink>
      <w:r>
        <w:rPr>
          <w:rFonts w:ascii="arial" w:eastAsia="arial" w:hAnsi="arial" w:cs="arial"/>
          <w:b w:val="0"/>
          <w:i w:val="0"/>
          <w:strike w:val="0"/>
          <w:noProof w:val="0"/>
          <w:color w:val="000000"/>
          <w:position w:val="0"/>
          <w:sz w:val="18"/>
          <w:u w:val="none"/>
          <w:vertAlign w:val="baseline"/>
        </w:rPr>
        <w:t xml:space="preserve"> court looked to the "explicit language" of the statute and concluded that "[i]f Congress intended the execution of a scheme to be a continuing offense, it could have clearly stated so." </w:t>
      </w:r>
      <w:bookmarkStart w:id="97" w:name="Bookmark_I69B1W212D6NTC0030000400"/>
      <w:bookmarkEnd w:id="97"/>
      <w:hyperlink r:id="rId8" w:history="1">
        <w:r>
          <w:rPr>
            <w:rFonts w:ascii="arial" w:eastAsia="arial" w:hAnsi="arial" w:cs="arial"/>
            <w:b w:val="0"/>
            <w:i/>
            <w:strike w:val="0"/>
            <w:noProof w:val="0"/>
            <w:color w:val="0077CC"/>
            <w:position w:val="0"/>
            <w:sz w:val="18"/>
            <w:u w:val="single"/>
            <w:vertAlign w:val="baseline"/>
          </w:rPr>
          <w:t>Reitmeyer</w:t>
        </w:r>
      </w:hyperlink>
      <w:hyperlink r:id="rId8" w:history="1">
        <w:r>
          <w:rPr>
            <w:rFonts w:ascii="arial" w:eastAsia="arial" w:hAnsi="arial" w:cs="arial"/>
            <w:b w:val="0"/>
            <w:i/>
            <w:strike w:val="0"/>
            <w:noProof w:val="0"/>
            <w:color w:val="0077CC"/>
            <w:position w:val="0"/>
            <w:sz w:val="18"/>
            <w:u w:val="single"/>
            <w:vertAlign w:val="baseline"/>
          </w:rPr>
          <w:t>, 356 F.3d at 1322</w:t>
        </w:r>
      </w:hyperlink>
      <w:r>
        <w:rPr>
          <w:rFonts w:ascii="arial" w:eastAsia="arial" w:hAnsi="arial" w:cs="arial"/>
          <w:b w:val="0"/>
          <w:i w:val="0"/>
          <w:strike w:val="0"/>
          <w:noProof w:val="0"/>
          <w:color w:val="000000"/>
          <w:position w:val="0"/>
          <w:sz w:val="18"/>
          <w:u w:val="none"/>
          <w:vertAlign w:val="baseline"/>
        </w:rPr>
        <w:t xml:space="preserve"> (citing </w:t>
      </w:r>
      <w:bookmarkStart w:id="98" w:name="Bookmark_I69B1W212D6NTC0050000400"/>
      <w:bookmarkEnd w:id="98"/>
      <w:hyperlink r:id="rId9" w:history="1">
        <w:r>
          <w:rPr>
            <w:rFonts w:ascii="arial" w:eastAsia="arial" w:hAnsi="arial" w:cs="arial"/>
            <w:b w:val="0"/>
            <w:i/>
            <w:strike w:val="0"/>
            <w:noProof w:val="0"/>
            <w:color w:val="0077CC"/>
            <w:position w:val="0"/>
            <w:sz w:val="18"/>
            <w:u w:val="single"/>
            <w:vertAlign w:val="baseline"/>
          </w:rPr>
          <w:t>United States v. Dunne</w:t>
        </w:r>
      </w:hyperlink>
      <w:hyperlink r:id="rId9" w:history="1">
        <w:r>
          <w:rPr>
            <w:rFonts w:ascii="arial" w:eastAsia="arial" w:hAnsi="arial" w:cs="arial"/>
            <w:b w:val="0"/>
            <w:i/>
            <w:strike w:val="0"/>
            <w:noProof w:val="0"/>
            <w:color w:val="0077CC"/>
            <w:position w:val="0"/>
            <w:sz w:val="18"/>
            <w:u w:val="single"/>
            <w:vertAlign w:val="baseline"/>
          </w:rPr>
          <w:t>, 324 F.3d 1158, 1164 (10th Cir. 2003)</w:t>
        </w:r>
      </w:hyperlink>
      <w:r>
        <w:rPr>
          <w:rFonts w:ascii="arial" w:eastAsia="arial" w:hAnsi="arial" w:cs="arial"/>
          <w:b w:val="0"/>
          <w:i w:val="0"/>
          <w:strike w:val="0"/>
          <w:noProof w:val="0"/>
          <w:color w:val="000000"/>
          <w:position w:val="0"/>
          <w:sz w:val="18"/>
          <w:u w:val="none"/>
          <w:vertAlign w:val="baseline"/>
        </w:rPr>
        <w:t>) (cleaned up).</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1" w:name="Bookmark_fnpara_7"/>
      <w:bookmarkEnd w:id="101"/>
      <w:hyperlink r:id="rId11" w:history="1">
        <w:r>
          <w:rPr>
            <w:rFonts w:ascii="arial" w:eastAsia="arial" w:hAnsi="arial" w:cs="arial"/>
            <w:b w:val="0"/>
            <w:i/>
            <w:strike w:val="0"/>
            <w:noProof w:val="0"/>
            <w:color w:val="0077CC"/>
            <w:position w:val="0"/>
            <w:sz w:val="18"/>
            <w:u w:val="single"/>
            <w:vertAlign w:val="baseline"/>
          </w:rPr>
          <w:t>18 U.S.C. § 3237(a)</w:t>
        </w:r>
      </w:hyperlink>
      <w:r>
        <w:rPr>
          <w:rFonts w:ascii="arial" w:eastAsia="arial" w:hAnsi="arial" w:cs="arial"/>
          <w:b w:val="0"/>
          <w:i w:val="0"/>
          <w:strike w:val="0"/>
          <w:noProof w:val="0"/>
          <w:color w:val="000000"/>
          <w:position w:val="0"/>
          <w:sz w:val="18"/>
          <w:u w:val="none"/>
          <w:vertAlign w:val="baseline"/>
        </w:rPr>
        <w:t xml:space="preserve"> continues: "Any offense involving the use of the mails, transportation in interstate or foreign commerce, or the importation of an object or person into the United States is a continuing offense and, except as otherwise expressly provided by enactment of Congress, may be inquired of and prosecuted in any district from, through, or into which such commerce, mail matter, or imported object or person moves."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0" w:name="Bookmark_fnpara_8"/>
      <w:bookmarkEnd w:id="110"/>
      <w:bookmarkStart w:id="111" w:name="Bookmark_I69B1W222N1RKT0030000400"/>
      <w:bookmarkEnd w:id="111"/>
      <w:bookmarkStart w:id="112" w:name="Bookmark_I69B1W222HM6H00020000400"/>
      <w:bookmarkEnd w:id="112"/>
      <w:r>
        <w:rPr>
          <w:rFonts w:ascii="arial" w:eastAsia="arial" w:hAnsi="arial" w:cs="arial"/>
          <w:b w:val="0"/>
          <w:i w:val="0"/>
          <w:strike w:val="0"/>
          <w:noProof w:val="0"/>
          <w:color w:val="000000"/>
          <w:position w:val="0"/>
          <w:sz w:val="18"/>
          <w:u w:val="none"/>
          <w:vertAlign w:val="baseline"/>
        </w:rPr>
        <w:t xml:space="preserve">Thus, venues lies for the making of a false statement, even if in relation to an investigation ongoing in another state, only where such statement was actually made. In other words, the Tenth Circuit searches for where the crime is committed—that is, where the Defendant acts—rather than where substantial contacts or effects are had or experienced. </w:t>
      </w:r>
      <w:r>
        <w:rPr>
          <w:rFonts w:ascii="arial" w:eastAsia="arial" w:hAnsi="arial" w:cs="arial"/>
          <w:b w:val="0"/>
          <w:i/>
          <w:strike w:val="0"/>
          <w:noProof w:val="0"/>
          <w:color w:val="000000"/>
          <w:position w:val="0"/>
          <w:sz w:val="18"/>
          <w:u w:val="none"/>
          <w:vertAlign w:val="baseline"/>
        </w:rPr>
        <w:t>Smith</w:t>
      </w:r>
      <w:r>
        <w:rPr>
          <w:rFonts w:ascii="arial" w:eastAsia="arial" w:hAnsi="arial" w:cs="arial"/>
          <w:b w:val="0"/>
          <w:i w:val="0"/>
          <w:strike w:val="0"/>
          <w:noProof w:val="0"/>
          <w:color w:val="000000"/>
          <w:position w:val="0"/>
          <w:sz w:val="18"/>
          <w:u w:val="none"/>
          <w:vertAlign w:val="baseline"/>
        </w:rPr>
        <w:t xml:space="preserve"> also affirms the holding in the otherwise-vacated </w:t>
      </w:r>
      <w:bookmarkStart w:id="113" w:name="Bookmark_I69B1W222N1RKT0020000400"/>
      <w:bookmarkEnd w:id="113"/>
      <w:hyperlink r:id="rId12" w:history="1">
        <w:r>
          <w:rPr>
            <w:rFonts w:ascii="arial" w:eastAsia="arial" w:hAnsi="arial" w:cs="arial"/>
            <w:b w:val="0"/>
            <w:i/>
            <w:strike w:val="0"/>
            <w:noProof w:val="0"/>
            <w:color w:val="0077CC"/>
            <w:position w:val="0"/>
            <w:sz w:val="18"/>
            <w:u w:val="single"/>
            <w:vertAlign w:val="baseline"/>
          </w:rPr>
          <w:t>United States v. Wiles</w:t>
        </w:r>
      </w:hyperlink>
      <w:hyperlink r:id="rId12" w:history="1">
        <w:r>
          <w:rPr>
            <w:rFonts w:ascii="arial" w:eastAsia="arial" w:hAnsi="arial" w:cs="arial"/>
            <w:b w:val="0"/>
            <w:i/>
            <w:strike w:val="0"/>
            <w:noProof w:val="0"/>
            <w:color w:val="0077CC"/>
            <w:position w:val="0"/>
            <w:sz w:val="18"/>
            <w:u w:val="single"/>
            <w:vertAlign w:val="baseline"/>
          </w:rPr>
          <w:t>, 102 F.3d 1043, 1064 (10th Cir. 1996)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vacated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522 U.S. 945</w:t>
      </w:r>
      <w:r>
        <w:rPr>
          <w:rFonts w:ascii="arial" w:eastAsia="arial" w:hAnsi="arial" w:cs="arial"/>
          <w:b w:val="0"/>
          <w:i w:val="0"/>
          <w:strike w:val="0"/>
          <w:noProof w:val="0"/>
          <w:color w:val="000000"/>
          <w:position w:val="0"/>
          <w:sz w:val="18"/>
          <w:u w:val="none"/>
          <w:vertAlign w:val="baseline"/>
        </w:rPr>
        <w:t xml:space="preserve">, that "a false tax return is made both where the form itself is completed and where it is filed with the IRS." </w:t>
      </w:r>
      <w:bookmarkStart w:id="114" w:name="Bookmark_I69B1W222N1RKT0040000400"/>
      <w:bookmarkEnd w:id="114"/>
      <w:hyperlink r:id="rId13" w:history="1">
        <w:r>
          <w:rPr>
            <w:rFonts w:ascii="arial" w:eastAsia="arial" w:hAnsi="arial" w:cs="arial"/>
            <w:b w:val="0"/>
            <w:i/>
            <w:strike w:val="0"/>
            <w:noProof w:val="0"/>
            <w:color w:val="0077CC"/>
            <w:position w:val="0"/>
            <w:sz w:val="18"/>
            <w:u w:val="single"/>
            <w:vertAlign w:val="baseline"/>
          </w:rPr>
          <w:t>Smith</w:t>
        </w:r>
      </w:hyperlink>
      <w:hyperlink r:id="rId13" w:history="1">
        <w:r>
          <w:rPr>
            <w:rFonts w:ascii="arial" w:eastAsia="arial" w:hAnsi="arial" w:cs="arial"/>
            <w:b w:val="0"/>
            <w:i/>
            <w:strike w:val="0"/>
            <w:noProof w:val="0"/>
            <w:color w:val="0077CC"/>
            <w:position w:val="0"/>
            <w:sz w:val="18"/>
            <w:u w:val="single"/>
            <w:vertAlign w:val="baseline"/>
          </w:rPr>
          <w:t>, 641 U.S. at 1208</w:t>
        </w:r>
      </w:hyperlink>
      <w:r>
        <w:rPr>
          <w:rFonts w:ascii="arial" w:eastAsia="arial" w:hAnsi="arial" w:cs="arial"/>
          <w:b w:val="0"/>
          <w:i w:val="0"/>
          <w:strike w:val="0"/>
          <w:noProof w:val="0"/>
          <w:color w:val="000000"/>
          <w:position w:val="0"/>
          <w:sz w:val="18"/>
          <w:u w:val="none"/>
          <w:vertAlign w:val="baseline"/>
        </w:rPr>
        <w:t xml:space="preserve">. Similarly, in </w:t>
      </w:r>
      <w:bookmarkStart w:id="115" w:name="Bookmark_I69B1W222HM6H00010000400"/>
      <w:bookmarkEnd w:id="115"/>
      <w:hyperlink r:id="rId14" w:history="1">
        <w:r>
          <w:rPr>
            <w:rFonts w:ascii="arial" w:eastAsia="arial" w:hAnsi="arial" w:cs="arial"/>
            <w:b w:val="0"/>
            <w:i/>
            <w:strike w:val="0"/>
            <w:noProof w:val="0"/>
            <w:color w:val="0077CC"/>
            <w:position w:val="0"/>
            <w:sz w:val="18"/>
            <w:u w:val="single"/>
            <w:vertAlign w:val="baseline"/>
          </w:rPr>
          <w:t>United States v. Zwego</w:t>
        </w:r>
      </w:hyperlink>
      <w:hyperlink r:id="rId14" w:history="1">
        <w:r>
          <w:rPr>
            <w:rFonts w:ascii="arial" w:eastAsia="arial" w:hAnsi="arial" w:cs="arial"/>
            <w:b w:val="0"/>
            <w:i/>
            <w:strike w:val="0"/>
            <w:noProof w:val="0"/>
            <w:color w:val="0077CC"/>
            <w:position w:val="0"/>
            <w:sz w:val="18"/>
            <w:u w:val="single"/>
            <w:vertAlign w:val="baseline"/>
          </w:rPr>
          <w:t>, 657 F.2d 248, 251 (10th Cir. 1981)</w:t>
        </w:r>
      </w:hyperlink>
      <w:r>
        <w:rPr>
          <w:rFonts w:ascii="arial" w:eastAsia="arial" w:hAnsi="arial" w:cs="arial"/>
          <w:b w:val="0"/>
          <w:i w:val="0"/>
          <w:strike w:val="0"/>
          <w:noProof w:val="0"/>
          <w:color w:val="000000"/>
          <w:position w:val="0"/>
          <w:sz w:val="18"/>
          <w:u w:val="none"/>
          <w:vertAlign w:val="baseline"/>
        </w:rPr>
        <w:t>, the Tenth Circuit held that "[t]he proper venue for the offense of making false statements to a federally insured bank may be either where the false statements were prepared, executed, or made, or where the offense was completed upon receipt of the false information by the bank."</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1" w:name="Bookmark_fnpara_9"/>
      <w:bookmarkEnd w:id="121"/>
      <w:bookmarkStart w:id="122" w:name="Bookmark_I69B1W222N1RKY0010000400"/>
      <w:bookmarkEnd w:id="122"/>
      <w:r>
        <w:rPr>
          <w:rFonts w:ascii="arial" w:eastAsia="arial" w:hAnsi="arial" w:cs="arial"/>
          <w:b w:val="0"/>
          <w:i w:val="0"/>
          <w:strike w:val="0"/>
          <w:noProof w:val="0"/>
          <w:color w:val="000000"/>
          <w:position w:val="0"/>
          <w:sz w:val="18"/>
          <w:u w:val="none"/>
          <w:vertAlign w:val="baseline"/>
        </w:rPr>
        <w:t xml:space="preserve">While </w:t>
      </w:r>
      <w:hyperlink r:id="rId2" w:history="1">
        <w:r>
          <w:rPr>
            <w:rFonts w:ascii="arial" w:eastAsia="arial" w:hAnsi="arial" w:cs="arial"/>
            <w:b w:val="0"/>
            <w:i/>
            <w:strike w:val="0"/>
            <w:noProof w:val="0"/>
            <w:color w:val="0077CC"/>
            <w:position w:val="0"/>
            <w:sz w:val="18"/>
            <w:u w:val="single"/>
            <w:vertAlign w:val="baseline"/>
          </w:rPr>
          <w:t>§ 1960(b)</w:t>
        </w:r>
      </w:hyperlink>
      <w:r>
        <w:rPr>
          <w:rFonts w:ascii="arial" w:eastAsia="arial" w:hAnsi="arial" w:cs="arial"/>
          <w:b w:val="0"/>
          <w:i w:val="0"/>
          <w:strike w:val="0"/>
          <w:noProof w:val="0"/>
          <w:color w:val="000000"/>
          <w:position w:val="0"/>
          <w:sz w:val="18"/>
          <w:u w:val="none"/>
          <w:vertAlign w:val="baseline"/>
        </w:rPr>
        <w:t xml:space="preserve"> refers to the "transportation or transmission of funds," such actions are used only to define the appropriate boundaries of the term "unlicensed money transmitting business." The statute does not facially proscribe such transportation or transmission as to provide venue where such transportation or transmission occurs, except insofar as such transportation or transmission constitutes conducting, controlling, managing, supervising, directing, or owning that was begun, continued, or completed in the District of Utah. The court notes that </w:t>
      </w:r>
      <w:hyperlink r:id="rId2" w:history="1">
        <w:r>
          <w:rPr>
            <w:rFonts w:ascii="arial" w:eastAsia="arial" w:hAnsi="arial" w:cs="arial"/>
            <w:b w:val="0"/>
            <w:i/>
            <w:strike w:val="0"/>
            <w:noProof w:val="0"/>
            <w:color w:val="0077CC"/>
            <w:position w:val="0"/>
            <w:sz w:val="18"/>
            <w:u w:val="single"/>
            <w:vertAlign w:val="baseline"/>
          </w:rPr>
          <w:t>§ 1960(b)</w:t>
        </w:r>
      </w:hyperlink>
      <w:r>
        <w:rPr>
          <w:rFonts w:ascii="arial" w:eastAsia="arial" w:hAnsi="arial" w:cs="arial"/>
          <w:b w:val="0"/>
          <w:i w:val="0"/>
          <w:strike w:val="0"/>
          <w:noProof w:val="0"/>
          <w:color w:val="000000"/>
          <w:position w:val="0"/>
          <w:sz w:val="18"/>
          <w:u w:val="none"/>
          <w:vertAlign w:val="baseline"/>
        </w:rPr>
        <w:t xml:space="preserve"> defines unlicensed money transmitting businesses as "affect[ing] interstate or foreign commerce." At first blush, this might seem to implicate </w:t>
      </w:r>
      <w:hyperlink r:id="rId11" w:history="1">
        <w:r>
          <w:rPr>
            <w:rFonts w:ascii="arial" w:eastAsia="arial" w:hAnsi="arial" w:cs="arial"/>
            <w:b w:val="0"/>
            <w:i/>
            <w:strike w:val="0"/>
            <w:noProof w:val="0"/>
            <w:color w:val="0077CC"/>
            <w:position w:val="0"/>
            <w:sz w:val="18"/>
            <w:u w:val="single"/>
            <w:vertAlign w:val="baseline"/>
          </w:rPr>
          <w:t>18 U.S.C. § 3237(a)</w:t>
        </w:r>
      </w:hyperlink>
      <w:r>
        <w:rPr>
          <w:rFonts w:ascii="arial" w:eastAsia="arial" w:hAnsi="arial" w:cs="arial"/>
          <w:b w:val="0"/>
          <w:i w:val="0"/>
          <w:strike w:val="0"/>
          <w:noProof w:val="0"/>
          <w:color w:val="000000"/>
          <w:position w:val="0"/>
          <w:sz w:val="18"/>
          <w:u w:val="none"/>
          <w:vertAlign w:val="baseline"/>
        </w:rPr>
        <w:t xml:space="preserve">, which states that "[a]ny offense involving the use of the mails, </w:t>
      </w:r>
      <w:r>
        <w:rPr>
          <w:rFonts w:ascii="arial" w:eastAsia="arial" w:hAnsi="arial" w:cs="arial"/>
          <w:b w:val="0"/>
          <w:i/>
          <w:strike w:val="0"/>
          <w:noProof w:val="0"/>
          <w:color w:val="000000"/>
          <w:position w:val="0"/>
          <w:sz w:val="18"/>
          <w:u w:val="none"/>
          <w:vertAlign w:val="baseline"/>
        </w:rPr>
        <w:t>transportation in interstate or foreign commerce</w:t>
      </w:r>
      <w:r>
        <w:rPr>
          <w:rFonts w:ascii="arial" w:eastAsia="arial" w:hAnsi="arial" w:cs="arial"/>
          <w:b w:val="0"/>
          <w:i w:val="0"/>
          <w:strike w:val="0"/>
          <w:noProof w:val="0"/>
          <w:color w:val="000000"/>
          <w:position w:val="0"/>
          <w:sz w:val="18"/>
          <w:u w:val="none"/>
          <w:vertAlign w:val="baseline"/>
        </w:rPr>
        <w:t xml:space="preserve">, or the importation of an object or person into the United States is a continuing offense." However, </w:t>
      </w:r>
      <w:hyperlink r:id="rId2" w:history="1">
        <w:r>
          <w:rPr>
            <w:rFonts w:ascii="arial" w:eastAsia="arial" w:hAnsi="arial" w:cs="arial"/>
            <w:b w:val="0"/>
            <w:i/>
            <w:strike w:val="0"/>
            <w:noProof w:val="0"/>
            <w:color w:val="0077CC"/>
            <w:position w:val="0"/>
            <w:sz w:val="18"/>
            <w:u w:val="single"/>
            <w:vertAlign w:val="baseline"/>
          </w:rPr>
          <w:t>§ 1960(b)(1)(C)</w:t>
        </w:r>
      </w:hyperlink>
      <w:r>
        <w:rPr>
          <w:rFonts w:ascii="arial" w:eastAsia="arial" w:hAnsi="arial" w:cs="arial"/>
          <w:b w:val="0"/>
          <w:i w:val="0"/>
          <w:strike w:val="0"/>
          <w:noProof w:val="0"/>
          <w:color w:val="000000"/>
          <w:position w:val="0"/>
          <w:sz w:val="18"/>
          <w:u w:val="none"/>
          <w:vertAlign w:val="baseline"/>
        </w:rPr>
        <w:t xml:space="preserve"> defines unlicensed money transmitting businesses as those that affected interstate or foreign commerce in any manner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"otherwise involve[] the transportation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transmission of funds[.]" The disjunctive "or" thus differentiates between the transportation and transmission of funds—only one of which is clearly within </w:t>
      </w:r>
      <w:hyperlink r:id="rId11" w:history="1">
        <w:r>
          <w:rPr>
            <w:rFonts w:ascii="arial" w:eastAsia="arial" w:hAnsi="arial" w:cs="arial"/>
            <w:b w:val="0"/>
            <w:i/>
            <w:strike w:val="0"/>
            <w:noProof w:val="0"/>
            <w:color w:val="0077CC"/>
            <w:position w:val="0"/>
            <w:sz w:val="18"/>
            <w:u w:val="single"/>
            <w:vertAlign w:val="baseline"/>
          </w:rPr>
          <w:t>18 U.S.C. § 3237(a)</w:t>
        </w:r>
      </w:hyperlink>
      <w:r>
        <w:rPr>
          <w:rFonts w:ascii="arial" w:eastAsia="arial" w:hAnsi="arial" w:cs="arial"/>
          <w:b w:val="0"/>
          <w:i w:val="0"/>
          <w:strike w:val="0"/>
          <w:noProof w:val="0"/>
          <w:color w:val="000000"/>
          <w:position w:val="0"/>
          <w:sz w:val="18"/>
          <w:u w:val="none"/>
          <w:vertAlign w:val="baseline"/>
        </w:rPr>
        <w:t xml:space="preserve">'s ambit. Even if the transmission of funds is a continuing offense under </w:t>
      </w:r>
      <w:hyperlink r:id="rId11" w:history="1">
        <w:r>
          <w:rPr>
            <w:rFonts w:ascii="arial" w:eastAsia="arial" w:hAnsi="arial" w:cs="arial"/>
            <w:b w:val="0"/>
            <w:i/>
            <w:strike w:val="0"/>
            <w:noProof w:val="0"/>
            <w:color w:val="0077CC"/>
            <w:position w:val="0"/>
            <w:sz w:val="18"/>
            <w:u w:val="single"/>
            <w:vertAlign w:val="baseline"/>
          </w:rPr>
          <w:t>18 U.S.C. § 3237(a)</w:t>
        </w:r>
      </w:hyperlink>
      <w:r>
        <w:rPr>
          <w:rFonts w:ascii="arial" w:eastAsia="arial" w:hAnsi="arial" w:cs="arial"/>
          <w:b w:val="0"/>
          <w:i w:val="0"/>
          <w:strike w:val="0"/>
          <w:noProof w:val="0"/>
          <w:color w:val="000000"/>
          <w:position w:val="0"/>
          <w:sz w:val="18"/>
          <w:u w:val="none"/>
          <w:vertAlign w:val="baseline"/>
        </w:rPr>
        <w:t xml:space="preserve">, however, as some out-of-circuit authority holds, </w:t>
      </w:r>
      <w:r>
        <w:rPr>
          <w:rFonts w:ascii="arial" w:eastAsia="arial" w:hAnsi="arial" w:cs="arial"/>
          <w:b w:val="0"/>
          <w:i/>
          <w:strike w:val="0"/>
          <w:noProof w:val="0"/>
          <w:color w:val="000000"/>
          <w:position w:val="0"/>
          <w:sz w:val="18"/>
          <w:u w:val="none"/>
          <w:vertAlign w:val="baseline"/>
        </w:rPr>
        <w:t xml:space="preserve">see, e.g., </w:t>
      </w:r>
      <w:bookmarkStart w:id="123" w:name="Bookmark_I69B1W222HM6H00050000400"/>
      <w:bookmarkEnd w:id="123"/>
      <w:hyperlink r:id="rId15" w:history="1">
        <w:r>
          <w:rPr>
            <w:rFonts w:ascii="arial" w:eastAsia="arial" w:hAnsi="arial" w:cs="arial"/>
            <w:b w:val="0"/>
            <w:i/>
            <w:strike w:val="0"/>
            <w:noProof w:val="0"/>
            <w:color w:val="0077CC"/>
            <w:position w:val="0"/>
            <w:sz w:val="18"/>
            <w:u w:val="single"/>
            <w:vertAlign w:val="baseline"/>
          </w:rPr>
          <w:t>United States v. Jefferson</w:t>
        </w:r>
      </w:hyperlink>
      <w:hyperlink r:id="rId15" w:history="1">
        <w:r>
          <w:rPr>
            <w:rFonts w:ascii="arial" w:eastAsia="arial" w:hAnsi="arial" w:cs="arial"/>
            <w:b w:val="0"/>
            <w:i/>
            <w:strike w:val="0"/>
            <w:noProof w:val="0"/>
            <w:color w:val="0077CC"/>
            <w:position w:val="0"/>
            <w:sz w:val="18"/>
            <w:u w:val="single"/>
            <w:vertAlign w:val="baseline"/>
          </w:rPr>
          <w:t>, 674 F.3d 332, 366 (4th Cir. 2012)</w:t>
        </w:r>
      </w:hyperlink>
      <w:r>
        <w:rPr>
          <w:rFonts w:ascii="arial" w:eastAsia="arial" w:hAnsi="arial" w:cs="arial"/>
          <w:b w:val="0"/>
          <w:i w:val="0"/>
          <w:strike w:val="0"/>
          <w:noProof w:val="0"/>
          <w:color w:val="000000"/>
          <w:position w:val="0"/>
          <w:sz w:val="18"/>
          <w:u w:val="none"/>
          <w:vertAlign w:val="baseline"/>
        </w:rPr>
        <w:t xml:space="preserve">, such transmission is not facially proscribed by </w:t>
      </w:r>
      <w:hyperlink r:id="rId2" w:history="1">
        <w:r>
          <w:rPr>
            <w:rFonts w:ascii="arial" w:eastAsia="arial" w:hAnsi="arial" w:cs="arial"/>
            <w:b w:val="0"/>
            <w:i/>
            <w:strike w:val="0"/>
            <w:noProof w:val="0"/>
            <w:color w:val="0077CC"/>
            <w:position w:val="0"/>
            <w:sz w:val="18"/>
            <w:u w:val="single"/>
            <w:vertAlign w:val="baseline"/>
          </w:rPr>
          <w:t>§ 1960</w:t>
        </w:r>
      </w:hyperlink>
      <w:r>
        <w:rPr>
          <w:rFonts w:ascii="arial" w:eastAsia="arial" w:hAnsi="arial" w:cs="arial"/>
          <w:b w:val="0"/>
          <w:i w:val="0"/>
          <w:strike w:val="0"/>
          <w:noProof w:val="0"/>
          <w:color w:val="000000"/>
          <w:position w:val="0"/>
          <w:sz w:val="18"/>
          <w:u w:val="none"/>
          <w:vertAlign w:val="baseline"/>
        </w:rPr>
        <w:t xml:space="preserve">. Again, transmission defines the nature of the business, rather than the punishable activity under the statute. Instead, transmission of funds is only forbidden by </w:t>
      </w:r>
      <w:hyperlink r:id="rId2" w:history="1">
        <w:r>
          <w:rPr>
            <w:rFonts w:ascii="arial" w:eastAsia="arial" w:hAnsi="arial" w:cs="arial"/>
            <w:b w:val="0"/>
            <w:i/>
            <w:strike w:val="0"/>
            <w:noProof w:val="0"/>
            <w:color w:val="0077CC"/>
            <w:position w:val="0"/>
            <w:sz w:val="18"/>
            <w:u w:val="single"/>
            <w:vertAlign w:val="baseline"/>
          </w:rPr>
          <w:t>§ 1960</w:t>
        </w:r>
      </w:hyperlink>
      <w:r>
        <w:rPr>
          <w:rFonts w:ascii="arial" w:eastAsia="arial" w:hAnsi="arial" w:cs="arial"/>
          <w:b w:val="0"/>
          <w:i w:val="0"/>
          <w:strike w:val="0"/>
          <w:noProof w:val="0"/>
          <w:color w:val="000000"/>
          <w:position w:val="0"/>
          <w:sz w:val="18"/>
          <w:u w:val="none"/>
          <w:vertAlign w:val="baseline"/>
        </w:rPr>
        <w:t>, and can therefore provide this court with venue, only insofar as such transmission constitutes conducting, controlling, managing, supervising, directing, or owning the business in question that was begun, continued, or completed in the District of Utah.</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5" w:name="Bookmark_fnpara_10"/>
      <w:bookmarkEnd w:id="125"/>
      <w:r>
        <w:rPr>
          <w:rFonts w:ascii="arial" w:eastAsia="arial" w:hAnsi="arial" w:cs="arial"/>
          <w:b w:val="0"/>
          <w:i w:val="0"/>
          <w:strike w:val="0"/>
          <w:noProof w:val="0"/>
          <w:color w:val="000000"/>
          <w:position w:val="0"/>
          <w:sz w:val="18"/>
          <w:u w:val="none"/>
          <w:vertAlign w:val="baseline"/>
        </w:rPr>
        <w:t xml:space="preserve">The terms at issue are often capable of carrying far-ranging direct objects, but that does not mean that the underlying conduct begins, continues, or ends where such objects are found. For example, Shakespeare could sensibly write that Caliban's mother "was a witch, and one so strong / That could control the moon, make flows and ebbs." THE TEMPEST, Act V, Scene 1. Should such act of control by witchcraft be proscribed under American law, the </w:t>
      </w:r>
      <w:r>
        <w:rPr>
          <w:rFonts w:ascii="arial" w:eastAsia="arial" w:hAnsi="arial" w:cs="arial"/>
          <w:b w:val="0"/>
          <w:i/>
          <w:strike w:val="0"/>
          <w:noProof w:val="0"/>
          <w:color w:val="000000"/>
          <w:position w:val="0"/>
          <w:sz w:val="18"/>
          <w:u w:val="none"/>
          <w:vertAlign w:val="baseline"/>
        </w:rPr>
        <w:t>locus delicti</w:t>
      </w:r>
      <w:r>
        <w:rPr>
          <w:rFonts w:ascii="arial" w:eastAsia="arial" w:hAnsi="arial" w:cs="arial"/>
          <w:b w:val="0"/>
          <w:i w:val="0"/>
          <w:strike w:val="0"/>
          <w:noProof w:val="0"/>
          <w:color w:val="000000"/>
          <w:position w:val="0"/>
          <w:sz w:val="18"/>
          <w:u w:val="none"/>
          <w:vertAlign w:val="baseline"/>
        </w:rPr>
        <w:t xml:space="preserve"> would certainly lie where the conduct—the controlling—occurred, not the location of the controlled direct object (in this case, the moon or the place of the tide).</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36" w:name="Bookmark_fnpara_11"/>
      <w:bookmarkEnd w:id="136"/>
      <w:r>
        <w:rPr>
          <w:rFonts w:ascii="arial" w:eastAsia="arial" w:hAnsi="arial" w:cs="arial"/>
          <w:b w:val="0"/>
          <w:i w:val="0"/>
          <w:strike w:val="0"/>
          <w:noProof w:val="0"/>
          <w:color w:val="000000"/>
          <w:position w:val="0"/>
          <w:sz w:val="18"/>
          <w:u w:val="none"/>
          <w:vertAlign w:val="baseline"/>
        </w:rPr>
        <w:t xml:space="preserve">After all, through the Third Count of the Third Superseding Indictment, Mr. Uchendu is not being prosecuted for </w:t>
      </w:r>
      <w:r>
        <w:rPr>
          <w:rFonts w:ascii="arial" w:eastAsia="arial" w:hAnsi="arial" w:cs="arial"/>
          <w:b w:val="0"/>
          <w:i/>
          <w:strike w:val="0"/>
          <w:noProof w:val="0"/>
          <w:color w:val="000000"/>
          <w:position w:val="0"/>
          <w:sz w:val="18"/>
          <w:u w:val="none"/>
          <w:vertAlign w:val="baseline"/>
        </w:rPr>
        <w:t>transmitting</w:t>
      </w:r>
      <w:r>
        <w:rPr>
          <w:rFonts w:ascii="arial" w:eastAsia="arial" w:hAnsi="arial" w:cs="arial"/>
          <w:b w:val="0"/>
          <w:i w:val="0"/>
          <w:strike w:val="0"/>
          <w:noProof w:val="0"/>
          <w:color w:val="000000"/>
          <w:position w:val="0"/>
          <w:sz w:val="18"/>
          <w:u w:val="none"/>
          <w:vertAlign w:val="baseline"/>
        </w:rPr>
        <w:t xml:space="preserve"> anything (nor could he be, since transmitting is not an operative term providing for culpability) but rather for </w:t>
      </w:r>
      <w:r>
        <w:rPr>
          <w:rFonts w:ascii="arial" w:eastAsia="arial" w:hAnsi="arial" w:cs="arial"/>
          <w:b w:val="0"/>
          <w:i/>
          <w:strike w:val="0"/>
          <w:noProof w:val="0"/>
          <w:color w:val="000000"/>
          <w:position w:val="0"/>
          <w:sz w:val="18"/>
          <w:u w:val="none"/>
          <w:vertAlign w:val="baseline"/>
        </w:rPr>
        <w:t>conducting</w:t>
      </w:r>
      <w:r>
        <w:rPr>
          <w:rFonts w:ascii="arial" w:eastAsia="arial" w:hAnsi="arial" w:cs="arial"/>
          <w:b w:val="0"/>
          <w:i w:val="0"/>
          <w:strike w:val="0"/>
          <w:noProof w:val="0"/>
          <w:color w:val="000000"/>
          <w:position w:val="0"/>
          <w:sz w:val="18"/>
          <w:u w:val="none"/>
          <w:vertAlign w:val="baseline"/>
        </w:rPr>
        <w:t xml:space="preserve"> a business.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37" w:name="Bookmark_fnpara_12"/>
      <w:bookmarkEnd w:id="137"/>
      <w:bookmarkStart w:id="138" w:name="Bookmark_I69B1W2328T4YR0040000400"/>
      <w:bookmarkEnd w:id="138"/>
      <w:bookmarkStart w:id="139" w:name="Bookmark_I4MWK8V62K4000013110000R"/>
      <w:bookmarkEnd w:id="139"/>
      <w:bookmarkStart w:id="140" w:name="Bookmark_I69B1W232SF7YD0010000400"/>
      <w:bookmarkEnd w:id="140"/>
      <w:r>
        <w:rPr>
          <w:rFonts w:ascii="arial" w:eastAsia="arial" w:hAnsi="arial" w:cs="arial"/>
          <w:b w:val="0"/>
          <w:i w:val="0"/>
          <w:strike w:val="0"/>
          <w:noProof w:val="0"/>
          <w:color w:val="000000"/>
          <w:position w:val="0"/>
          <w:sz w:val="18"/>
          <w:u w:val="none"/>
          <w:vertAlign w:val="baseline"/>
        </w:rPr>
        <w:t xml:space="preserve">One district court, in </w:t>
      </w:r>
      <w:bookmarkStart w:id="141" w:name="Bookmark_I69B1W2328T4YR0030000400"/>
      <w:bookmarkEnd w:id="141"/>
      <w:hyperlink r:id="rId16" w:history="1">
        <w:r>
          <w:rPr>
            <w:rFonts w:ascii="arial" w:eastAsia="arial" w:hAnsi="arial" w:cs="arial"/>
            <w:b w:val="0"/>
            <w:i/>
            <w:strike w:val="0"/>
            <w:noProof w:val="0"/>
            <w:color w:val="0077CC"/>
            <w:position w:val="0"/>
            <w:sz w:val="18"/>
            <w:u w:val="single"/>
            <w:vertAlign w:val="baseline"/>
          </w:rPr>
          <w:t>United States v. Basciano</w:t>
        </w:r>
      </w:hyperlink>
      <w:hyperlink r:id="rId16" w:history="1">
        <w:r>
          <w:rPr>
            <w:rFonts w:ascii="arial" w:eastAsia="arial" w:hAnsi="arial" w:cs="arial"/>
            <w:b w:val="0"/>
            <w:i/>
            <w:strike w:val="0"/>
            <w:noProof w:val="0"/>
            <w:color w:val="0077CC"/>
            <w:position w:val="0"/>
            <w:sz w:val="18"/>
            <w:u w:val="single"/>
            <w:vertAlign w:val="baseline"/>
          </w:rPr>
          <w:t>, 2006 U.S. Dist. LEXIS 92303 at *28-29 (E.D.N.Y. 2006)</w:t>
        </w:r>
      </w:hyperlink>
      <w:r>
        <w:rPr>
          <w:rFonts w:ascii="arial" w:eastAsia="arial" w:hAnsi="arial" w:cs="arial"/>
          <w:b w:val="0"/>
          <w:i w:val="0"/>
          <w:strike w:val="0"/>
          <w:noProof w:val="0"/>
          <w:color w:val="000000"/>
          <w:position w:val="0"/>
          <w:sz w:val="18"/>
          <w:u w:val="none"/>
          <w:vertAlign w:val="baseline"/>
        </w:rPr>
        <w:t xml:space="preserve">, took the underlying conduct that constituted the managing of an illegal gambling business—that is, the making of payments to certain persons—and where such underlying conduct began and ended, as coterminous with the beginning and ending of the managing itself for purposes of venue. But this court finds the reasoning of the </w:t>
      </w:r>
      <w:bookmarkStart w:id="142" w:name="Bookmark_I69B1W2328T4YR0050000400"/>
      <w:bookmarkEnd w:id="142"/>
      <w:hyperlink r:id="rId16" w:history="1">
        <w:r>
          <w:rPr>
            <w:rFonts w:ascii="arial" w:eastAsia="arial" w:hAnsi="arial" w:cs="arial"/>
            <w:b w:val="0"/>
            <w:i/>
            <w:strike w:val="0"/>
            <w:noProof w:val="0"/>
            <w:color w:val="0077CC"/>
            <w:position w:val="0"/>
            <w:sz w:val="18"/>
            <w:u w:val="single"/>
            <w:vertAlign w:val="baseline"/>
          </w:rPr>
          <w:t>Basciano</w:t>
        </w:r>
      </w:hyperlink>
      <w:r>
        <w:rPr>
          <w:rFonts w:ascii="arial" w:eastAsia="arial" w:hAnsi="arial" w:cs="arial"/>
          <w:b w:val="0"/>
          <w:i w:val="0"/>
          <w:strike w:val="0"/>
          <w:noProof w:val="0"/>
          <w:color w:val="000000"/>
          <w:position w:val="0"/>
          <w:sz w:val="18"/>
          <w:u w:val="none"/>
          <w:vertAlign w:val="baseline"/>
        </w:rPr>
        <w:t xml:space="preserve"> court unpersuasive and declines to follow its lead.</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50" w:name="Bookmark_fnpara_13"/>
      <w:bookmarkEnd w:id="150"/>
      <w:r>
        <w:rPr>
          <w:rFonts w:ascii="arial" w:eastAsia="arial" w:hAnsi="arial" w:cs="arial"/>
          <w:b w:val="0"/>
          <w:i w:val="0"/>
          <w:strike w:val="0"/>
          <w:noProof w:val="0"/>
          <w:color w:val="000000"/>
          <w:position w:val="0"/>
          <w:sz w:val="18"/>
          <w:u w:val="none"/>
          <w:vertAlign w:val="baseline"/>
        </w:rPr>
        <w:t xml:space="preserve">The extent of the reasoning on the venue determination in that case is as follows: "Because Count 2 (a substantive charge of conducting an illegal gambling business) involves an ongoing, multi-actor, multi-state organization, </w:t>
      </w:r>
      <w:hyperlink r:id="rId11" w:history="1">
        <w:r>
          <w:rPr>
            <w:rFonts w:ascii="arial" w:eastAsia="arial" w:hAnsi="arial" w:cs="arial"/>
            <w:b w:val="0"/>
            <w:i/>
            <w:strike w:val="0"/>
            <w:noProof w:val="0"/>
            <w:color w:val="0077CC"/>
            <w:position w:val="0"/>
            <w:sz w:val="18"/>
            <w:u w:val="single"/>
            <w:vertAlign w:val="baseline"/>
          </w:rPr>
          <w:t>§ 3237</w:t>
        </w:r>
      </w:hyperlink>
      <w:r>
        <w:rPr>
          <w:rFonts w:ascii="arial" w:eastAsia="arial" w:hAnsi="arial" w:cs="arial"/>
          <w:b w:val="0"/>
          <w:i w:val="0"/>
          <w:strike w:val="0"/>
          <w:noProof w:val="0"/>
          <w:color w:val="000000"/>
          <w:position w:val="0"/>
          <w:sz w:val="18"/>
          <w:u w:val="none"/>
          <w:vertAlign w:val="baseline"/>
        </w:rPr>
        <w:t xml:space="preserve"> has much the same permissive effect with that count that it has with respect to the conspiracy counts. The existence of the multi-state gambling business is the key factor. From that beginning point (which has been established), it is no leap at all to look to the acts that were committed in Oklahoma, in furtherance of the gambling business, by Oklahoma-based participants. The business operated, in part, in Oklahoma. </w:t>
      </w:r>
      <w:bookmarkStart w:id="151" w:name="Bookmark_I69B1W2428T4YW0040000400"/>
      <w:bookmarkEnd w:id="151"/>
      <w:r>
        <w:rPr>
          <w:rFonts w:ascii="arial" w:eastAsia="arial" w:hAnsi="arial" w:cs="arial"/>
          <w:b w:val="0"/>
          <w:i w:val="0"/>
          <w:strike w:val="0"/>
          <w:noProof w:val="0"/>
          <w:color w:val="000000"/>
          <w:position w:val="0"/>
          <w:sz w:val="18"/>
          <w:u w:val="none"/>
          <w:vertAlign w:val="baseline"/>
        </w:rPr>
        <w:t xml:space="preserve">The Oklahoma activities were in furtherance of the business of the same gambling organization as that in which these Florida defendants were active participants. Consequently, the offense conduct (the operation of the gambling business, not discrete acts) in which these defendants participated was, in part, 'continued' in Oklahoma within the meaning of </w:t>
      </w:r>
      <w:hyperlink r:id="rId11" w:history="1">
        <w:r>
          <w:rPr>
            <w:rFonts w:ascii="arial" w:eastAsia="arial" w:hAnsi="arial" w:cs="arial"/>
            <w:b w:val="0"/>
            <w:i/>
            <w:strike w:val="0"/>
            <w:noProof w:val="0"/>
            <w:color w:val="0077CC"/>
            <w:position w:val="0"/>
            <w:sz w:val="18"/>
            <w:u w:val="single"/>
            <w:vertAlign w:val="baseline"/>
          </w:rPr>
          <w:t>§ 3237</w:t>
        </w:r>
      </w:hyperlink>
      <w:r>
        <w:rPr>
          <w:rFonts w:ascii="arial" w:eastAsia="arial" w:hAnsi="arial" w:cs="arial"/>
          <w:b w:val="0"/>
          <w:i w:val="0"/>
          <w:strike w:val="0"/>
          <w:noProof w:val="0"/>
          <w:color w:val="000000"/>
          <w:position w:val="0"/>
          <w:sz w:val="18"/>
          <w:u w:val="none"/>
          <w:vertAlign w:val="baseline"/>
        </w:rPr>
        <w:t xml:space="preserve">. For that reason, the venue challenge to the § 1955 convictions fails." </w:t>
      </w:r>
      <w:bookmarkStart w:id="152" w:name="Bookmark_I69B1W2428T4YW0030000400"/>
      <w:bookmarkEnd w:id="152"/>
      <w:hyperlink r:id="rId17" w:history="1">
        <w:r>
          <w:rPr>
            <w:rFonts w:ascii="arial" w:eastAsia="arial" w:hAnsi="arial" w:cs="arial"/>
            <w:b w:val="0"/>
            <w:i/>
            <w:strike w:val="0"/>
            <w:noProof w:val="0"/>
            <w:color w:val="0077CC"/>
            <w:position w:val="0"/>
            <w:sz w:val="18"/>
            <w:u w:val="single"/>
            <w:vertAlign w:val="baseline"/>
          </w:rPr>
          <w:t>United States v. Robles</w:t>
        </w:r>
      </w:hyperlink>
      <w:hyperlink r:id="rId17" w:history="1">
        <w:r>
          <w:rPr>
            <w:rFonts w:ascii="arial" w:eastAsia="arial" w:hAnsi="arial" w:cs="arial"/>
            <w:b w:val="0"/>
            <w:i/>
            <w:strike w:val="0"/>
            <w:noProof w:val="0"/>
            <w:color w:val="0077CC"/>
            <w:position w:val="0"/>
            <w:sz w:val="18"/>
            <w:u w:val="single"/>
            <w:vertAlign w:val="baseline"/>
          </w:rPr>
          <w:t>, 2015 U.S. Dist. LEXIS 183658, at *13-14 (W.D. Okla. 2015)</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54" w:name="Bookmark_fnpara_14"/>
      <w:bookmarkEnd w:id="154"/>
      <w:bookmarkStart w:id="155" w:name="Bookmark_I69B1W242D6NV20010000400"/>
      <w:bookmarkEnd w:id="155"/>
      <w:r>
        <w:rPr>
          <w:rFonts w:ascii="arial" w:eastAsia="arial" w:hAnsi="arial" w:cs="arial"/>
          <w:b w:val="0"/>
          <w:i w:val="0"/>
          <w:strike w:val="0"/>
          <w:noProof w:val="0"/>
          <w:color w:val="000000"/>
          <w:position w:val="0"/>
          <w:sz w:val="18"/>
          <w:u w:val="none"/>
          <w:vertAlign w:val="baseline"/>
        </w:rPr>
        <w:t xml:space="preserve">The extent of the reasoning on the venue determination in that case is as follows: "As for Count 2 venue, the evidence established that participants in the gambling business undertook activities in furtherance of the business in this district, within the meaning of the broad construction of § 1955 that the Supreme Court embraced in </w:t>
      </w:r>
      <w:bookmarkStart w:id="156" w:name="Bookmark_I69B1W2428T4YW0050000400"/>
      <w:bookmarkEnd w:id="156"/>
      <w:hyperlink r:id="rId18" w:history="1">
        <w:r>
          <w:rPr>
            <w:rFonts w:ascii="arial" w:eastAsia="arial" w:hAnsi="arial" w:cs="arial"/>
            <w:b w:val="0"/>
            <w:i/>
            <w:strike w:val="0"/>
            <w:noProof w:val="0"/>
            <w:color w:val="0077CC"/>
            <w:position w:val="0"/>
            <w:sz w:val="18"/>
            <w:u w:val="single"/>
            <w:vertAlign w:val="baseline"/>
          </w:rPr>
          <w:t>Sanabria v. United States</w:t>
        </w:r>
      </w:hyperlink>
      <w:hyperlink r:id="rId18" w:history="1">
        <w:r>
          <w:rPr>
            <w:rFonts w:ascii="arial" w:eastAsia="arial" w:hAnsi="arial" w:cs="arial"/>
            <w:b w:val="0"/>
            <w:i/>
            <w:strike w:val="0"/>
            <w:noProof w:val="0"/>
            <w:color w:val="0077CC"/>
            <w:position w:val="0"/>
            <w:sz w:val="18"/>
            <w:u w:val="single"/>
            <w:vertAlign w:val="baseline"/>
          </w:rPr>
          <w:t>, 437 U.S. 54, 70-71 n. 26, 98 S. Ct. 2170, 57 L. Ed. 2d 43 (1978)</w:t>
        </w:r>
      </w:hyperlink>
      <w:r>
        <w:rPr>
          <w:rFonts w:ascii="arial" w:eastAsia="arial" w:hAnsi="arial" w:cs="arial"/>
          <w:b w:val="0"/>
          <w:i w:val="0"/>
          <w:strike w:val="0"/>
          <w:noProof w:val="0"/>
          <w:color w:val="000000"/>
          <w:position w:val="0"/>
          <w:sz w:val="18"/>
          <w:u w:val="none"/>
          <w:vertAlign w:val="baseline"/>
        </w:rPr>
        <w:t xml:space="preserve">. The gambling business operated, in part, in Oklahoma. </w:t>
      </w:r>
      <w:bookmarkStart w:id="157" w:name="Bookmark_I69B1W242D6NV20030000400"/>
      <w:bookmarkEnd w:id="157"/>
      <w:r>
        <w:rPr>
          <w:rFonts w:ascii="arial" w:eastAsia="arial" w:hAnsi="arial" w:cs="arial"/>
          <w:b w:val="0"/>
          <w:i w:val="0"/>
          <w:strike w:val="0"/>
          <w:noProof w:val="0"/>
          <w:color w:val="000000"/>
          <w:position w:val="0"/>
          <w:sz w:val="18"/>
          <w:u w:val="none"/>
          <w:vertAlign w:val="baseline"/>
        </w:rPr>
        <w:t xml:space="preserve">All that is required is that Bramley was a participant in that business, even if he never set foot in Oklahoma. </w:t>
      </w:r>
      <w:bookmarkStart w:id="158" w:name="Bookmark_I69B1W242D6NV20030000400_2"/>
      <w:bookmarkEnd w:id="158"/>
      <w:r>
        <w:rPr>
          <w:rFonts w:ascii="arial" w:eastAsia="arial" w:hAnsi="arial" w:cs="arial"/>
          <w:b w:val="0"/>
          <w:i w:val="0"/>
          <w:strike w:val="0"/>
          <w:noProof w:val="0"/>
          <w:color w:val="000000"/>
          <w:position w:val="0"/>
          <w:sz w:val="18"/>
          <w:u w:val="none"/>
          <w:vertAlign w:val="baseline"/>
        </w:rPr>
        <w:t xml:space="preserve">The evidence satisfied that requirement. The court therefore disagrees with Bramley's contention that venue was not established as to Count 2." </w:t>
      </w:r>
      <w:bookmarkStart w:id="159" w:name="Bookmark_I69B1W242D6NV20020000400"/>
      <w:bookmarkEnd w:id="159"/>
      <w:hyperlink r:id="rId19" w:history="1">
        <w:r>
          <w:rPr>
            <w:rFonts w:ascii="arial" w:eastAsia="arial" w:hAnsi="arial" w:cs="arial"/>
            <w:b w:val="0"/>
            <w:i/>
            <w:strike w:val="0"/>
            <w:noProof w:val="0"/>
            <w:color w:val="0077CC"/>
            <w:position w:val="0"/>
            <w:sz w:val="18"/>
            <w:u w:val="single"/>
            <w:vertAlign w:val="baseline"/>
          </w:rPr>
          <w:t>United States v. Bramley</w:t>
        </w:r>
      </w:hyperlink>
      <w:hyperlink r:id="rId19" w:history="1">
        <w:r>
          <w:rPr>
            <w:rFonts w:ascii="arial" w:eastAsia="arial" w:hAnsi="arial" w:cs="arial"/>
            <w:b w:val="0"/>
            <w:i/>
            <w:strike w:val="0"/>
            <w:noProof w:val="0"/>
            <w:color w:val="0077CC"/>
            <w:position w:val="0"/>
            <w:sz w:val="18"/>
            <w:u w:val="single"/>
            <w:vertAlign w:val="baseline"/>
          </w:rPr>
          <w:t>, 2015 U.S. Dist. LEXIS 183656, at *28 (W.D. Okla. 2015)</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60" w:name="Bookmark_fnpara_15"/>
      <w:bookmarkEnd w:id="160"/>
      <w:r>
        <w:rPr>
          <w:rFonts w:ascii="arial" w:eastAsia="arial" w:hAnsi="arial" w:cs="arial"/>
          <w:b w:val="0"/>
          <w:i w:val="0"/>
          <w:strike w:val="0"/>
          <w:noProof w:val="0"/>
          <w:color w:val="000000"/>
          <w:position w:val="0"/>
          <w:sz w:val="18"/>
          <w:u w:val="none"/>
          <w:vertAlign w:val="baseline"/>
        </w:rPr>
        <w:t xml:space="preserve">Similarly, this court concludes that </w:t>
      </w:r>
      <w:bookmarkStart w:id="161" w:name="Bookmark_I69B1W242D6NV20040000400"/>
      <w:bookmarkEnd w:id="161"/>
      <w:hyperlink r:id="rId18" w:history="1">
        <w:r>
          <w:rPr>
            <w:rFonts w:ascii="arial" w:eastAsia="arial" w:hAnsi="arial" w:cs="arial"/>
            <w:b w:val="0"/>
            <w:i/>
            <w:strike w:val="0"/>
            <w:noProof w:val="0"/>
            <w:color w:val="0077CC"/>
            <w:position w:val="0"/>
            <w:sz w:val="18"/>
            <w:u w:val="single"/>
            <w:vertAlign w:val="baseline"/>
          </w:rPr>
          <w:t>Sanabria</w:t>
        </w:r>
      </w:hyperlink>
      <w:hyperlink r:id="rId18" w:history="1">
        <w:r>
          <w:rPr>
            <w:rFonts w:ascii="arial" w:eastAsia="arial" w:hAnsi="arial" w:cs="arial"/>
            <w:b w:val="0"/>
            <w:i/>
            <w:strike w:val="0"/>
            <w:noProof w:val="0"/>
            <w:color w:val="0077CC"/>
            <w:position w:val="0"/>
            <w:sz w:val="18"/>
            <w:u w:val="single"/>
            <w:vertAlign w:val="baseline"/>
          </w:rPr>
          <w:t>, 437 U.S. at 71</w:t>
        </w:r>
      </w:hyperlink>
      <w:r>
        <w:rPr>
          <w:rFonts w:ascii="arial" w:eastAsia="arial" w:hAnsi="arial" w:cs="arial"/>
          <w:b w:val="0"/>
          <w:i w:val="0"/>
          <w:strike w:val="0"/>
          <w:noProof w:val="0"/>
          <w:color w:val="000000"/>
          <w:position w:val="0"/>
          <w:sz w:val="18"/>
          <w:u w:val="none"/>
          <w:vertAlign w:val="baseline"/>
        </w:rPr>
        <w:t xml:space="preserve">, does not stand for the venue proposition for which it is cited in </w:t>
      </w:r>
      <w:bookmarkStart w:id="162" w:name="Bookmark_I69B1W242HM6HJ0010000400"/>
      <w:bookmarkEnd w:id="162"/>
      <w:hyperlink r:id="rId19" w:history="1">
        <w:r>
          <w:rPr>
            <w:rFonts w:ascii="arial" w:eastAsia="arial" w:hAnsi="arial" w:cs="arial"/>
            <w:b w:val="0"/>
            <w:i/>
            <w:strike w:val="0"/>
            <w:noProof w:val="0"/>
            <w:color w:val="0077CC"/>
            <w:position w:val="0"/>
            <w:sz w:val="18"/>
            <w:u w:val="single"/>
            <w:vertAlign w:val="baseline"/>
          </w:rPr>
          <w:t>Bramley</w:t>
        </w:r>
      </w:hyperlink>
      <w:hyperlink r:id="rId19" w:history="1">
        <w:r>
          <w:rPr>
            <w:rFonts w:ascii="arial" w:eastAsia="arial" w:hAnsi="arial" w:cs="arial"/>
            <w:b w:val="0"/>
            <w:i/>
            <w:strike w:val="0"/>
            <w:noProof w:val="0"/>
            <w:color w:val="0077CC"/>
            <w:position w:val="0"/>
            <w:sz w:val="18"/>
            <w:u w:val="single"/>
            <w:vertAlign w:val="baseline"/>
          </w:rPr>
          <w:t>, 2015 U.S. Dist. LEXIS 183656, at *28</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16" w:name="Bookmark_fnpara_16"/>
      <w:bookmarkEnd w:id="216"/>
      <w:bookmarkStart w:id="217" w:name="Bookmark_I69B1W2728T5120020000400"/>
      <w:bookmarkEnd w:id="217"/>
      <w:bookmarkStart w:id="218" w:name="Bookmark_I69B1W282HM6JM0010000400"/>
      <w:bookmarkEnd w:id="218"/>
      <w:bookmarkStart w:id="219" w:name="Bookmark_I69B1W2728T5120010000400"/>
      <w:bookmarkEnd w:id="219"/>
      <w:hyperlink r:id="rId20" w:history="1">
        <w:r>
          <w:rPr>
            <w:rFonts w:ascii="arial" w:eastAsia="arial" w:hAnsi="arial" w:cs="arial"/>
            <w:b w:val="0"/>
            <w:i/>
            <w:strike w:val="0"/>
            <w:noProof w:val="0"/>
            <w:color w:val="0077CC"/>
            <w:position w:val="0"/>
            <w:sz w:val="18"/>
            <w:u w:val="single"/>
            <w:vertAlign w:val="baseline"/>
          </w:rPr>
          <w:t>United States v. Deiter</w:t>
        </w:r>
      </w:hyperlink>
      <w:hyperlink r:id="rId20" w:history="1">
        <w:r>
          <w:rPr>
            <w:rFonts w:ascii="arial" w:eastAsia="arial" w:hAnsi="arial" w:cs="arial"/>
            <w:b w:val="0"/>
            <w:i/>
            <w:strike w:val="0"/>
            <w:noProof w:val="0"/>
            <w:color w:val="0077CC"/>
            <w:position w:val="0"/>
            <w:sz w:val="18"/>
            <w:u w:val="single"/>
            <w:vertAlign w:val="baseline"/>
          </w:rPr>
          <w:t>, 890 F.3d 1203, 1216 (10th Cir. 2018)</w:t>
        </w:r>
      </w:hyperlink>
      <w:r>
        <w:rPr>
          <w:rFonts w:ascii="arial" w:eastAsia="arial" w:hAnsi="arial" w:cs="arial"/>
          <w:b w:val="0"/>
          <w:i w:val="0"/>
          <w:strike w:val="0"/>
          <w:noProof w:val="0"/>
          <w:color w:val="000000"/>
          <w:position w:val="0"/>
          <w:sz w:val="18"/>
          <w:u w:val="none"/>
          <w:vertAlign w:val="baseline"/>
        </w:rPr>
        <w:t xml:space="preserve"> also states, as cited in the government's response to Defendant's supplemental brief,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123 at 2, that </w:t>
      </w:r>
      <w:hyperlink r:id="rId4" w:history="1">
        <w:r>
          <w:rPr>
            <w:rFonts w:ascii="arial" w:eastAsia="arial" w:hAnsi="arial" w:cs="arial"/>
            <w:b w:val="0"/>
            <w:i/>
            <w:strike w:val="0"/>
            <w:noProof w:val="0"/>
            <w:color w:val="0077CC"/>
            <w:position w:val="0"/>
            <w:sz w:val="18"/>
            <w:u w:val="single"/>
            <w:vertAlign w:val="baseline"/>
          </w:rPr>
          <w:t>18 U.S.C. § 2</w:t>
        </w:r>
      </w:hyperlink>
      <w:r>
        <w:rPr>
          <w:rFonts w:ascii="arial" w:eastAsia="arial" w:hAnsi="arial" w:cs="arial"/>
          <w:b w:val="0"/>
          <w:i w:val="0"/>
          <w:strike w:val="0"/>
          <w:noProof w:val="0"/>
          <w:color w:val="000000"/>
          <w:position w:val="0"/>
          <w:sz w:val="18"/>
          <w:u w:val="none"/>
          <w:vertAlign w:val="baseline"/>
        </w:rPr>
        <w:t xml:space="preserve"> "eliminates the legal distinction between aiders and abettors and principals." However, this statement must be read in the context of the full opinion, including the following sentence, which reads "[t]herefore, it makes sense to look to the underlying statute of conviction, rather than </w:t>
      </w:r>
      <w:hyperlink r:id="rId4" w:history="1">
        <w:r>
          <w:rPr>
            <w:rFonts w:ascii="arial" w:eastAsia="arial" w:hAnsi="arial" w:cs="arial"/>
            <w:b w:val="0"/>
            <w:i/>
            <w:strike w:val="0"/>
            <w:noProof w:val="0"/>
            <w:color w:val="0077CC"/>
            <w:position w:val="0"/>
            <w:sz w:val="18"/>
            <w:u w:val="single"/>
            <w:vertAlign w:val="baseline"/>
          </w:rPr>
          <w:t>§ 2</w:t>
        </w:r>
      </w:hyperlink>
      <w:r>
        <w:rPr>
          <w:rFonts w:ascii="arial" w:eastAsia="arial" w:hAnsi="arial" w:cs="arial"/>
          <w:b w:val="0"/>
          <w:i w:val="0"/>
          <w:strike w:val="0"/>
          <w:noProof w:val="0"/>
          <w:color w:val="000000"/>
          <w:position w:val="0"/>
          <w:sz w:val="18"/>
          <w:u w:val="none"/>
          <w:vertAlign w:val="baseline"/>
        </w:rPr>
        <w:t xml:space="preserve">, to decide whether the elements clause is satisfied." </w:t>
      </w:r>
      <w:bookmarkStart w:id="220" w:name="Bookmark_I69B1W2728T5120030000400"/>
      <w:bookmarkEnd w:id="220"/>
      <w:hyperlink r:id="rId20" w:history="1">
        <w:r>
          <w:rPr>
            <w:rFonts w:ascii="arial" w:eastAsia="arial" w:hAnsi="arial" w:cs="arial"/>
            <w:b w:val="0"/>
            <w:i/>
            <w:strike w:val="0"/>
            <w:noProof w:val="0"/>
            <w:color w:val="0077CC"/>
            <w:position w:val="0"/>
            <w:sz w:val="18"/>
            <w:u w:val="single"/>
            <w:vertAlign w:val="baseline"/>
          </w:rPr>
          <w:t>890 F.3d at 1216</w:t>
        </w:r>
      </w:hyperlink>
      <w:r>
        <w:rPr>
          <w:rFonts w:ascii="arial" w:eastAsia="arial" w:hAnsi="arial" w:cs="arial"/>
          <w:b w:val="0"/>
          <w:i w:val="0"/>
          <w:strike w:val="0"/>
          <w:noProof w:val="0"/>
          <w:color w:val="000000"/>
          <w:position w:val="0"/>
          <w:sz w:val="18"/>
          <w:u w:val="none"/>
          <w:vertAlign w:val="baseline"/>
        </w:rPr>
        <w:t xml:space="preserve">. Thus, the nature of the underlying crime will determine, per </w:t>
      </w:r>
      <w:r>
        <w:rPr>
          <w:rFonts w:ascii="arial" w:eastAsia="arial" w:hAnsi="arial" w:cs="arial"/>
          <w:b w:val="0"/>
          <w:i/>
          <w:strike w:val="0"/>
          <w:noProof w:val="0"/>
          <w:color w:val="000000"/>
          <w:position w:val="0"/>
          <w:sz w:val="18"/>
          <w:u w:val="none"/>
          <w:vertAlign w:val="baseline"/>
        </w:rPr>
        <w:t>Deiter</w:t>
      </w:r>
      <w:r>
        <w:rPr>
          <w:rFonts w:ascii="arial" w:eastAsia="arial" w:hAnsi="arial" w:cs="arial"/>
          <w:b w:val="0"/>
          <w:i w:val="0"/>
          <w:strike w:val="0"/>
          <w:noProof w:val="0"/>
          <w:color w:val="000000"/>
          <w:position w:val="0"/>
          <w:sz w:val="18"/>
          <w:u w:val="none"/>
          <w:vertAlign w:val="baseline"/>
        </w:rPr>
        <w:t xml:space="preserve">, whether an aiding and abetting charge constitutes a "violent felony" for the purposes of, for example, the </w:t>
      </w:r>
      <w:hyperlink r:id="rId21" w:history="1">
        <w:r>
          <w:rPr>
            <w:rFonts w:ascii="arial" w:eastAsia="arial" w:hAnsi="arial" w:cs="arial"/>
            <w:b w:val="0"/>
            <w:i/>
            <w:strike w:val="0"/>
            <w:noProof w:val="0"/>
            <w:color w:val="0077CC"/>
            <w:position w:val="0"/>
            <w:sz w:val="18"/>
            <w:u w:val="single"/>
            <w:vertAlign w:val="baseline"/>
          </w:rPr>
          <w:t>Armed Career Criminal Act (ACCA)</w:t>
        </w:r>
      </w:hyperlink>
      <w:r>
        <w:rPr>
          <w:rFonts w:ascii="arial" w:eastAsia="arial" w:hAnsi="arial" w:cs="arial"/>
          <w:b w:val="0"/>
          <w:i w:val="0"/>
          <w:strike w:val="0"/>
          <w:noProof w:val="0"/>
          <w:color w:val="000000"/>
          <w:position w:val="0"/>
          <w:sz w:val="18"/>
          <w:u w:val="none"/>
          <w:vertAlign w:val="baseline"/>
        </w:rPr>
        <w:t xml:space="preserve">. However, this statement is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properly read for the proposition that the venue cases (including as they relate to aiding and abetting), such as </w:t>
      </w:r>
      <w:bookmarkStart w:id="221" w:name="Bookmark_I69B1W282HM6JM0010000400_2"/>
      <w:bookmarkEnd w:id="221"/>
      <w:bookmarkStart w:id="222" w:name="Bookmark_I69B1W2728T5120020000400_2"/>
      <w:bookmarkEnd w:id="222"/>
      <w:bookmarkStart w:id="223" w:name="Bookmark_I69B1W2728T5120050000400"/>
      <w:bookmarkEnd w:id="223"/>
      <w:hyperlink r:id="rId22" w:history="1">
        <w:r>
          <w:rPr>
            <w:rFonts w:ascii="arial" w:eastAsia="arial" w:hAnsi="arial" w:cs="arial"/>
            <w:b w:val="0"/>
            <w:i/>
            <w:strike w:val="0"/>
            <w:noProof w:val="0"/>
            <w:color w:val="0077CC"/>
            <w:position w:val="0"/>
            <w:sz w:val="18"/>
            <w:u w:val="single"/>
            <w:vertAlign w:val="baseline"/>
          </w:rPr>
          <w:t>Coppola</w:t>
        </w:r>
      </w:hyperlink>
      <w:r>
        <w:rPr>
          <w:rFonts w:ascii="arial" w:eastAsia="arial" w:hAnsi="arial" w:cs="arial"/>
          <w:b w:val="0"/>
          <w:i w:val="0"/>
          <w:strike w:val="0"/>
          <w:noProof w:val="0"/>
          <w:color w:val="000000"/>
          <w:position w:val="0"/>
          <w:sz w:val="18"/>
          <w:u w:val="none"/>
          <w:vertAlign w:val="baseline"/>
        </w:rPr>
        <w:t xml:space="preserve"> and </w:t>
      </w:r>
      <w:bookmarkStart w:id="224" w:name="Bookmark_I69B1W282HM6JM0020000400"/>
      <w:bookmarkEnd w:id="224"/>
      <w:hyperlink r:id="rId23" w:history="1">
        <w:r>
          <w:rPr>
            <w:rFonts w:ascii="arial" w:eastAsia="arial" w:hAnsi="arial" w:cs="arial"/>
            <w:b w:val="0"/>
            <w:i/>
            <w:strike w:val="0"/>
            <w:noProof w:val="0"/>
            <w:color w:val="0077CC"/>
            <w:position w:val="0"/>
            <w:sz w:val="18"/>
            <w:u w:val="single"/>
            <w:vertAlign w:val="baseline"/>
          </w:rPr>
          <w:t>Jackson</w:t>
        </w:r>
      </w:hyperlink>
      <w:r>
        <w:rPr>
          <w:rFonts w:ascii="arial" w:eastAsia="arial" w:hAnsi="arial" w:cs="arial"/>
          <w:b w:val="0"/>
          <w:i w:val="0"/>
          <w:strike w:val="0"/>
          <w:noProof w:val="0"/>
          <w:color w:val="000000"/>
          <w:position w:val="0"/>
          <w:sz w:val="18"/>
          <w:u w:val="none"/>
          <w:vertAlign w:val="baseline"/>
        </w:rPr>
        <w:t xml:space="preserve">, were implicitly overruled. With respect, then, the government seems to have overread the above-quotes line from </w:t>
      </w:r>
      <w:r>
        <w:rPr>
          <w:rFonts w:ascii="arial" w:eastAsia="arial" w:hAnsi="arial" w:cs="arial"/>
          <w:b w:val="0"/>
          <w:i/>
          <w:strike w:val="0"/>
          <w:noProof w:val="0"/>
          <w:color w:val="000000"/>
          <w:position w:val="0"/>
          <w:sz w:val="18"/>
          <w:u w:val="none"/>
          <w:vertAlign w:val="baseline"/>
        </w:rPr>
        <w:t>Deiter</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Eziyi, 2023 U.S. Dist. LEXIS 175664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KP-2NT1-JF1Y-B2N1-00000-00&amp;context=1519360" TargetMode="External" /><Relationship Id="rId11" Type="http://schemas.openxmlformats.org/officeDocument/2006/relationships/hyperlink" Target="https://advance.lexis.com/api/document?collection=cases&amp;id=urn:contentItem:6BD9-0643-RV48-B1MV-00000-00&amp;context=1519360" TargetMode="External" /><Relationship Id="rId12" Type="http://schemas.openxmlformats.org/officeDocument/2006/relationships/hyperlink" Target="https://advance.lexis.com/api/document?collection=cases&amp;id=urn:contentItem:6BH8-JR83-RRWC-82SM-00000-00&amp;context=1519360" TargetMode="External" /><Relationship Id="rId13" Type="http://schemas.openxmlformats.org/officeDocument/2006/relationships/hyperlink" Target="https://advance.lexis.com/api/document?collection=statutes-legislation&amp;id=urn:contentItem:677P-FND3-CGX8-048C-00000-00&amp;context=1519360" TargetMode="External" /><Relationship Id="rId14" Type="http://schemas.openxmlformats.org/officeDocument/2006/relationships/hyperlink" Target="https://advance.lexis.com/api/document?collection=statutes-legislation&amp;id=urn:contentItem:8SG9-5042-D6RV-H0CF-00000-00&amp;context=1519360" TargetMode="External" /><Relationship Id="rId15" Type="http://schemas.openxmlformats.org/officeDocument/2006/relationships/hyperlink" Target="https://advance.lexis.com/api/document?collection=statutes-legislation&amp;id=urn:contentItem:8SG9-5042-D6RV-H0PR-00000-00&amp;context=1519360" TargetMode="External" /><Relationship Id="rId16" Type="http://schemas.openxmlformats.org/officeDocument/2006/relationships/hyperlink" Target="https://advance.lexis.com/api/document?collection=statutes-legislation&amp;id=urn:contentItem:62J7-FGJ3-GXJ9-30J6-00000-00&amp;context=1519360" TargetMode="External" /><Relationship Id="rId17" Type="http://schemas.openxmlformats.org/officeDocument/2006/relationships/hyperlink" Target="https://advance.lexis.com/api/document?collection=statutes-legislation&amp;id=urn:contentItem:8SG9-5032-D6RV-H4XK-00000-00&amp;context=1519360" TargetMode="External" /><Relationship Id="rId18" Type="http://schemas.openxmlformats.org/officeDocument/2006/relationships/hyperlink" Target="https://advance.lexis.com/api/document?collection=statutes-legislation&amp;id=urn:contentItem:8T9R-R212-8T6X-72X8-00000-00&amp;context=1519360" TargetMode="External" /><Relationship Id="rId19"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731-FG36-13VB-00000-00&amp;context=1519360" TargetMode="External" /><Relationship Id="rId21" Type="http://schemas.openxmlformats.org/officeDocument/2006/relationships/hyperlink" Target="https://advance.lexis.com/api/document?collection=cases&amp;id=urn:contentItem:3SV2-K020-004C-0001-00000-00&amp;context=1519360" TargetMode="External" /><Relationship Id="rId22" Type="http://schemas.openxmlformats.org/officeDocument/2006/relationships/hyperlink" Target="https://advance.lexis.com/api/document?collection=cases&amp;id=urn:contentItem:3S4X-HTP0-00B1-D3PJ-00000-00&amp;context=1519360" TargetMode="External" /><Relationship Id="rId23" Type="http://schemas.openxmlformats.org/officeDocument/2006/relationships/hyperlink" Target="https://advance.lexis.com/api/document?collection=cases&amp;id=urn:contentItem:3S4X-7B90-003B-53RT-00000-00&amp;context=1519360" TargetMode="External" /><Relationship Id="rId24" Type="http://schemas.openxmlformats.org/officeDocument/2006/relationships/hyperlink" Target="https://advance.lexis.com/api/document?collection=cases&amp;id=urn:contentItem:5D83-MKW1-F04K-W0CP-00000-00&amp;context=1519360" TargetMode="External" /><Relationship Id="rId25" Type="http://schemas.openxmlformats.org/officeDocument/2006/relationships/hyperlink" Target="https://advance.lexis.com/api/document?collection=cases&amp;id=urn:contentItem:3S4X-J3D0-003B-S0BH-00000-00&amp;context=1519360" TargetMode="External" /><Relationship Id="rId26" Type="http://schemas.openxmlformats.org/officeDocument/2006/relationships/hyperlink" Target="https://advance.lexis.com/api/document?collection=cases&amp;id=urn:contentItem:68G6-N2X1-FG68-G4R8-00000-00&amp;context=1519360" TargetMode="External" /><Relationship Id="rId27" Type="http://schemas.openxmlformats.org/officeDocument/2006/relationships/hyperlink" Target="https://advance.lexis.com/api/document?collection=cases&amp;id=urn:contentItem:3W4F-S090-004B-Y012-00000-00&amp;context=1519360" TargetMode="External" /><Relationship Id="rId28" Type="http://schemas.openxmlformats.org/officeDocument/2006/relationships/hyperlink" Target="https://advance.lexis.com/api/document?collection=cases&amp;id=urn:contentItem:52XP-C1F1-F04K-W0CV-00000-00&amp;context=1519360" TargetMode="External" /><Relationship Id="rId29" Type="http://schemas.openxmlformats.org/officeDocument/2006/relationships/hyperlink" Target="https://advance.lexis.com/api/document?collection=statutes-legislation&amp;id=urn:contentItem:5GYC-2731-FG36-13T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R2R-BJD1-FC6N-X2NW-00000-00&amp;context=1519360" TargetMode="External" /><Relationship Id="rId31" Type="http://schemas.openxmlformats.org/officeDocument/2006/relationships/hyperlink" Target="https://advance.lexis.com/api/document?collection=cases&amp;id=urn:contentItem:3S4N-7RH0-003B-61WD-00000-00&amp;context=1519360" TargetMode="External" /><Relationship Id="rId32" Type="http://schemas.openxmlformats.org/officeDocument/2006/relationships/hyperlink" Target="https://advance.lexis.com/api/document?collection=cases&amp;id=urn:contentItem:3S4X-H6H0-003B-S414-00000-00&amp;context=1519360" TargetMode="External" /><Relationship Id="rId33" Type="http://schemas.openxmlformats.org/officeDocument/2006/relationships/hyperlink" Target="https://advance.lexis.com/api/document?collection=cases&amp;id=urn:contentItem:4H9S-8XC0-0038-X0P6-00000-00&amp;context=1519360" TargetMode="External" /><Relationship Id="rId34" Type="http://schemas.openxmlformats.org/officeDocument/2006/relationships/hyperlink" Target="https://advance.lexis.com/api/document?collection=cases&amp;id=urn:contentItem:3S4X-2R60-003B-7014-00000-00&amp;context=1519360" TargetMode="External" /><Relationship Id="rId35" Type="http://schemas.openxmlformats.org/officeDocument/2006/relationships/hyperlink" Target="https://advance.lexis.com/api/document?collection=cases&amp;id=urn:contentItem:4GY3-R7F0-0038-X2WJ-00000-00&amp;context=1519360" TargetMode="External" /><Relationship Id="rId36" Type="http://schemas.openxmlformats.org/officeDocument/2006/relationships/hyperlink" Target="https://advance.lexis.com/api/document?collection=cases&amp;id=urn:contentItem:5BYD-P4S1-F04K-K00F-00000-00&amp;context=1519360" TargetMode="External" /><Relationship Id="rId37" Type="http://schemas.openxmlformats.org/officeDocument/2006/relationships/hyperlink" Target="https://advance.lexis.com/api/document?collection=cases&amp;id=urn:contentItem:558B-TPM1-F04K-M1XD-00000-00&amp;context=1519360" TargetMode="External" /><Relationship Id="rId38" Type="http://schemas.openxmlformats.org/officeDocument/2006/relationships/hyperlink" Target="https://advance.lexis.com/api/document?collection=cases&amp;id=urn:contentItem:5PNF-B211-F04F-21KF-00000-00&amp;context=1519360" TargetMode="External" /><Relationship Id="rId39" Type="http://schemas.openxmlformats.org/officeDocument/2006/relationships/hyperlink" Target="https://advance.lexis.com/api/document?collection=cases&amp;id=urn:contentItem:52KX-V1J1-JCNJ-502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BMJ-DTK0-0038-X2YG-00000-00&amp;context=1519360" TargetMode="External" /><Relationship Id="rId41" Type="http://schemas.openxmlformats.org/officeDocument/2006/relationships/hyperlink" Target="https://advance.lexis.com/api/document?collection=cases&amp;id=urn:contentItem:4RWJ-YKD0-TXFX-931J-00000-00&amp;context=1519360" TargetMode="External" /><Relationship Id="rId42" Type="http://schemas.openxmlformats.org/officeDocument/2006/relationships/hyperlink" Target="https://advance.lexis.com/api/document?collection=cases&amp;id=urn:contentItem:6760-KSC1-JC5P-G0GC-00000-00&amp;context=1519360" TargetMode="External" /><Relationship Id="rId43" Type="http://schemas.openxmlformats.org/officeDocument/2006/relationships/hyperlink" Target="https://advance.lexis.com/api/document?collection=statutes-legislation&amp;id=urn:contentItem:8SG9-5042-D6RV-H16D-00000-00&amp;context=1519360" TargetMode="External" /><Relationship Id="rId44" Type="http://schemas.openxmlformats.org/officeDocument/2006/relationships/hyperlink" Target="https://advance.lexis.com/api/document?collection=cases&amp;id=urn:contentItem:4VC8-DYF0-TXFX-12WX-00000-00&amp;context=1519360" TargetMode="External" /><Relationship Id="rId45" Type="http://schemas.openxmlformats.org/officeDocument/2006/relationships/hyperlink" Target="https://advance.lexis.com/api/document?collection=cases&amp;id=urn:contentItem:3S4X-3WS0-003B-G1M7-00000-00&amp;context=1519360" TargetMode="External" /><Relationship Id="rId46" Type="http://schemas.openxmlformats.org/officeDocument/2006/relationships/hyperlink" Target="https://advance.lexis.com/api/document?collection=cases&amp;id=urn:contentItem:3RNP-72X0-0038-X2VD-00000-00&amp;context=1519360" TargetMode="External" /><Relationship Id="rId47" Type="http://schemas.openxmlformats.org/officeDocument/2006/relationships/hyperlink" Target="https://advance.lexis.com/api/document?collection=cases&amp;id=urn:contentItem:4GFC-KF40-004B-Y025-00000-00&amp;context=1519360" TargetMode="External" /><Relationship Id="rId48" Type="http://schemas.openxmlformats.org/officeDocument/2006/relationships/hyperlink" Target="https://advance.lexis.com/api/document?collection=cases&amp;id=urn:contentItem:5MJ2-MJX1-F04F-20Y3-00000-00&amp;context=1519360" TargetMode="External" /><Relationship Id="rId49" Type="http://schemas.openxmlformats.org/officeDocument/2006/relationships/hyperlink" Target="https://advance.lexis.com/api/document?collection=cases&amp;id=urn:contentItem:5MJ2-MJX1-F04F-20Y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C8K0-0039-P1W3-00000-00&amp;context=1519360" TargetMode="External" /><Relationship Id="rId51" Type="http://schemas.openxmlformats.org/officeDocument/2006/relationships/hyperlink" Target="https://advance.lexis.com/api/document?collection=cases&amp;id=urn:contentItem:3S4X-1KC0-003B-G216-00000-00&amp;context=1519360" TargetMode="External" /><Relationship Id="rId52" Type="http://schemas.openxmlformats.org/officeDocument/2006/relationships/hyperlink" Target="https://advance.lexis.com/api/document?collection=cases&amp;id=urn:contentItem:3S4X-FGB0-00B1-D16M-00000-00&amp;context=1519360" TargetMode="External" /><Relationship Id="rId53" Type="http://schemas.openxmlformats.org/officeDocument/2006/relationships/hyperlink" Target="https://advance.lexis.com/api/document?collection=cases&amp;id=urn:contentItem:3S4X-2T70-003B-P4YW-00000-00&amp;context=1519360" TargetMode="External" /><Relationship Id="rId54" Type="http://schemas.openxmlformats.org/officeDocument/2006/relationships/hyperlink" Target="https://advance.lexis.com/api/document?collection=cases&amp;id=urn:contentItem:5BTS-W161-F04K-F002-00000-00&amp;context=1519360" TargetMode="External" /><Relationship Id="rId55" Type="http://schemas.openxmlformats.org/officeDocument/2006/relationships/hyperlink" Target="https://advance.lexis.com/api/document?collection=cases&amp;id=urn:contentItem:47P1-DRD0-004B-Y017-00000-00&amp;context=1519360" TargetMode="External" /><Relationship Id="rId56" Type="http://schemas.openxmlformats.org/officeDocument/2006/relationships/hyperlink" Target="https://advance.lexis.com/api/document?collection=cases&amp;id=urn:contentItem:62BJ-4Y31-F27X-64R8-00000-00&amp;context=1519360" TargetMode="External" /><Relationship Id="rId57" Type="http://schemas.openxmlformats.org/officeDocument/2006/relationships/hyperlink" Target="https://advance.lexis.com/api/document?collection=cases&amp;id=urn:contentItem:3S4W-YWR0-0039-X3NN-00000-00&amp;context=1519360" TargetMode="External" /><Relationship Id="rId58" Type="http://schemas.openxmlformats.org/officeDocument/2006/relationships/hyperlink" Target="https://advance.lexis.com/api/document?collection=cases&amp;id=urn:contentItem:3S4X-0CK0-0039-X03F-00000-00&amp;context=1519360" TargetMode="External" /><Relationship Id="rId59" Type="http://schemas.openxmlformats.org/officeDocument/2006/relationships/hyperlink" Target="https://advance.lexis.com/api/document?collection=cases&amp;id=urn:contentItem:3S4X-5WV0-0039-X4TT-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42G0-003B-G2MT-00000-00&amp;context=1519360" TargetMode="External" /><Relationship Id="rId61" Type="http://schemas.openxmlformats.org/officeDocument/2006/relationships/hyperlink" Target="https://advance.lexis.com/api/document?collection=cases&amp;id=urn:contentItem:3S4X-1430-003B-02MR-00000-00&amp;context=1519360" TargetMode="External" /><Relationship Id="rId62" Type="http://schemas.openxmlformats.org/officeDocument/2006/relationships/hyperlink" Target="https://advance.lexis.com/api/document?collection=cases&amp;id=urn:contentItem:3S4X-2J20-0039-M43X-00000-00&amp;context=1519360" TargetMode="External" /><Relationship Id="rId63" Type="http://schemas.openxmlformats.org/officeDocument/2006/relationships/hyperlink" Target="https://advance.lexis.com/api/document?collection=cases&amp;id=urn:contentItem:3S4W-XW70-001B-K51W-00000-00&amp;context=1519360" TargetMode="External" /><Relationship Id="rId64" Type="http://schemas.openxmlformats.org/officeDocument/2006/relationships/hyperlink" Target="https://advance.lexis.com/api/document?collection=cases&amp;id=urn:contentItem:3S4W-XXS0-0039-M510-00000-00&amp;context=1519360" TargetMode="External" /><Relationship Id="rId65" Type="http://schemas.openxmlformats.org/officeDocument/2006/relationships/hyperlink" Target="https://advance.lexis.com/api/document?collection=cases&amp;id=urn:contentItem:5SD4-VCR1-JNCK-23G6-00000-00&amp;context=1519360" TargetMode="External" /><Relationship Id="rId66" Type="http://schemas.openxmlformats.org/officeDocument/2006/relationships/hyperlink" Target="https://advance.lexis.com/api/document?collection=cases&amp;id=urn:contentItem:5K34-9KW1-F04K-X0NK-00000-00&amp;context=1519360" TargetMode="External" /><Relationship Id="rId67" Type="http://schemas.openxmlformats.org/officeDocument/2006/relationships/hyperlink" Target="https://advance.lexis.com/api/document?collection=cases&amp;id=urn:contentItem:3S4W-T9S0-0039-M0GP-00000-00&amp;context=1519360" TargetMode="External" /><Relationship Id="rId68" Type="http://schemas.openxmlformats.org/officeDocument/2006/relationships/hyperlink" Target="https://advance.lexis.com/api/document?collection=cases&amp;id=urn:contentItem:3S4X-1HN0-0039-M1WT-00000-00&amp;context=1519360" TargetMode="External" /><Relationship Id="rId69" Type="http://schemas.openxmlformats.org/officeDocument/2006/relationships/theme" Target="theme/theme1.xml" /><Relationship Id="rId7" Type="http://schemas.openxmlformats.org/officeDocument/2006/relationships/footer" Target="footer2.xml" /><Relationship Id="rId70"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R-90F1-F361-M2K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2J7-FGJ3-GXJ9-30J6-00000-00&amp;context=1519360" TargetMode="External" /><Relationship Id="rId10" Type="http://schemas.openxmlformats.org/officeDocument/2006/relationships/hyperlink" Target="https://advance.lexis.com/api/document?collection=cases&amp;id=urn:contentItem:3S4X-F2F0-003B-S3FG-00000-00&amp;context=1519360" TargetMode="External" /><Relationship Id="rId11" Type="http://schemas.openxmlformats.org/officeDocument/2006/relationships/hyperlink" Target="https://advance.lexis.com/api/document?collection=statutes-legislation&amp;id=urn:contentItem:8SG9-5042-D6RV-H16D-00000-00&amp;context=1519360" TargetMode="External" /><Relationship Id="rId12" Type="http://schemas.openxmlformats.org/officeDocument/2006/relationships/hyperlink" Target="https://advance.lexis.com/api/document?collection=cases&amp;id=urn:contentItem:3RRM-1WS0-006F-M310-00000-00&amp;context=1519360" TargetMode="External" /><Relationship Id="rId13" Type="http://schemas.openxmlformats.org/officeDocument/2006/relationships/hyperlink" Target="https://advance.lexis.com/api/document?collection=cases&amp;id=urn:contentItem:52KX-V1J1-JCNJ-502G-00000-00&amp;context=1519360" TargetMode="External" /><Relationship Id="rId14" Type="http://schemas.openxmlformats.org/officeDocument/2006/relationships/hyperlink" Target="https://advance.lexis.com/api/document?collection=cases&amp;id=urn:contentItem:3S4X-1HR0-0039-W22W-00000-00&amp;context=1519360" TargetMode="External" /><Relationship Id="rId15" Type="http://schemas.openxmlformats.org/officeDocument/2006/relationships/hyperlink" Target="https://advance.lexis.com/api/document?collection=cases&amp;id=urn:contentItem:558B-TPM1-F04K-M1XD-00000-00&amp;context=1519360" TargetMode="External" /><Relationship Id="rId16" Type="http://schemas.openxmlformats.org/officeDocument/2006/relationships/hyperlink" Target="https://advance.lexis.com/api/document?collection=cases&amp;id=urn:contentItem:4MMP-D530-TVW3-P32M-00000-00&amp;context=1519360" TargetMode="External" /><Relationship Id="rId17" Type="http://schemas.openxmlformats.org/officeDocument/2006/relationships/hyperlink" Target="https://advance.lexis.com/api/document?collection=cases&amp;id=urn:contentItem:5MJ2-MJX1-F04F-20Y3-00000-00&amp;context=1519360" TargetMode="External" /><Relationship Id="rId18" Type="http://schemas.openxmlformats.org/officeDocument/2006/relationships/hyperlink" Target="https://advance.lexis.com/api/document?collection=cases&amp;id=urn:contentItem:3S4X-8RK0-003B-S1KN-00000-00&amp;context=1519360" TargetMode="External" /><Relationship Id="rId19" Type="http://schemas.openxmlformats.org/officeDocument/2006/relationships/hyperlink" Target="https://advance.lexis.com/api/document?collection=cases&amp;id=urn:contentItem:5MJ2-MJX1-F04F-20Y5-00000-00&amp;context=1519360" TargetMode="External" /><Relationship Id="rId2" Type="http://schemas.openxmlformats.org/officeDocument/2006/relationships/hyperlink" Target="https://advance.lexis.com/api/document?collection=statutes-legislation&amp;id=urn:contentItem:8SG9-5042-D6RV-H0PR-00000-00&amp;context=1519360" TargetMode="External" /><Relationship Id="rId20" Type="http://schemas.openxmlformats.org/officeDocument/2006/relationships/hyperlink" Target="https://advance.lexis.com/api/document?collection=cases&amp;id=urn:contentItem:5SD4-VCR1-JNCK-23G6-00000-00&amp;context=1519360" TargetMode="External" /><Relationship Id="rId21" Type="http://schemas.openxmlformats.org/officeDocument/2006/relationships/hyperlink" Target="https://advance.lexis.com/api/document?collection=statutes-legislation&amp;id=urn:contentItem:6C7N-K8C3-RS1Y-S2RB-00000-00&amp;context=1519360" TargetMode="External" /><Relationship Id="rId22" Type="http://schemas.openxmlformats.org/officeDocument/2006/relationships/hyperlink" Target="https://advance.lexis.com/api/document?collection=cases&amp;id=urn:contentItem:3S4W-YWR0-0039-X3NN-00000-00&amp;context=1519360" TargetMode="External" /><Relationship Id="rId23" Type="http://schemas.openxmlformats.org/officeDocument/2006/relationships/hyperlink" Target="https://advance.lexis.com/api/document?collection=cases&amp;id=urn:contentItem:3S4X-0CK0-0039-X03F-00000-00&amp;context=1519360" TargetMode="External" /><Relationship Id="rId3" Type="http://schemas.openxmlformats.org/officeDocument/2006/relationships/hyperlink" Target="https://advance.lexis.com/api/document?collection=cases&amp;id=urn:contentItem:5S0D-K4V1-F1P7-B2KH-00000-00&amp;context=1519360" TargetMode="External" /><Relationship Id="rId4" Type="http://schemas.openxmlformats.org/officeDocument/2006/relationships/hyperlink" Target="https://advance.lexis.com/api/document?collection=statutes-legislation&amp;id=urn:contentItem:8SG9-5032-D6RV-H4XK-00000-00&amp;context=1519360" TargetMode="External" /><Relationship Id="rId5" Type="http://schemas.openxmlformats.org/officeDocument/2006/relationships/hyperlink" Target="https://advance.lexis.com/api/document?collection=cases&amp;id=urn:contentItem:3SV2-K020-004C-0001-00000-00&amp;context=1519360" TargetMode="External" /><Relationship Id="rId6" Type="http://schemas.openxmlformats.org/officeDocument/2006/relationships/hyperlink" Target="https://advance.lexis.com/api/document?collection=cases&amp;id=urn:contentItem:3S4X-2R60-003B-7014-00000-00&amp;context=1519360" TargetMode="External" /><Relationship Id="rId7" Type="http://schemas.openxmlformats.org/officeDocument/2006/relationships/hyperlink" Target="https://advance.lexis.com/api/document?collection=statutes-legislation&amp;id=urn:contentItem:8T9R-T4F2-D6RV-H37N-00000-00&amp;context=1519360" TargetMode="External" /><Relationship Id="rId8" Type="http://schemas.openxmlformats.org/officeDocument/2006/relationships/hyperlink" Target="https://advance.lexis.com/api/document?collection=cases&amp;id=urn:contentItem:4BMJ-DTK0-0038-X2YG-00000-00&amp;context=1519360" TargetMode="External" /><Relationship Id="rId9" Type="http://schemas.openxmlformats.org/officeDocument/2006/relationships/hyperlink" Target="https://advance.lexis.com/api/document?collection=cases&amp;id=urn:contentItem:488N-F2B0-0038-X1S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Eziyi, 2023 U.S. Dist. LEXIS 175664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urn:user:PA186186283</vt:lpwstr>
  </property>
</Properties>
</file>