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Wondie v. King Cnty.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Washington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 2023, Decided; January 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2:21-cv-01623-JHC</w:t>
      </w:r>
    </w:p>
    <w:p>
      <w:pPr>
        <w:keepNext w:val="0"/>
        <w:spacing w:after="0" w:line="240" w:lineRule="atLeast"/>
        <w:ind w:right="0"/>
        <w:jc w:val="both"/>
      </w:pPr>
      <w:bookmarkStart w:id="0" w:name="Bookmark_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337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22058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GIZACHEW WONDIE, Plaintiff, v. KING COUNTY et al., Defendant.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Wondie v. King County, 2022 U.S. Dist. LEXIS 113171 (W.D. Wash., June 24,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custom, amended complaint, ratification, constitutional violation, municipal, policymaker, misconduct, motion to dismiss, deception, ratified, wrongdoing, arrest, subordinate's, longstanding, discipline, asserts, misuse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Gizachew Wondie, Plaintiff: Dan N Fiorito, III, THE LAW OFFICE OF DAN N FIORITO III, SEATTLE, WA.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King County, a political subdivision of the State of Washington, King County Sheriff's Office, an entity of King County, Kathleen Decker, in her official and individual capacities, Defendants: John Robert Zeldenrust, KING COUNTY PROSECUTING ATTORNEY'S OFFICE (2ND AVE), SEATTLE, WA; Karissa Lynne Taylor, KING COUNTY PROSECUTING ATTORNEY'S OFFICE (CIVIL), SEATTLE, WA.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John H. Chun,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John H. Chun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Introduction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This matter comes before the Court on Defendant King County's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to Dismiss. Dkt. # 42. The Court GRANTS the motion without prejudice and GRANTS Plaintiff leave to amend.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Because the parties are familiar with the facts, this order merely summarizes the case.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Dkt. # 41 (operative complaint).</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In connection with an ongoing criminal investigation, Detective Kathleen Decker applied for a warrant to search and arrest Plaintiff Gizachew Wondie. A judge approved a warrant based on Decker's affidavit. But the affidavit contained omissions and misstatements, without which no probable cause existed. For example, the complaint alleges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that Decker misrepresented the evidentiary value of certain ballistics reports and that Decker improperly suggested that Mr. Wondie was involved in a particular gang. Pursuant to that warrant, Wondie was arrested on December 6, 2018. Deputy George Alvarez was the lead officer of the SWAT team that carried out the arrest.</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 xml:space="preserve">The government then brought charges against Wondie. In his federal criminal proceedings, Wondie filed a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motion (arguing that the warrant lacked probable cause) and a motion to suppress.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The court granted the motion, concluding that Decker submitted misrepresentations and omissions in her application for a warrant, and without such statements, the warrant would fail for lack of probable cause. Dkt. # 41-1 at 12 (</w:t>
      </w:r>
      <w:r>
        <w:rPr>
          <w:rFonts w:ascii="arial" w:eastAsia="arial" w:hAnsi="arial" w:cs="arial"/>
          <w:b w:val="0"/>
          <w:i/>
          <w:strike w:val="0"/>
          <w:noProof w:val="0"/>
          <w:color w:val="000000"/>
          <w:position w:val="0"/>
          <w:sz w:val="20"/>
          <w:u w:val="none"/>
          <w:vertAlign w:val="baseline"/>
        </w:rPr>
        <w:t>Franks</w:t>
      </w:r>
      <w:r>
        <w:rPr>
          <w:rFonts w:ascii="arial" w:eastAsia="arial" w:hAnsi="arial" w:cs="arial"/>
          <w:b w:val="0"/>
          <w:i w:val="0"/>
          <w:strike w:val="0"/>
          <w:noProof w:val="0"/>
          <w:color w:val="000000"/>
          <w:position w:val="0"/>
          <w:sz w:val="20"/>
          <w:u w:val="none"/>
          <w:vertAlign w:val="baseline"/>
        </w:rPr>
        <w:t xml:space="preserve"> order); Dkt. # 41-2 (suppression order). The court then dismissed all charges against Wondie. Dkt. # 41 at 3.</w:t>
      </w:r>
    </w:p>
    <w:p>
      <w:pPr>
        <w:keepNext w:val="0"/>
        <w:spacing w:before="200" w:after="0" w:line="260" w:lineRule="atLeast"/>
        <w:ind w:left="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 xml:space="preserve">Wondie filed this action against Decker, Alvarez, King County, and the King County Sheriff's Office asserting causes of action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42 U.S.C. § 1988</w:t>
        </w:r>
      </w:hyperlink>
      <w:r>
        <w:rPr>
          <w:rFonts w:ascii="arial" w:eastAsia="arial" w:hAnsi="arial" w:cs="arial"/>
          <w:b w:val="0"/>
          <w:i w:val="0"/>
          <w:strike w:val="0"/>
          <w:noProof w:val="0"/>
          <w:color w:val="000000"/>
          <w:position w:val="0"/>
          <w:sz w:val="20"/>
          <w:u w:val="none"/>
          <w:vertAlign w:val="baseline"/>
        </w:rPr>
        <w:t xml:space="preserve">. The complaint asserts that Defendants violated his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The complaint also asserts that King County ratified the unlawful actions of its employees and adopted an informal policy or custom</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that permitted unconstitutional conduct. The Court dismissed the original complaint without prejudice following the County's motion to dismiss, and it granted Plaintiff leave to amend. Dkt. # 40. Wondie filed an amended complaint (Dkt. # 41), and the County once again moves to dismiss (Dkt. # 42).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13" w:name="Bookmark_para_6"/>
      <w:bookmarkEnd w:id="13"/>
      <w:bookmarkStart w:id="14" w:name="Bookmark_I678NWTK2HM6020020000400"/>
      <w:bookmarkEnd w:id="14"/>
      <w:r>
        <w:rPr>
          <w:rFonts w:ascii="arial" w:eastAsia="arial" w:hAnsi="arial" w:cs="arial"/>
          <w:b w:val="0"/>
          <w:i w:val="0"/>
          <w:strike w:val="0"/>
          <w:noProof w:val="0"/>
          <w:color w:val="000000"/>
          <w:position w:val="0"/>
          <w:sz w:val="20"/>
          <w:u w:val="none"/>
          <w:vertAlign w:val="baseline"/>
        </w:rPr>
        <w:t xml:space="preserve">The County moves to dismiss Wondie's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claim. Dkt. # 42. Under </w:t>
      </w:r>
      <w:r>
        <w:rPr>
          <w:rFonts w:ascii="arial" w:eastAsia="arial" w:hAnsi="arial" w:cs="arial"/>
          <w:b w:val="0"/>
          <w:i/>
          <w:strike w:val="0"/>
          <w:noProof w:val="0"/>
          <w:color w:val="000000"/>
          <w:position w:val="0"/>
          <w:sz w:val="20"/>
          <w:u w:val="none"/>
          <w:vertAlign w:val="baseline"/>
        </w:rPr>
        <w:t>Federal Rule of Civil Procedure 12(b)(6)</w:t>
      </w:r>
      <w:r>
        <w:rPr>
          <w:rFonts w:ascii="arial" w:eastAsia="arial" w:hAnsi="arial" w:cs="arial"/>
          <w:b w:val="0"/>
          <w:i w:val="0"/>
          <w:strike w:val="0"/>
          <w:noProof w:val="0"/>
          <w:color w:val="000000"/>
          <w:position w:val="0"/>
          <w:sz w:val="20"/>
          <w:u w:val="none"/>
          <w:vertAlign w:val="baseline"/>
        </w:rPr>
        <w:t xml:space="preserve">, a defendant may move to dismiss a claim if it "fails to state a claim upon which relief can be granted." To survive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"a complaint must contain sufficient factual matter, accepted as true, to 'state a claim to relief that is plausible on its face.'" </w:t>
      </w:r>
      <w:bookmarkStart w:id="15" w:name="Bookmark_I678NWTK2HM6020010000400"/>
      <w:bookmarkEnd w:id="15"/>
      <w:hyperlink r:id="rId14" w:history="1">
        <w:r>
          <w:rPr>
            <w:rFonts w:ascii="arial" w:eastAsia="arial" w:hAnsi="arial" w:cs="arial"/>
            <w:b w:val="0"/>
            <w:i/>
            <w:strike w:val="0"/>
            <w:noProof w:val="0"/>
            <w:color w:val="0077CC"/>
            <w:position w:val="0"/>
            <w:sz w:val="20"/>
            <w:u w:val="single"/>
            <w:vertAlign w:val="baseline"/>
          </w:rPr>
          <w:t>Ashcroft v. Iqbal</w:t>
        </w:r>
      </w:hyperlink>
      <w:hyperlink r:id="rId14"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(quoting </w:t>
      </w:r>
      <w:bookmarkStart w:id="16" w:name="Bookmark_I678NWTK2HM6020030000400"/>
      <w:bookmarkEnd w:id="16"/>
      <w:hyperlink r:id="rId15" w:history="1">
        <w:r>
          <w:rPr>
            <w:rFonts w:ascii="arial" w:eastAsia="arial" w:hAnsi="arial" w:cs="arial"/>
            <w:b w:val="0"/>
            <w:i/>
            <w:strike w:val="0"/>
            <w:noProof w:val="0"/>
            <w:color w:val="0077CC"/>
            <w:position w:val="0"/>
            <w:sz w:val="20"/>
            <w:u w:val="single"/>
            <w:vertAlign w:val="baseline"/>
          </w:rPr>
          <w:t>Bell Atl. Corp. v. Twombly</w:t>
        </w:r>
      </w:hyperlink>
      <w:hyperlink r:id="rId15"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A plaintiff must plead enough facts that the court can "draw the reasonable inference that the defendant is liable for the misconduct alleged."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Wondie asserts that the County endorsed, ratified, or facilitated three categories of wrongdoing: (1) "judicial deception" (perpetrated by individuals who recklessly or knowingly lied to a court to manufacture probable cause and secure a warrant), (2) misuse of ballistics evidence (used to secure a warrant without probable cause), and (3) improper use of SWAT resources to carry out unlawful arrests.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Dkt. # 41 at 2. For each of these alleged wrongs, Plaintiff seems to assert two theories of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liability. First, Wondie seems to suggest that the County has adopted an informal custom of wrongdoing so pervasive as to amount to the government's own policy.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 41 at 14. Second, Wondie stresses that the County "ratified" the alleged constitutional violations perpetrated by Decker and Alvarez.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15.</w:t>
      </w:r>
    </w:p>
    <w:p>
      <w:pPr>
        <w:keepNext w:val="0"/>
        <w:spacing w:before="240" w:after="0" w:line="260" w:lineRule="atLeast"/>
        <w:ind w:left="0" w:right="0" w:firstLine="0"/>
        <w:jc w:val="both"/>
      </w:pPr>
      <w:bookmarkStart w:id="18" w:name="Bookmark_para_8"/>
      <w:bookmarkEnd w:id="18"/>
      <w:bookmarkStart w:id="19" w:name="Bookmark_I678NWTM2D6N0G0010000400"/>
      <w:bookmarkEnd w:id="19"/>
      <w:bookmarkStart w:id="20" w:name="Bookmark_I678NWTM2D6N0G0030000400"/>
      <w:bookmarkEnd w:id="20"/>
      <w:r>
        <w:rPr>
          <w:rFonts w:ascii="arial" w:eastAsia="arial" w:hAnsi="arial" w:cs="arial"/>
          <w:b w:val="0"/>
          <w:i w:val="0"/>
          <w:strike w:val="0"/>
          <w:noProof w:val="0"/>
          <w:color w:val="000000"/>
          <w:position w:val="0"/>
          <w:sz w:val="20"/>
          <w:u w:val="none"/>
          <w:vertAlign w:val="baseline"/>
        </w:rPr>
        <w:t xml:space="preserve">While a plaintiff may sue a local government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 municipality cannot be held liable "unless a policy, practice, or custom of the entity can be shown to be a moving force behind a violation of constitutional rights." </w:t>
      </w:r>
      <w:bookmarkStart w:id="21" w:name="Bookmark_I678NWTK2HM6020050000400"/>
      <w:bookmarkEnd w:id="21"/>
      <w:hyperlink r:id="rId16" w:history="1">
        <w:r>
          <w:rPr>
            <w:rFonts w:ascii="arial" w:eastAsia="arial" w:hAnsi="arial" w:cs="arial"/>
            <w:b w:val="0"/>
            <w:i/>
            <w:strike w:val="0"/>
            <w:noProof w:val="0"/>
            <w:color w:val="0077CC"/>
            <w:position w:val="0"/>
            <w:sz w:val="20"/>
            <w:u w:val="single"/>
            <w:vertAlign w:val="baseline"/>
          </w:rPr>
          <w:t>Dougherty v. City of Covina</w:t>
        </w:r>
      </w:hyperlink>
      <w:hyperlink r:id="rId16" w:history="1">
        <w:r>
          <w:rPr>
            <w:rFonts w:ascii="arial" w:eastAsia="arial" w:hAnsi="arial" w:cs="arial"/>
            <w:b w:val="0"/>
            <w:i/>
            <w:strike w:val="0"/>
            <w:noProof w:val="0"/>
            <w:color w:val="0077CC"/>
            <w:position w:val="0"/>
            <w:sz w:val="20"/>
            <w:u w:val="single"/>
            <w:vertAlign w:val="baseline"/>
          </w:rPr>
          <w:t>, 654 F.3d 892, 900 (9th Cir. 2011)</w:t>
        </w:r>
      </w:hyperlink>
      <w:r>
        <w:rPr>
          <w:rFonts w:ascii="arial" w:eastAsia="arial" w:hAnsi="arial" w:cs="arial"/>
          <w:b w:val="0"/>
          <w:i w:val="0"/>
          <w:strike w:val="0"/>
          <w:noProof w:val="0"/>
          <w:color w:val="000000"/>
          <w:position w:val="0"/>
          <w:sz w:val="20"/>
          <w:u w:val="none"/>
          <w:vertAlign w:val="baseline"/>
        </w:rPr>
        <w:t xml:space="preserve">. </w:t>
      </w:r>
      <w:bookmarkStart w:id="22" w:name="Bookmark_I678NWTM2D6N0G0050000400"/>
      <w:bookmarkEnd w:id="22"/>
      <w:r>
        <w:rPr>
          <w:rFonts w:ascii="arial" w:eastAsia="arial" w:hAnsi="arial" w:cs="arial"/>
          <w:b w:val="0"/>
          <w:i w:val="0"/>
          <w:strike w:val="0"/>
          <w:noProof w:val="0"/>
          <w:color w:val="000000"/>
          <w:position w:val="0"/>
          <w:sz w:val="20"/>
          <w:u w:val="none"/>
          <w:vertAlign w:val="baseline"/>
        </w:rPr>
        <w:t xml:space="preserve">A local government cannot be held liable based on vicarious liability or </w:t>
      </w:r>
      <w:r>
        <w:rPr>
          <w:rFonts w:ascii="arial" w:eastAsia="arial" w:hAnsi="arial" w:cs="arial"/>
          <w:b w:val="0"/>
          <w:i/>
          <w:strike w:val="0"/>
          <w:noProof w:val="0"/>
          <w:color w:val="000000"/>
          <w:position w:val="0"/>
          <w:sz w:val="20"/>
          <w:u w:val="none"/>
          <w:vertAlign w:val="baseline"/>
        </w:rPr>
        <w:t>respondeat superior</w:t>
      </w:r>
      <w:r>
        <w:rPr>
          <w:rFonts w:ascii="arial" w:eastAsia="arial" w:hAnsi="arial" w:cs="arial"/>
          <w:b w:val="0"/>
          <w:i w:val="0"/>
          <w:strike w:val="0"/>
          <w:noProof w:val="0"/>
          <w:color w:val="000000"/>
          <w:position w:val="0"/>
          <w:sz w:val="20"/>
          <w:u w:val="none"/>
          <w:vertAlign w:val="baseline"/>
        </w:rPr>
        <w:t xml:space="preserve"> liability; a municipality is not liable just because one of its employees commits a constitutional violation. </w:t>
      </w:r>
      <w:bookmarkStart w:id="23" w:name="Bookmark_I678NWTM2D6N0G0020000400"/>
      <w:bookmarkEnd w:id="23"/>
      <w:hyperlink r:id="rId17" w:history="1">
        <w:r>
          <w:rPr>
            <w:rFonts w:ascii="arial" w:eastAsia="arial" w:hAnsi="arial" w:cs="arial"/>
            <w:b w:val="0"/>
            <w:i/>
            <w:strike w:val="0"/>
            <w:noProof w:val="0"/>
            <w:color w:val="0077CC"/>
            <w:position w:val="0"/>
            <w:sz w:val="20"/>
            <w:u w:val="single"/>
            <w:vertAlign w:val="baseline"/>
          </w:rPr>
          <w:t>City of Canton, Ohio v. Harris</w:t>
        </w:r>
      </w:hyperlink>
      <w:hyperlink r:id="rId17" w:history="1">
        <w:r>
          <w:rPr>
            <w:rFonts w:ascii="arial" w:eastAsia="arial" w:hAnsi="arial" w:cs="arial"/>
            <w:b w:val="0"/>
            <w:i/>
            <w:strike w:val="0"/>
            <w:noProof w:val="0"/>
            <w:color w:val="0077CC"/>
            <w:position w:val="0"/>
            <w:sz w:val="20"/>
            <w:u w:val="single"/>
            <w:vertAlign w:val="baseline"/>
          </w:rPr>
          <w:t>, 489 U.S. 378, 385-87, 109 S. Ct. 1197, 103 L. Ed. 2d 412 (1989)</w:t>
        </w:r>
      </w:hyperlink>
      <w:r>
        <w:rPr>
          <w:rFonts w:ascii="arial" w:eastAsia="arial" w:hAnsi="arial" w:cs="arial"/>
          <w:b w:val="0"/>
          <w:i w:val="0"/>
          <w:strike w:val="0"/>
          <w:noProof w:val="0"/>
          <w:color w:val="000000"/>
          <w:position w:val="0"/>
          <w:sz w:val="20"/>
          <w:u w:val="none"/>
          <w:vertAlign w:val="baseline"/>
        </w:rPr>
        <w:t xml:space="preserve">. </w:t>
      </w:r>
      <w:bookmarkStart w:id="24" w:name="Bookmark_I678NWTM2D6N0G0050000400_2"/>
      <w:bookmarkEnd w:id="24"/>
      <w:r>
        <w:rPr>
          <w:rFonts w:ascii="arial" w:eastAsia="arial" w:hAnsi="arial" w:cs="arial"/>
          <w:b w:val="0"/>
          <w:i w:val="0"/>
          <w:strike w:val="0"/>
          <w:noProof w:val="0"/>
          <w:color w:val="000000"/>
          <w:position w:val="0"/>
          <w:sz w:val="20"/>
          <w:u w:val="none"/>
          <w:vertAlign w:val="baseline"/>
        </w:rPr>
        <w:t>Rather, a local government is liable only for its "</w:t>
      </w:r>
      <w:r>
        <w:rPr>
          <w:rFonts w:ascii="arial" w:eastAsia="arial" w:hAnsi="arial" w:cs="arial"/>
          <w:b w:val="0"/>
          <w:i/>
          <w:strike w:val="0"/>
          <w:noProof w:val="0"/>
          <w:color w:val="000000"/>
          <w:position w:val="0"/>
          <w:sz w:val="20"/>
          <w:u w:val="none"/>
          <w:vertAlign w:val="baseline"/>
        </w:rPr>
        <w:t>own</w:t>
      </w:r>
      <w:r>
        <w:rPr>
          <w:rFonts w:ascii="arial" w:eastAsia="arial" w:hAnsi="arial" w:cs="arial"/>
          <w:b w:val="0"/>
          <w:i w:val="0"/>
          <w:strike w:val="0"/>
          <w:noProof w:val="0"/>
          <w:color w:val="000000"/>
          <w:position w:val="0"/>
          <w:sz w:val="20"/>
          <w:u w:val="none"/>
          <w:vertAlign w:val="baseline"/>
        </w:rPr>
        <w:t xml:space="preserve"> illegal acts." </w:t>
      </w:r>
      <w:bookmarkStart w:id="25" w:name="Bookmark_I678NWTM2D6N0G0040000400"/>
      <w:bookmarkEnd w:id="25"/>
      <w:hyperlink r:id="rId18" w:history="1">
        <w:r>
          <w:rPr>
            <w:rFonts w:ascii="arial" w:eastAsia="arial" w:hAnsi="arial" w:cs="arial"/>
            <w:b w:val="0"/>
            <w:i/>
            <w:strike w:val="0"/>
            <w:noProof w:val="0"/>
            <w:color w:val="0077CC"/>
            <w:position w:val="0"/>
            <w:sz w:val="20"/>
            <w:u w:val="single"/>
            <w:vertAlign w:val="baseline"/>
          </w:rPr>
          <w:t>Connick v. Thompson</w:t>
        </w:r>
      </w:hyperlink>
      <w:hyperlink r:id="rId18" w:history="1">
        <w:r>
          <w:rPr>
            <w:rFonts w:ascii="arial" w:eastAsia="arial" w:hAnsi="arial" w:cs="arial"/>
            <w:b w:val="0"/>
            <w:i/>
            <w:strike w:val="0"/>
            <w:noProof w:val="0"/>
            <w:color w:val="0077CC"/>
            <w:position w:val="0"/>
            <w:sz w:val="20"/>
            <w:u w:val="single"/>
            <w:vertAlign w:val="baseline"/>
          </w:rPr>
          <w:t>, 563 U.S. 51, 60, 131 S. Ct. 1350, 179 L. Ed. 2d 417 (2011)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quoting </w:t>
      </w:r>
      <w:bookmarkStart w:id="26" w:name="Bookmark_I678NWTM28T44R0010000400"/>
      <w:bookmarkEnd w:id="26"/>
      <w:hyperlink r:id="rId19" w:history="1">
        <w:r>
          <w:rPr>
            <w:rFonts w:ascii="arial" w:eastAsia="arial" w:hAnsi="arial" w:cs="arial"/>
            <w:b w:val="0"/>
            <w:i/>
            <w:strike w:val="0"/>
            <w:noProof w:val="0"/>
            <w:color w:val="0077CC"/>
            <w:position w:val="0"/>
            <w:sz w:val="20"/>
            <w:u w:val="single"/>
            <w:vertAlign w:val="baseline"/>
          </w:rPr>
          <w:t>Pembaur v. Cincinnati</w:t>
        </w:r>
      </w:hyperlink>
      <w:hyperlink r:id="rId19" w:history="1">
        <w:r>
          <w:rPr>
            <w:rFonts w:ascii="arial" w:eastAsia="arial" w:hAnsi="arial" w:cs="arial"/>
            <w:b w:val="0"/>
            <w:i/>
            <w:strike w:val="0"/>
            <w:noProof w:val="0"/>
            <w:color w:val="0077CC"/>
            <w:position w:val="0"/>
            <w:sz w:val="20"/>
            <w:u w:val="single"/>
            <w:vertAlign w:val="baseline"/>
          </w:rPr>
          <w:t>, 475 U.S. 469, 479, 106 S. Ct. 1292, 89 L. Ed. 2d 452 (1986)</w:t>
        </w:r>
      </w:hyperlink>
      <w:r>
        <w:rPr>
          <w:rFonts w:ascii="arial" w:eastAsia="arial" w:hAnsi="arial" w:cs="arial"/>
          <w:b w:val="0"/>
          <w:i w:val="0"/>
          <w:strike w:val="0"/>
          <w:noProof w:val="0"/>
          <w:color w:val="000000"/>
          <w:position w:val="0"/>
          <w:sz w:val="20"/>
          <w:u w:val="none"/>
          <w:vertAlign w:val="baseline"/>
        </w:rPr>
        <w:t xml:space="preserve">); </w:t>
      </w:r>
      <w:bookmarkStart w:id="27" w:name="Bookmark_I678NWTM28T44R0030000400"/>
      <w:bookmarkEnd w:id="27"/>
      <w:hyperlink r:id="rId20" w:history="1">
        <w:r>
          <w:rPr>
            <w:rFonts w:ascii="arial" w:eastAsia="arial" w:hAnsi="arial" w:cs="arial"/>
            <w:b w:val="0"/>
            <w:i/>
            <w:strike w:val="0"/>
            <w:noProof w:val="0"/>
            <w:color w:val="0077CC"/>
            <w:position w:val="0"/>
            <w:sz w:val="20"/>
            <w:u w:val="single"/>
            <w:vertAlign w:val="baseline"/>
          </w:rPr>
          <w:t>Ulrich v. City and Cnty. of San Francisco</w:t>
        </w:r>
      </w:hyperlink>
      <w:hyperlink r:id="rId20" w:history="1">
        <w:r>
          <w:rPr>
            <w:rFonts w:ascii="arial" w:eastAsia="arial" w:hAnsi="arial" w:cs="arial"/>
            <w:b w:val="0"/>
            <w:i/>
            <w:strike w:val="0"/>
            <w:noProof w:val="0"/>
            <w:color w:val="0077CC"/>
            <w:position w:val="0"/>
            <w:sz w:val="20"/>
            <w:u w:val="single"/>
            <w:vertAlign w:val="baseline"/>
          </w:rPr>
          <w:t>, 308 F.3d 968, 984 (9th Cir. 2002)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Longstanding Practice or Custom</w:t>
      </w:r>
    </w:p>
    <w:p>
      <w:pPr>
        <w:keepNext w:val="0"/>
        <w:spacing w:before="240" w:after="0" w:line="260" w:lineRule="atLeast"/>
        <w:ind w:left="0" w:right="0" w:firstLine="0"/>
        <w:jc w:val="both"/>
      </w:pPr>
      <w:bookmarkStart w:id="28" w:name="Bookmark_para_9"/>
      <w:bookmarkEnd w:id="28"/>
      <w:bookmarkStart w:id="29" w:name="Bookmark_I678NWTN28T4500010000400"/>
      <w:bookmarkEnd w:id="29"/>
      <w:r>
        <w:rPr>
          <w:rFonts w:ascii="arial" w:eastAsia="arial" w:hAnsi="arial" w:cs="arial"/>
          <w:b w:val="0"/>
          <w:i w:val="0"/>
          <w:strike w:val="0"/>
          <w:noProof w:val="0"/>
          <w:color w:val="000000"/>
          <w:position w:val="0"/>
          <w:sz w:val="20"/>
          <w:u w:val="none"/>
          <w:vertAlign w:val="baseline"/>
        </w:rPr>
        <w:t xml:space="preserve">A </w:t>
      </w:r>
      <w:bookmarkStart w:id="30" w:name="Bookmark_I678NWTM28T44R0050000400"/>
      <w:bookmarkEnd w:id="30"/>
      <w:hyperlink r:id="rId21" w:history="1">
        <w:r>
          <w:rPr>
            <w:rFonts w:ascii="arial" w:eastAsia="arial" w:hAnsi="arial" w:cs="arial"/>
            <w:b w:val="0"/>
            <w:i/>
            <w:strike w:val="0"/>
            <w:noProof w:val="0"/>
            <w:color w:val="0077CC"/>
            <w:position w:val="0"/>
            <w:sz w:val="20"/>
            <w:u w:val="single"/>
            <w:vertAlign w:val="baseline"/>
          </w:rPr>
          <w:t>Monell</w:t>
        </w:r>
      </w:hyperlink>
      <w:bookmarkStart w:id="31" w:name="Bookmark_I1RXRWP0HRF00003R2D00006"/>
      <w:bookmarkEnd w:id="31"/>
      <w:bookmarkStart w:id="32" w:name="Bookmark_I678NWTN28T4500050000400"/>
      <w:bookmarkEnd w:id="32"/>
      <w:r>
        <w:rPr>
          <w:rFonts w:ascii="arial" w:eastAsia="arial" w:hAnsi="arial" w:cs="arial"/>
          <w:b w:val="0"/>
          <w:i w:val="0"/>
          <w:strike w:val="0"/>
          <w:noProof w:val="0"/>
          <w:color w:val="000000"/>
          <w:position w:val="0"/>
          <w:sz w:val="20"/>
          <w:u w:val="none"/>
          <w:vertAlign w:val="baseline"/>
        </w:rPr>
        <w:t xml:space="preserve"> claim exists only when the injury results from "official municipal policy." </w:t>
      </w:r>
      <w:bookmarkStart w:id="33" w:name="Bookmark_I678NWTN28T4500020000400"/>
      <w:bookmarkEnd w:id="33"/>
      <w:hyperlink r:id="rId21" w:history="1">
        <w:r>
          <w:rPr>
            <w:rFonts w:ascii="arial" w:eastAsia="arial" w:hAnsi="arial" w:cs="arial"/>
            <w:b w:val="0"/>
            <w:i/>
            <w:strike w:val="0"/>
            <w:noProof w:val="0"/>
            <w:color w:val="0077CC"/>
            <w:position w:val="0"/>
            <w:sz w:val="20"/>
            <w:u w:val="single"/>
            <w:vertAlign w:val="baseline"/>
          </w:rPr>
          <w:t>Monell v. Dep't of Soc. Servs. of City New York</w:t>
        </w:r>
      </w:hyperlink>
      <w:hyperlink r:id="rId21" w:history="1">
        <w:r>
          <w:rPr>
            <w:rFonts w:ascii="arial" w:eastAsia="arial" w:hAnsi="arial" w:cs="arial"/>
            <w:b w:val="0"/>
            <w:i/>
            <w:strike w:val="0"/>
            <w:noProof w:val="0"/>
            <w:color w:val="0077CC"/>
            <w:position w:val="0"/>
            <w:sz w:val="20"/>
            <w:u w:val="single"/>
            <w:vertAlign w:val="baseline"/>
          </w:rPr>
          <w:t>, 436 U.S. 658, 691, 98 S. Ct. 2018, 56 L. Ed. 2d 611 (1978)</w:t>
        </w:r>
      </w:hyperlink>
      <w:r>
        <w:rPr>
          <w:rFonts w:ascii="arial" w:eastAsia="arial" w:hAnsi="arial" w:cs="arial"/>
          <w:b w:val="0"/>
          <w:i w:val="0"/>
          <w:strike w:val="0"/>
          <w:noProof w:val="0"/>
          <w:color w:val="000000"/>
          <w:position w:val="0"/>
          <w:sz w:val="20"/>
          <w:u w:val="none"/>
          <w:vertAlign w:val="baseline"/>
        </w:rPr>
        <w:t xml:space="preserve">. </w:t>
      </w:r>
      <w:bookmarkStart w:id="34" w:name="Bookmark_I678NWTN2HM6120020000400"/>
      <w:bookmarkEnd w:id="34"/>
      <w:r>
        <w:rPr>
          <w:rFonts w:ascii="arial" w:eastAsia="arial" w:hAnsi="arial" w:cs="arial"/>
          <w:b w:val="0"/>
          <w:i w:val="0"/>
          <w:strike w:val="0"/>
          <w:noProof w:val="0"/>
          <w:color w:val="000000"/>
          <w:position w:val="0"/>
          <w:sz w:val="20"/>
          <w:u w:val="none"/>
          <w:vertAlign w:val="baseline"/>
        </w:rPr>
        <w:t xml:space="preserve">But "such a policy need not be expressly adopted by a municipality. </w:t>
      </w:r>
      <w:bookmarkStart w:id="35" w:name="Bookmark_I678NWTN2HM6120020000400_2"/>
      <w:bookmarkEnd w:id="35"/>
      <w:bookmarkStart w:id="36" w:name="Bookmark_I678NWTN28T4500050000400_2"/>
      <w:bookmarkEnd w:id="36"/>
      <w:r>
        <w:rPr>
          <w:rFonts w:ascii="arial" w:eastAsia="arial" w:hAnsi="arial" w:cs="arial"/>
          <w:b w:val="0"/>
          <w:i w:val="0"/>
          <w:strike w:val="0"/>
          <w:noProof w:val="0"/>
          <w:color w:val="000000"/>
          <w:position w:val="0"/>
          <w:sz w:val="20"/>
          <w:u w:val="none"/>
          <w:vertAlign w:val="baseline"/>
        </w:rPr>
        <w:t>It is sufficient that the constitutional violation occurred pursuant to a 'longstanding</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practice or custom.'" </w:t>
      </w:r>
      <w:bookmarkStart w:id="37" w:name="Bookmark_I678NWTN28T4500040000400"/>
      <w:bookmarkEnd w:id="37"/>
      <w:hyperlink r:id="rId22" w:history="1">
        <w:r>
          <w:rPr>
            <w:rFonts w:ascii="arial" w:eastAsia="arial" w:hAnsi="arial" w:cs="arial"/>
            <w:b w:val="0"/>
            <w:i/>
            <w:strike w:val="0"/>
            <w:noProof w:val="0"/>
            <w:color w:val="0077CC"/>
            <w:position w:val="0"/>
            <w:sz w:val="20"/>
            <w:u w:val="single"/>
            <w:vertAlign w:val="baseline"/>
          </w:rPr>
          <w:t>Christie v. Iopa</w:t>
        </w:r>
      </w:hyperlink>
      <w:hyperlink r:id="rId22" w:history="1">
        <w:r>
          <w:rPr>
            <w:rFonts w:ascii="arial" w:eastAsia="arial" w:hAnsi="arial" w:cs="arial"/>
            <w:b w:val="0"/>
            <w:i/>
            <w:strike w:val="0"/>
            <w:noProof w:val="0"/>
            <w:color w:val="0077CC"/>
            <w:position w:val="0"/>
            <w:sz w:val="20"/>
            <w:u w:val="single"/>
            <w:vertAlign w:val="baseline"/>
          </w:rPr>
          <w:t>, 176 F.3d 1231, 1235 (9th Cir. 1999)</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val="0"/>
          <w:strike w:val="0"/>
          <w:noProof w:val="0"/>
          <w:color w:val="000000"/>
          <w:position w:val="0"/>
          <w:sz w:val="20"/>
          <w:u w:val="none"/>
          <w:vertAlign w:val="baseline"/>
        </w:rPr>
        <w:t xml:space="preserve">"Liability for improper custom may not be predicated on isolated or sporadic incidents; it must be founded upon practices of sufficient duration, frequency and consistency that the conduct has become a traditional method of carrying out policy." </w:t>
      </w:r>
      <w:bookmarkStart w:id="38" w:name="Bookmark_I678NWTN2HM6120010000400"/>
      <w:bookmarkEnd w:id="38"/>
      <w:hyperlink r:id="rId23" w:history="1">
        <w:r>
          <w:rPr>
            <w:rFonts w:ascii="arial" w:eastAsia="arial" w:hAnsi="arial" w:cs="arial"/>
            <w:b w:val="0"/>
            <w:i/>
            <w:strike w:val="0"/>
            <w:noProof w:val="0"/>
            <w:color w:val="0077CC"/>
            <w:position w:val="0"/>
            <w:sz w:val="20"/>
            <w:u w:val="single"/>
            <w:vertAlign w:val="baseline"/>
          </w:rPr>
          <w:t>Trevino v. Gates</w:t>
        </w:r>
      </w:hyperlink>
      <w:hyperlink r:id="rId23" w:history="1">
        <w:r>
          <w:rPr>
            <w:rFonts w:ascii="arial" w:eastAsia="arial" w:hAnsi="arial" w:cs="arial"/>
            <w:b w:val="0"/>
            <w:i/>
            <w:strike w:val="0"/>
            <w:noProof w:val="0"/>
            <w:color w:val="0077CC"/>
            <w:position w:val="0"/>
            <w:sz w:val="20"/>
            <w:u w:val="single"/>
            <w:vertAlign w:val="baseline"/>
          </w:rPr>
          <w:t>, 99 F.3d 911, 918 (9th Cir. 1996)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 w:name="Bookmark_para_10"/>
      <w:bookmarkEnd w:id="39"/>
      <w:r>
        <w:rPr>
          <w:rFonts w:ascii="arial" w:eastAsia="arial" w:hAnsi="arial" w:cs="arial"/>
          <w:b w:val="0"/>
          <w:i w:val="0"/>
          <w:strike w:val="0"/>
          <w:noProof w:val="0"/>
          <w:color w:val="000000"/>
          <w:position w:val="0"/>
          <w:sz w:val="20"/>
          <w:u w:val="none"/>
          <w:vertAlign w:val="baseline"/>
        </w:rPr>
        <w:t xml:space="preserve">Here, there is little doubt that the complaint fails to establish a "longstanding practice or custom" as to two of the three alleged categories of wrongdoing: improper use of ballistics evidence and misuse of SWAT resources to carry out an unlawful arrest. Wondie concedes that "this is the only instance known by plaintiff at this time of a King County detective intentionally misusing NIBIN evidence without correction by King County," but still insists that "the inference is that it happens regularly." Dkt. # 41 at 16. </w:t>
      </w:r>
      <w:bookmarkStart w:id="40" w:name="Bookmark_I678NWTN2HM6120040000400"/>
      <w:bookmarkEnd w:id="40"/>
      <w:r>
        <w:rPr>
          <w:rFonts w:ascii="arial" w:eastAsia="arial" w:hAnsi="arial" w:cs="arial"/>
          <w:b w:val="0"/>
          <w:i w:val="0"/>
          <w:strike w:val="0"/>
          <w:noProof w:val="0"/>
          <w:color w:val="000000"/>
          <w:position w:val="0"/>
          <w:sz w:val="20"/>
          <w:u w:val="none"/>
          <w:vertAlign w:val="baseline"/>
        </w:rPr>
        <w:t xml:space="preserve">But it is not plausible to infer from a single incident, without more, that such misconduct happens regularly. </w:t>
      </w:r>
      <w:bookmarkStart w:id="41" w:name="Bookmark_I678NWTN2N1RGG0010000400"/>
      <w:bookmarkEnd w:id="41"/>
      <w:r>
        <w:rPr>
          <w:rFonts w:ascii="arial" w:eastAsia="arial" w:hAnsi="arial" w:cs="arial"/>
          <w:b w:val="0"/>
          <w:i w:val="0"/>
          <w:strike w:val="0"/>
          <w:noProof w:val="0"/>
          <w:color w:val="000000"/>
          <w:position w:val="0"/>
          <w:sz w:val="20"/>
          <w:u w:val="none"/>
          <w:vertAlign w:val="baseline"/>
        </w:rPr>
        <w:t xml:space="preserve">Similarly, the amended complaint identifies no other instances of misuse "of SWAT resources to scare individuals before unlawfully arresting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In short, there is not enough factual material to "nudge[] the[] claims across the line from conceivable to plausible."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2" w:name="Bookmark_I678NWTN2HM6120030000400"/>
      <w:bookmarkEnd w:id="42"/>
      <w:hyperlink r:id="rId15" w:history="1">
        <w:r>
          <w:rPr>
            <w:rFonts w:ascii="arial" w:eastAsia="arial" w:hAnsi="arial" w:cs="arial"/>
            <w:b w:val="0"/>
            <w:i/>
            <w:strike w:val="0"/>
            <w:noProof w:val="0"/>
            <w:color w:val="0077CC"/>
            <w:position w:val="0"/>
            <w:sz w:val="20"/>
            <w:u w:val="single"/>
            <w:vertAlign w:val="baseline"/>
          </w:rPr>
          <w:t>Twombly</w:t>
        </w:r>
      </w:hyperlink>
      <w:hyperlink r:id="rId15" w:history="1">
        <w:r>
          <w:rPr>
            <w:rFonts w:ascii="arial" w:eastAsia="arial" w:hAnsi="arial" w:cs="arial"/>
            <w:b w:val="0"/>
            <w:i/>
            <w:strike w:val="0"/>
            <w:noProof w:val="0"/>
            <w:color w:val="0077CC"/>
            <w:position w:val="0"/>
            <w:sz w:val="20"/>
            <w:u w:val="single"/>
            <w:vertAlign w:val="baseline"/>
          </w:rPr>
          <w:t>, 550 U.S. 1955 at 1974</w:t>
        </w:r>
      </w:hyperlink>
      <w:r>
        <w:rPr>
          <w:rFonts w:ascii="arial" w:eastAsia="arial" w:hAnsi="arial" w:cs="arial"/>
          <w:b w:val="0"/>
          <w:i w:val="0"/>
          <w:strike w:val="0"/>
          <w:noProof w:val="0"/>
          <w:color w:val="000000"/>
          <w:position w:val="0"/>
          <w:sz w:val="20"/>
          <w:u w:val="none"/>
          <w:vertAlign w:val="baseline"/>
        </w:rPr>
        <w:t xml:space="preserve">. </w:t>
      </w:r>
      <w:bookmarkStart w:id="43" w:name="Bookmark_I678NWTN2N1RGG0010000400_2"/>
      <w:bookmarkEnd w:id="43"/>
      <w:r>
        <w:rPr>
          <w:rFonts w:ascii="arial" w:eastAsia="arial" w:hAnsi="arial" w:cs="arial"/>
          <w:b w:val="0"/>
          <w:i w:val="0"/>
          <w:strike w:val="0"/>
          <w:noProof w:val="0"/>
          <w:color w:val="000000"/>
          <w:position w:val="0"/>
          <w:sz w:val="20"/>
          <w:u w:val="none"/>
          <w:vertAlign w:val="baseline"/>
        </w:rPr>
        <w:t xml:space="preserve">"A plaintiff cannot prove the existence of a </w:t>
      </w:r>
      <w:r>
        <w:rPr>
          <w:rFonts w:ascii="arial" w:eastAsia="arial" w:hAnsi="arial" w:cs="arial"/>
          <w:b w:val="0"/>
          <w:i/>
          <w:strike w:val="0"/>
          <w:noProof w:val="0"/>
          <w:color w:val="000000"/>
          <w:position w:val="0"/>
          <w:sz w:val="20"/>
          <w:u w:val="none"/>
          <w:vertAlign w:val="baseline"/>
        </w:rPr>
        <w:t>municipal</w:t>
      </w:r>
      <w:r>
        <w:rPr>
          <w:rFonts w:ascii="arial" w:eastAsia="arial" w:hAnsi="arial" w:cs="arial"/>
          <w:b w:val="0"/>
          <w:i w:val="0"/>
          <w:strike w:val="0"/>
          <w:noProof w:val="0"/>
          <w:color w:val="000000"/>
          <w:position w:val="0"/>
          <w:sz w:val="20"/>
          <w:u w:val="none"/>
          <w:vertAlign w:val="baseline"/>
        </w:rPr>
        <w:t xml:space="preserve"> policy or custom based solely on the occurrence of a single incident of unconstitutional action by a non-policymaking employee." </w:t>
      </w:r>
      <w:bookmarkStart w:id="44" w:name="Bookmark_I678NWTN2HM6120050000400"/>
      <w:bookmarkEnd w:id="44"/>
      <w:hyperlink r:id="rId24" w:history="1">
        <w:r>
          <w:rPr>
            <w:rFonts w:ascii="arial" w:eastAsia="arial" w:hAnsi="arial" w:cs="arial"/>
            <w:b w:val="0"/>
            <w:i/>
            <w:strike w:val="0"/>
            <w:noProof w:val="0"/>
            <w:color w:val="0077CC"/>
            <w:position w:val="0"/>
            <w:sz w:val="20"/>
            <w:u w:val="single"/>
            <w:vertAlign w:val="baseline"/>
          </w:rPr>
          <w:t>Davis v. City of Ellensburg</w:t>
        </w:r>
      </w:hyperlink>
      <w:hyperlink r:id="rId24" w:history="1">
        <w:r>
          <w:rPr>
            <w:rFonts w:ascii="arial" w:eastAsia="arial" w:hAnsi="arial" w:cs="arial"/>
            <w:b w:val="0"/>
            <w:i/>
            <w:strike w:val="0"/>
            <w:noProof w:val="0"/>
            <w:color w:val="0077CC"/>
            <w:position w:val="0"/>
            <w:sz w:val="20"/>
            <w:u w:val="single"/>
            <w:vertAlign w:val="baseline"/>
          </w:rPr>
          <w:t>, 869 F.2d 1230, 1233 (9th Cir. 1989)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 w:name="Bookmark_para_11"/>
      <w:bookmarkEnd w:id="45"/>
      <w:bookmarkStart w:id="46" w:name="Bookmark_I678NWTN2N1RGG0030000400"/>
      <w:bookmarkEnd w:id="46"/>
      <w:r>
        <w:rPr>
          <w:rFonts w:ascii="arial" w:eastAsia="arial" w:hAnsi="arial" w:cs="arial"/>
          <w:b w:val="0"/>
          <w:i w:val="0"/>
          <w:strike w:val="0"/>
          <w:noProof w:val="0"/>
          <w:color w:val="000000"/>
          <w:position w:val="0"/>
          <w:sz w:val="20"/>
          <w:u w:val="none"/>
          <w:vertAlign w:val="baseline"/>
        </w:rPr>
        <w:t xml:space="preserve">Whether the amended complaint plausibly suggests a "policy or custom" of "judicial deception" in applications for warrants presents a closer question. </w:t>
      </w:r>
      <w:bookmarkStart w:id="47" w:name="Bookmark_I678NWTP2D6N1P0020000400"/>
      <w:bookmarkEnd w:id="47"/>
      <w:r>
        <w:rPr>
          <w:rFonts w:ascii="arial" w:eastAsia="arial" w:hAnsi="arial" w:cs="arial"/>
          <w:b w:val="0"/>
          <w:i w:val="0"/>
          <w:strike w:val="0"/>
          <w:noProof w:val="0"/>
          <w:color w:val="000000"/>
          <w:position w:val="0"/>
          <w:sz w:val="20"/>
          <w:u w:val="none"/>
          <w:vertAlign w:val="baseline"/>
        </w:rPr>
        <w:t xml:space="preserve">But the pleading still falls short. In addition to the alleged misconduct presented here, Wondie mainly relies on allegations of misconduct like those in </w:t>
      </w:r>
      <w:bookmarkStart w:id="48" w:name="Bookmark_I678NWTN2N1RGG0020000400"/>
      <w:bookmarkEnd w:id="48"/>
      <w:hyperlink r:id="rId25" w:history="1">
        <w:r>
          <w:rPr>
            <w:rFonts w:ascii="arial" w:eastAsia="arial" w:hAnsi="arial" w:cs="arial"/>
            <w:b w:val="0"/>
            <w:i/>
            <w:strike w:val="0"/>
            <w:noProof w:val="0"/>
            <w:color w:val="0077CC"/>
            <w:position w:val="0"/>
            <w:sz w:val="20"/>
            <w:u w:val="single"/>
            <w:vertAlign w:val="baseline"/>
          </w:rPr>
          <w:t>Wheeler v. Broggi</w:t>
        </w:r>
      </w:hyperlink>
      <w:hyperlink r:id="rId25" w:history="1">
        <w:r>
          <w:rPr>
            <w:rFonts w:ascii="arial" w:eastAsia="arial" w:hAnsi="arial" w:cs="arial"/>
            <w:b w:val="0"/>
            <w:i/>
            <w:strike w:val="0"/>
            <w:noProof w:val="0"/>
            <w:color w:val="0077CC"/>
            <w:position w:val="0"/>
            <w:sz w:val="20"/>
            <w:u w:val="single"/>
            <w:vertAlign w:val="baseline"/>
          </w:rPr>
          <w:t>. No. C19-1410-JCC-MAT, 2020 U.S. Dist. LEXIS 80013, 2020 WL 5350641 (W.D. Wash. Feb. 11,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49" w:name="Bookmark_I678NWTN2N1RGG0040000400"/>
      <w:bookmarkEnd w:id="49"/>
      <w:hyperlink r:id="rId26" w:history="1">
        <w:r>
          <w:rPr>
            <w:rFonts w:ascii="arial" w:eastAsia="arial" w:hAnsi="arial" w:cs="arial"/>
            <w:b w:val="0"/>
            <w:i/>
            <w:strike w:val="0"/>
            <w:noProof w:val="0"/>
            <w:color w:val="0077CC"/>
            <w:position w:val="0"/>
            <w:sz w:val="20"/>
            <w:u w:val="single"/>
            <w:vertAlign w:val="baseline"/>
          </w:rPr>
          <w:t>No. C19-1410-JCC, 2020 U.S. Dist. LEXIS 78289, 2020 WL 2111249 (W.D. Wash. May 4, 2020)</w:t>
        </w:r>
      </w:hyperlink>
      <w:r>
        <w:rPr>
          <w:rFonts w:ascii="arial" w:eastAsia="arial" w:hAnsi="arial" w:cs="arial"/>
          <w:b w:val="0"/>
          <w:i w:val="0"/>
          <w:strike w:val="0"/>
          <w:noProof w:val="0"/>
          <w:color w:val="000000"/>
          <w:position w:val="0"/>
          <w:sz w:val="20"/>
          <w:u w:val="none"/>
          <w:vertAlign w:val="baseline"/>
        </w:rPr>
        <w:t xml:space="preserve">. </w:t>
      </w:r>
      <w:bookmarkStart w:id="50" w:name="Bookmark_I678NWTP2D6N1P0020000400_2"/>
      <w:bookmarkEnd w:id="50"/>
      <w:bookmarkStart w:id="51" w:name="Bookmark_I678NWTP2D6N1R0010000400"/>
      <w:bookmarkEnd w:id="51"/>
      <w:r>
        <w:rPr>
          <w:rFonts w:ascii="arial" w:eastAsia="arial" w:hAnsi="arial" w:cs="arial"/>
          <w:b w:val="0"/>
          <w:i w:val="0"/>
          <w:strike w:val="0"/>
          <w:noProof w:val="0"/>
          <w:color w:val="000000"/>
          <w:position w:val="0"/>
          <w:sz w:val="20"/>
          <w:u w:val="none"/>
          <w:vertAlign w:val="baseline"/>
        </w:rPr>
        <w:t xml:space="preserve">In </w:t>
      </w:r>
      <w:bookmarkStart w:id="52" w:name="Bookmark_I678NWTP2D6N1R0010000400_2"/>
      <w:bookmarkEnd w:id="52"/>
      <w:bookmarkStart w:id="53" w:name="Bookmark_I678NWTP2D6N1P0020000400_3"/>
      <w:bookmarkEnd w:id="53"/>
      <w:bookmarkStart w:id="54" w:name="Bookmark_I678NWTP2D6N1P0010000400"/>
      <w:bookmarkEnd w:id="54"/>
      <w:hyperlink r:id="rId25" w:history="1">
        <w:r>
          <w:rPr>
            <w:rFonts w:ascii="arial" w:eastAsia="arial" w:hAnsi="arial" w:cs="arial"/>
            <w:b w:val="0"/>
            <w:i/>
            <w:strike w:val="0"/>
            <w:noProof w:val="0"/>
            <w:color w:val="0077CC"/>
            <w:position w:val="0"/>
            <w:sz w:val="20"/>
            <w:u w:val="single"/>
            <w:vertAlign w:val="baseline"/>
          </w:rPr>
          <w:t>Wheeler</w:t>
        </w:r>
      </w:hyperlink>
      <w:r>
        <w:rPr>
          <w:rFonts w:ascii="arial" w:eastAsia="arial" w:hAnsi="arial" w:cs="arial"/>
          <w:b w:val="0"/>
          <w:i w:val="0"/>
          <w:strike w:val="0"/>
          <w:noProof w:val="0"/>
          <w:color w:val="000000"/>
          <w:position w:val="0"/>
          <w:sz w:val="20"/>
          <w:u w:val="none"/>
          <w:vertAlign w:val="baseline"/>
        </w:rPr>
        <w:t xml:space="preserve">, Rodney Wheeler sued King County Detectives Eleanor Broggi and Matthew Olmstead for, like here, making false statements in applications for a warrant and for omitting important exculpatory facts. </w:t>
      </w:r>
      <w:bookmarkStart w:id="55" w:name="Bookmark_I678NWTP2D6N1P0030000400"/>
      <w:bookmarkEnd w:id="55"/>
      <w:hyperlink r:id="rId25" w:history="1">
        <w:r>
          <w:rPr>
            <w:rFonts w:ascii="arial" w:eastAsia="arial" w:hAnsi="arial" w:cs="arial"/>
            <w:b w:val="0"/>
            <w:i/>
            <w:strike w:val="0"/>
            <w:noProof w:val="0"/>
            <w:color w:val="0077CC"/>
            <w:position w:val="0"/>
            <w:sz w:val="20"/>
            <w:u w:val="single"/>
            <w:vertAlign w:val="baseline"/>
          </w:rPr>
          <w:t>2020 U.S. Dist. LEXIS 80013, [WL] at *1</w:t>
        </w:r>
      </w:hyperlink>
      <w:r>
        <w:rPr>
          <w:rFonts w:ascii="arial" w:eastAsia="arial" w:hAnsi="arial" w:cs="arial"/>
          <w:b w:val="0"/>
          <w:i w:val="0"/>
          <w:strike w:val="0"/>
          <w:noProof w:val="0"/>
          <w:color w:val="000000"/>
          <w:position w:val="0"/>
          <w:sz w:val="20"/>
          <w:u w:val="none"/>
          <w:vertAlign w:val="baseline"/>
        </w:rPr>
        <w:t xml:space="preserve">. The amended complaint here states that neither defendant in </w:t>
      </w:r>
      <w:bookmarkStart w:id="56" w:name="Bookmark_I678NWTP2D6N1R0010000400_3"/>
      <w:bookmarkEnd w:id="56"/>
      <w:bookmarkStart w:id="57" w:name="Bookmark_I678NWTP2D6N1P0050000400"/>
      <w:bookmarkEnd w:id="57"/>
      <w:hyperlink r:id="rId25" w:history="1">
        <w:r>
          <w:rPr>
            <w:rFonts w:ascii="arial" w:eastAsia="arial" w:hAnsi="arial" w:cs="arial"/>
            <w:b w:val="0"/>
            <w:i/>
            <w:strike w:val="0"/>
            <w:noProof w:val="0"/>
            <w:color w:val="0077CC"/>
            <w:position w:val="0"/>
            <w:sz w:val="20"/>
            <w:u w:val="single"/>
            <w:vertAlign w:val="baseline"/>
          </w:rPr>
          <w:t>Wheeler</w:t>
        </w:r>
      </w:hyperlink>
      <w:bookmarkStart w:id="58" w:name="Bookmark_I1RXRWP0MHN00003R2D00008"/>
      <w:bookmarkEnd w:id="58"/>
      <w:bookmarkStart w:id="59" w:name="Bookmark_I678NWTP2D6N1R0030000400"/>
      <w:bookmarkEnd w:id="59"/>
      <w:r>
        <w:rPr>
          <w:rFonts w:ascii="arial" w:eastAsia="arial" w:hAnsi="arial" w:cs="arial"/>
          <w:b w:val="0"/>
          <w:i w:val="0"/>
          <w:strike w:val="0"/>
          <w:noProof w:val="0"/>
          <w:color w:val="000000"/>
          <w:position w:val="0"/>
          <w:sz w:val="20"/>
          <w:u w:val="none"/>
          <w:vertAlign w:val="baseline"/>
        </w:rPr>
        <w:t xml:space="preserve"> was disciplined for the alleged misconduct, and that the County later settled the case for $500,000. Dkt. # 41 at 13. While several claims survived a motion to dismiss, </w:t>
      </w:r>
      <w:r>
        <w:rPr>
          <w:rFonts w:ascii="arial" w:eastAsia="arial" w:hAnsi="arial" w:cs="arial"/>
          <w:b w:val="0"/>
          <w:i/>
          <w:strike w:val="0"/>
          <w:noProof w:val="0"/>
          <w:color w:val="000000"/>
          <w:position w:val="0"/>
          <w:sz w:val="20"/>
          <w:u w:val="none"/>
          <w:vertAlign w:val="baseline"/>
        </w:rPr>
        <w:t xml:space="preserve">see </w:t>
      </w:r>
      <w:bookmarkStart w:id="60" w:name="Bookmark_I678NWTP2D6N1R0020000400"/>
      <w:bookmarkEnd w:id="60"/>
      <w:hyperlink r:id="rId25" w:history="1">
        <w:r>
          <w:rPr>
            <w:rFonts w:ascii="arial" w:eastAsia="arial" w:hAnsi="arial" w:cs="arial"/>
            <w:b w:val="0"/>
            <w:i/>
            <w:strike w:val="0"/>
            <w:noProof w:val="0"/>
            <w:color w:val="0077CC"/>
            <w:position w:val="0"/>
            <w:sz w:val="20"/>
            <w:u w:val="single"/>
            <w:vertAlign w:val="baseline"/>
          </w:rPr>
          <w:t>Wheeler</w:t>
        </w:r>
      </w:hyperlink>
      <w:hyperlink r:id="rId25" w:history="1">
        <w:r>
          <w:rPr>
            <w:rFonts w:ascii="arial" w:eastAsia="arial" w:hAnsi="arial" w:cs="arial"/>
            <w:b w:val="0"/>
            <w:i/>
            <w:strike w:val="0"/>
            <w:noProof w:val="0"/>
            <w:color w:val="0077CC"/>
            <w:position w:val="0"/>
            <w:sz w:val="20"/>
            <w:u w:val="single"/>
            <w:vertAlign w:val="baseline"/>
          </w:rPr>
          <w:t>, 2020 U.S. Dist. LEXIS 80013, 2020 WL 5350641 at *7-13</w:t>
        </w:r>
      </w:hyperlink>
      <w:r>
        <w:rPr>
          <w:rFonts w:ascii="arial" w:eastAsia="arial" w:hAnsi="arial" w:cs="arial"/>
          <w:b w:val="0"/>
          <w:i w:val="0"/>
          <w:strike w:val="0"/>
          <w:noProof w:val="0"/>
          <w:color w:val="000000"/>
          <w:position w:val="0"/>
          <w:sz w:val="20"/>
          <w:u w:val="none"/>
          <w:vertAlign w:val="baseline"/>
        </w:rPr>
        <w:t>, there appears to be no final adjudication of liability.</w:t>
      </w:r>
    </w:p>
    <w:p>
      <w:pPr>
        <w:keepNext w:val="0"/>
        <w:spacing w:before="200" w:after="0" w:line="260" w:lineRule="atLeast"/>
        <w:ind w:left="0" w:right="0" w:firstLine="0"/>
        <w:jc w:val="both"/>
      </w:pPr>
      <w:bookmarkStart w:id="61" w:name="Bookmark_para_12"/>
      <w:bookmarkEnd w:id="61"/>
      <w:bookmarkStart w:id="62" w:name="Bookmark_I678NWTP2D6N1R0050000400"/>
      <w:bookmarkEnd w:id="62"/>
      <w:r>
        <w:rPr>
          <w:rFonts w:ascii="arial" w:eastAsia="arial" w:hAnsi="arial" w:cs="arial"/>
          <w:b w:val="0"/>
          <w:i w:val="0"/>
          <w:strike w:val="0"/>
          <w:noProof w:val="0"/>
          <w:color w:val="000000"/>
          <w:position w:val="0"/>
          <w:sz w:val="20"/>
          <w:u w:val="none"/>
          <w:vertAlign w:val="baseline"/>
        </w:rPr>
        <w:t xml:space="preserve">The amended complaint asserts that the County's knowledge of prior deception by the </w:t>
      </w:r>
      <w:bookmarkStart w:id="63" w:name="Bookmark_I678NWTP2D6N1R0040000400"/>
      <w:bookmarkEnd w:id="63"/>
      <w:hyperlink r:id="rId25" w:history="1">
        <w:r>
          <w:rPr>
            <w:rFonts w:ascii="arial" w:eastAsia="arial" w:hAnsi="arial" w:cs="arial"/>
            <w:b w:val="0"/>
            <w:i/>
            <w:strike w:val="0"/>
            <w:noProof w:val="0"/>
            <w:color w:val="0077CC"/>
            <w:position w:val="0"/>
            <w:sz w:val="20"/>
            <w:u w:val="single"/>
            <w:vertAlign w:val="baseline"/>
          </w:rPr>
          <w:t>Wheeler</w:t>
        </w:r>
      </w:hyperlink>
      <w:r>
        <w:rPr>
          <w:rFonts w:ascii="arial" w:eastAsia="arial" w:hAnsi="arial" w:cs="arial"/>
          <w:b w:val="0"/>
          <w:i w:val="0"/>
          <w:strike w:val="0"/>
          <w:noProof w:val="0"/>
          <w:color w:val="000000"/>
          <w:position w:val="0"/>
          <w:sz w:val="20"/>
          <w:u w:val="none"/>
          <w:vertAlign w:val="baseline"/>
        </w:rPr>
        <w:t xml:space="preserve"> defendants—combined with the judicial deception presented here—shows that the County "has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sanctioned a de facto policy where acquiring warrants through judicial deception remains an acceptable practice within the King County Sheriff's Department." Dkt. # 41 at 14.</w:t>
      </w:r>
    </w:p>
    <w:p>
      <w:pPr>
        <w:keepNext w:val="0"/>
        <w:spacing w:before="240" w:after="0" w:line="260" w:lineRule="atLeast"/>
        <w:ind w:left="0" w:right="0" w:firstLine="0"/>
        <w:jc w:val="both"/>
      </w:pPr>
      <w:bookmarkStart w:id="64" w:name="Bookmark_para_13"/>
      <w:bookmarkEnd w:id="64"/>
      <w:r>
        <w:rPr>
          <w:rFonts w:ascii="arial" w:eastAsia="arial" w:hAnsi="arial" w:cs="arial"/>
          <w:b w:val="0"/>
          <w:i w:val="0"/>
          <w:strike w:val="0"/>
          <w:noProof w:val="0"/>
          <w:color w:val="000000"/>
          <w:position w:val="0"/>
          <w:sz w:val="20"/>
          <w:u w:val="none"/>
          <w:vertAlign w:val="baseline"/>
        </w:rPr>
        <w:t xml:space="preserve">But this does not plausibly suggest the existence of a longstanding custom or policy. </w:t>
      </w:r>
      <w:bookmarkStart w:id="65" w:name="Bookmark_I678NWTP2N1RGT0020000400"/>
      <w:bookmarkEnd w:id="65"/>
      <w:r>
        <w:rPr>
          <w:rFonts w:ascii="arial" w:eastAsia="arial" w:hAnsi="arial" w:cs="arial"/>
          <w:b w:val="0"/>
          <w:i w:val="0"/>
          <w:strike w:val="0"/>
          <w:noProof w:val="0"/>
          <w:color w:val="000000"/>
          <w:position w:val="0"/>
          <w:sz w:val="20"/>
          <w:u w:val="none"/>
          <w:vertAlign w:val="baseline"/>
        </w:rPr>
        <w:t xml:space="preserve">The amended complaint identifies only one other instance of judicial deception. </w:t>
      </w:r>
      <w:bookmarkStart w:id="66" w:name="Bookmark_I678NWTP2HM61P0010000400"/>
      <w:bookmarkEnd w:id="66"/>
      <w:r>
        <w:rPr>
          <w:rFonts w:ascii="arial" w:eastAsia="arial" w:hAnsi="arial" w:cs="arial"/>
          <w:b w:val="0"/>
          <w:i w:val="0"/>
          <w:strike w:val="0"/>
          <w:noProof w:val="0"/>
          <w:color w:val="000000"/>
          <w:position w:val="0"/>
          <w:sz w:val="20"/>
          <w:u w:val="none"/>
          <w:vertAlign w:val="baseline"/>
        </w:rPr>
        <w:t xml:space="preserve">Typically, one or two instances of prior misconduct cannot demonstrate a widespread custom or policy. </w:t>
      </w:r>
      <w:r>
        <w:rPr>
          <w:rFonts w:ascii="arial" w:eastAsia="arial" w:hAnsi="arial" w:cs="arial"/>
          <w:b w:val="0"/>
          <w:i/>
          <w:strike w:val="0"/>
          <w:noProof w:val="0"/>
          <w:color w:val="000000"/>
          <w:position w:val="0"/>
          <w:sz w:val="20"/>
          <w:u w:val="none"/>
          <w:vertAlign w:val="baseline"/>
        </w:rPr>
        <w:t xml:space="preserve">See, e.g., </w:t>
      </w:r>
      <w:bookmarkStart w:id="67" w:name="Bookmark_I678NWTP2N1RGT0010000400"/>
      <w:bookmarkEnd w:id="67"/>
      <w:hyperlink r:id="rId27" w:history="1">
        <w:r>
          <w:rPr>
            <w:rFonts w:ascii="arial" w:eastAsia="arial" w:hAnsi="arial" w:cs="arial"/>
            <w:b w:val="0"/>
            <w:i/>
            <w:strike w:val="0"/>
            <w:noProof w:val="0"/>
            <w:color w:val="0077CC"/>
            <w:position w:val="0"/>
            <w:sz w:val="20"/>
            <w:u w:val="single"/>
            <w:vertAlign w:val="baseline"/>
          </w:rPr>
          <w:t>Bagley v. City of Sunnyvale</w:t>
        </w:r>
      </w:hyperlink>
      <w:hyperlink r:id="rId27" w:history="1">
        <w:r>
          <w:rPr>
            <w:rFonts w:ascii="arial" w:eastAsia="arial" w:hAnsi="arial" w:cs="arial"/>
            <w:b w:val="0"/>
            <w:i/>
            <w:strike w:val="0"/>
            <w:noProof w:val="0"/>
            <w:color w:val="0077CC"/>
            <w:position w:val="0"/>
            <w:sz w:val="20"/>
            <w:u w:val="single"/>
            <w:vertAlign w:val="baseline"/>
          </w:rPr>
          <w:t>, No. 16-CV-02250-JSC, 2017 U.S. Dist. LEXIS 182903, 2017 WL 5068567, at *4 (N.D. Cal. Nov. 3, 2017)</w:t>
        </w:r>
      </w:hyperlink>
      <w:r>
        <w:rPr>
          <w:rFonts w:ascii="arial" w:eastAsia="arial" w:hAnsi="arial" w:cs="arial"/>
          <w:b w:val="0"/>
          <w:i w:val="0"/>
          <w:strike w:val="0"/>
          <w:noProof w:val="0"/>
          <w:color w:val="000000"/>
          <w:position w:val="0"/>
          <w:sz w:val="20"/>
          <w:u w:val="none"/>
          <w:vertAlign w:val="baseline"/>
        </w:rPr>
        <w:t xml:space="preserve"> ("The Ninth Circuit has found that one or two incidents of excessive force are inadequate to establish municipal liability."); </w:t>
      </w:r>
      <w:bookmarkStart w:id="68" w:name="Bookmark_I678NWTP2N1RGT0030000400"/>
      <w:bookmarkEnd w:id="68"/>
      <w:hyperlink r:id="rId28" w:history="1">
        <w:r>
          <w:rPr>
            <w:rFonts w:ascii="arial" w:eastAsia="arial" w:hAnsi="arial" w:cs="arial"/>
            <w:b w:val="0"/>
            <w:i/>
            <w:strike w:val="0"/>
            <w:noProof w:val="0"/>
            <w:color w:val="0077CC"/>
            <w:position w:val="0"/>
            <w:sz w:val="20"/>
            <w:u w:val="single"/>
            <w:vertAlign w:val="baseline"/>
          </w:rPr>
          <w:t>Ames v. City of Tempe</w:t>
        </w:r>
      </w:hyperlink>
      <w:hyperlink r:id="rId28" w:history="1">
        <w:r>
          <w:rPr>
            <w:rFonts w:ascii="arial" w:eastAsia="arial" w:hAnsi="arial" w:cs="arial"/>
            <w:b w:val="0"/>
            <w:i/>
            <w:strike w:val="0"/>
            <w:noProof w:val="0"/>
            <w:color w:val="0077CC"/>
            <w:position w:val="0"/>
            <w:sz w:val="20"/>
            <w:u w:val="single"/>
            <w:vertAlign w:val="baseline"/>
          </w:rPr>
          <w:t>, 2021 U.S. Dist. LEXIS 228867, 2021 WL 5578868, at *6 (D. Ariz. Nov. 29, 2021)</w:t>
        </w:r>
      </w:hyperlink>
      <w:r>
        <w:rPr>
          <w:rFonts w:ascii="arial" w:eastAsia="arial" w:hAnsi="arial" w:cs="arial"/>
          <w:b w:val="0"/>
          <w:i w:val="0"/>
          <w:strike w:val="0"/>
          <w:noProof w:val="0"/>
          <w:color w:val="000000"/>
          <w:position w:val="0"/>
          <w:sz w:val="20"/>
          <w:u w:val="none"/>
          <w:vertAlign w:val="baseline"/>
        </w:rPr>
        <w:t xml:space="preserve">. </w:t>
      </w:r>
      <w:bookmarkStart w:id="69" w:name="Bookmark_I678NWTP2HM61P0010000400_2"/>
      <w:bookmarkEnd w:id="69"/>
      <w:bookmarkStart w:id="70" w:name="Bookmark_I678NWTP2HM61P0030000400"/>
      <w:bookmarkEnd w:id="70"/>
      <w:r>
        <w:rPr>
          <w:rFonts w:ascii="arial" w:eastAsia="arial" w:hAnsi="arial" w:cs="arial"/>
          <w:b w:val="0"/>
          <w:i w:val="0"/>
          <w:strike w:val="0"/>
          <w:noProof w:val="0"/>
          <w:color w:val="000000"/>
          <w:position w:val="0"/>
          <w:sz w:val="20"/>
          <w:u w:val="none"/>
          <w:vertAlign w:val="baseline"/>
        </w:rPr>
        <w:t xml:space="preserve">True, a municipality's unconstitutional custom or practice "can be inferred from widespread practices or evidence of repeated constitutional violations for which the errant municipal officers were not discharged or reprimanded." </w:t>
      </w:r>
      <w:bookmarkStart w:id="71" w:name="Bookmark_I678NWTP2N1RGT0050000400"/>
      <w:bookmarkEnd w:id="71"/>
      <w:hyperlink r:id="rId29" w:history="1">
        <w:r>
          <w:rPr>
            <w:rFonts w:ascii="arial" w:eastAsia="arial" w:hAnsi="arial" w:cs="arial"/>
            <w:b w:val="0"/>
            <w:i/>
            <w:strike w:val="0"/>
            <w:noProof w:val="0"/>
            <w:color w:val="0077CC"/>
            <w:position w:val="0"/>
            <w:sz w:val="20"/>
            <w:u w:val="single"/>
            <w:vertAlign w:val="baseline"/>
          </w:rPr>
          <w:t>Hunter v. Cnty. Of Sacramento</w:t>
        </w:r>
      </w:hyperlink>
      <w:hyperlink r:id="rId29" w:history="1">
        <w:r>
          <w:rPr>
            <w:rFonts w:ascii="arial" w:eastAsia="arial" w:hAnsi="arial" w:cs="arial"/>
            <w:b w:val="0"/>
            <w:i/>
            <w:strike w:val="0"/>
            <w:noProof w:val="0"/>
            <w:color w:val="0077CC"/>
            <w:position w:val="0"/>
            <w:sz w:val="20"/>
            <w:u w:val="single"/>
            <w:vertAlign w:val="baseline"/>
          </w:rPr>
          <w:t>, 652 F.3d 1225, 1233 (9th Cir. 2011)</w:t>
        </w:r>
      </w:hyperlink>
      <w:r>
        <w:rPr>
          <w:rFonts w:ascii="arial" w:eastAsia="arial" w:hAnsi="arial" w:cs="arial"/>
          <w:b w:val="0"/>
          <w:i w:val="0"/>
          <w:strike w:val="0"/>
          <w:noProof w:val="0"/>
          <w:color w:val="000000"/>
          <w:position w:val="0"/>
          <w:sz w:val="20"/>
          <w:u w:val="none"/>
          <w:vertAlign w:val="baseline"/>
        </w:rPr>
        <w:t xml:space="preserve"> (citation and quotation marks omitted). </w:t>
      </w:r>
      <w:bookmarkStart w:id="72" w:name="Bookmark_I678NWTP2HM61P0030000400_2"/>
      <w:bookmarkEnd w:id="72"/>
      <w:r>
        <w:rPr>
          <w:rFonts w:ascii="arial" w:eastAsia="arial" w:hAnsi="arial" w:cs="arial"/>
          <w:b w:val="0"/>
          <w:i w:val="0"/>
          <w:strike w:val="0"/>
          <w:noProof w:val="0"/>
          <w:color w:val="000000"/>
          <w:position w:val="0"/>
          <w:sz w:val="20"/>
          <w:u w:val="none"/>
          <w:vertAlign w:val="baseline"/>
        </w:rPr>
        <w:t xml:space="preserve">But the Ninth Circuit has emphasized that "isolated or sporadic incidents" do not suggest the existence of a longstanding practice or custom. </w:t>
      </w:r>
      <w:bookmarkStart w:id="73" w:name="Bookmark_I678NWTP2HM61P0050000400"/>
      <w:bookmarkEnd w:id="73"/>
      <w:bookmarkStart w:id="74" w:name="Bookmark_I678NWTP2HM61P0020000400"/>
      <w:bookmarkEnd w:id="74"/>
      <w:hyperlink r:id="rId23" w:history="1">
        <w:r>
          <w:rPr>
            <w:rFonts w:ascii="arial" w:eastAsia="arial" w:hAnsi="arial" w:cs="arial"/>
            <w:b w:val="0"/>
            <w:i/>
            <w:strike w:val="0"/>
            <w:noProof w:val="0"/>
            <w:color w:val="0077CC"/>
            <w:position w:val="0"/>
            <w:sz w:val="20"/>
            <w:u w:val="single"/>
            <w:vertAlign w:val="baseline"/>
          </w:rPr>
          <w:t>Trevino</w:t>
        </w:r>
      </w:hyperlink>
      <w:hyperlink r:id="rId23" w:history="1">
        <w:r>
          <w:rPr>
            <w:rFonts w:ascii="arial" w:eastAsia="arial" w:hAnsi="arial" w:cs="arial"/>
            <w:b w:val="0"/>
            <w:i/>
            <w:strike w:val="0"/>
            <w:noProof w:val="0"/>
            <w:color w:val="0077CC"/>
            <w:position w:val="0"/>
            <w:sz w:val="20"/>
            <w:u w:val="single"/>
            <w:vertAlign w:val="baseline"/>
          </w:rPr>
          <w:t>, 99 F.3d at 918</w:t>
        </w:r>
      </w:hyperlink>
      <w:r>
        <w:rPr>
          <w:rFonts w:ascii="arial" w:eastAsia="arial" w:hAnsi="arial" w:cs="arial"/>
          <w:b w:val="0"/>
          <w:i w:val="0"/>
          <w:strike w:val="0"/>
          <w:noProof w:val="0"/>
          <w:color w:val="000000"/>
          <w:position w:val="0"/>
          <w:sz w:val="20"/>
          <w:u w:val="none"/>
          <w:vertAlign w:val="baseline"/>
        </w:rPr>
        <w:t xml:space="preserve">. </w:t>
      </w:r>
      <w:bookmarkStart w:id="75" w:name="Bookmark_I678NWTP2HM61P0050000400_2"/>
      <w:bookmarkEnd w:id="75"/>
      <w:r>
        <w:rPr>
          <w:rFonts w:ascii="arial" w:eastAsia="arial" w:hAnsi="arial" w:cs="arial"/>
          <w:b w:val="0"/>
          <w:i w:val="0"/>
          <w:strike w:val="0"/>
          <w:noProof w:val="0"/>
          <w:color w:val="000000"/>
          <w:position w:val="0"/>
          <w:sz w:val="20"/>
          <w:u w:val="none"/>
          <w:vertAlign w:val="baseline"/>
        </w:rPr>
        <w:t xml:space="preserve">Instead, there must be "practices of sufficient duration, frequency and consistency that the conduct has become a traditional method of carrying out policy."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while prior cases of similar conduct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may provide some evidence that a practice is so ubiquitous that it amounts to official policy, such cases are less helpful when they do not result in an adjudication of wrongdoing. </w:t>
      </w:r>
      <w:r>
        <w:rPr>
          <w:rFonts w:ascii="arial" w:eastAsia="arial" w:hAnsi="arial" w:cs="arial"/>
          <w:b w:val="0"/>
          <w:i/>
          <w:strike w:val="0"/>
          <w:noProof w:val="0"/>
          <w:color w:val="000000"/>
          <w:position w:val="0"/>
          <w:sz w:val="20"/>
          <w:u w:val="none"/>
          <w:vertAlign w:val="baseline"/>
        </w:rPr>
        <w:t xml:space="preserve">Cf. </w:t>
      </w:r>
      <w:bookmarkStart w:id="76" w:name="Bookmark_I678NWTP2HM61P0040000400"/>
      <w:bookmarkEnd w:id="76"/>
      <w:hyperlink r:id="rId30" w:history="1">
        <w:r>
          <w:rPr>
            <w:rFonts w:ascii="arial" w:eastAsia="arial" w:hAnsi="arial" w:cs="arial"/>
            <w:b w:val="0"/>
            <w:i/>
            <w:strike w:val="0"/>
            <w:noProof w:val="0"/>
            <w:color w:val="0077CC"/>
            <w:position w:val="0"/>
            <w:sz w:val="20"/>
            <w:u w:val="single"/>
            <w:vertAlign w:val="baseline"/>
          </w:rPr>
          <w:t>O'Toole v. City of Antioch</w:t>
        </w:r>
      </w:hyperlink>
      <w:hyperlink r:id="rId30" w:history="1">
        <w:r>
          <w:rPr>
            <w:rFonts w:ascii="arial" w:eastAsia="arial" w:hAnsi="arial" w:cs="arial"/>
            <w:b w:val="0"/>
            <w:i/>
            <w:strike w:val="0"/>
            <w:noProof w:val="0"/>
            <w:color w:val="0077CC"/>
            <w:position w:val="0"/>
            <w:sz w:val="20"/>
            <w:u w:val="single"/>
            <w:vertAlign w:val="baseline"/>
          </w:rPr>
          <w:t>, 2015 U.S. Dist. LEXIS 116534, 2015 WL 5138277, at *14 (N.D. Cal. 2015)</w:t>
        </w:r>
      </w:hyperlink>
      <w:r>
        <w:rPr>
          <w:rFonts w:ascii="arial" w:eastAsia="arial" w:hAnsi="arial" w:cs="arial"/>
          <w:b w:val="0"/>
          <w:i w:val="0"/>
          <w:strike w:val="0"/>
          <w:noProof w:val="0"/>
          <w:color w:val="000000"/>
          <w:position w:val="0"/>
          <w:sz w:val="20"/>
          <w:u w:val="none"/>
          <w:vertAlign w:val="baseline"/>
        </w:rPr>
        <w:t xml:space="preserve"> ("The mere fact that lawsuits were filed does not establish that a pattern of constitutional violations actually occurred.").</w:t>
      </w:r>
    </w:p>
    <w:p>
      <w:pPr>
        <w:keepNext w:val="0"/>
        <w:spacing w:before="240" w:after="0" w:line="260" w:lineRule="atLeast"/>
        <w:ind w:left="0" w:right="0" w:firstLine="0"/>
        <w:jc w:val="both"/>
      </w:pPr>
      <w:bookmarkStart w:id="77" w:name="Bookmark_para_14"/>
      <w:bookmarkEnd w:id="77"/>
      <w:bookmarkStart w:id="78" w:name="Bookmark_I678NWTP2D6N210020000400"/>
      <w:bookmarkEnd w:id="78"/>
      <w:r>
        <w:rPr>
          <w:rFonts w:ascii="arial" w:eastAsia="arial" w:hAnsi="arial" w:cs="arial"/>
          <w:b w:val="0"/>
          <w:i w:val="0"/>
          <w:strike w:val="0"/>
          <w:noProof w:val="0"/>
          <w:color w:val="000000"/>
          <w:position w:val="0"/>
          <w:sz w:val="20"/>
          <w:u w:val="none"/>
          <w:vertAlign w:val="baseline"/>
        </w:rPr>
        <w:t xml:space="preserve">To be sure, the Court recognizes that this presents a somewhat close question at the motion to dismiss phase. This is particularly so given the fairly close temporal proximity between </w:t>
      </w:r>
      <w:bookmarkStart w:id="79" w:name="Bookmark_I678NWTP2D6N210010000400"/>
      <w:bookmarkEnd w:id="79"/>
      <w:hyperlink r:id="rId25" w:history="1">
        <w:r>
          <w:rPr>
            <w:rFonts w:ascii="arial" w:eastAsia="arial" w:hAnsi="arial" w:cs="arial"/>
            <w:b w:val="0"/>
            <w:i/>
            <w:strike w:val="0"/>
            <w:noProof w:val="0"/>
            <w:color w:val="0077CC"/>
            <w:position w:val="0"/>
            <w:sz w:val="20"/>
            <w:u w:val="single"/>
            <w:vertAlign w:val="baseline"/>
          </w:rPr>
          <w:t>Wheeler</w:t>
        </w:r>
      </w:hyperlink>
      <w:r>
        <w:rPr>
          <w:rFonts w:ascii="arial" w:eastAsia="arial" w:hAnsi="arial" w:cs="arial"/>
          <w:b w:val="0"/>
          <w:i w:val="0"/>
          <w:strike w:val="0"/>
          <w:noProof w:val="0"/>
          <w:color w:val="000000"/>
          <w:position w:val="0"/>
          <w:sz w:val="20"/>
          <w:u w:val="none"/>
          <w:vertAlign w:val="baseline"/>
        </w:rPr>
        <w:t xml:space="preserve"> and this case. The Court also "recognizes the inherent difficulty of identifying specific policies absent access to discovery." </w:t>
      </w:r>
      <w:bookmarkStart w:id="80" w:name="Bookmark_I678NWTP2D6N210030000400"/>
      <w:bookmarkEnd w:id="80"/>
      <w:hyperlink r:id="rId31" w:history="1">
        <w:r>
          <w:rPr>
            <w:rFonts w:ascii="arial" w:eastAsia="arial" w:hAnsi="arial" w:cs="arial"/>
            <w:b w:val="0"/>
            <w:i/>
            <w:strike w:val="0"/>
            <w:noProof w:val="0"/>
            <w:color w:val="0077CC"/>
            <w:position w:val="0"/>
            <w:sz w:val="20"/>
            <w:u w:val="single"/>
            <w:vertAlign w:val="baseline"/>
          </w:rPr>
          <w:t>Jones v. Cnty. of Contra Costa</w:t>
        </w:r>
      </w:hyperlink>
      <w:hyperlink r:id="rId31" w:history="1">
        <w:r>
          <w:rPr>
            <w:rFonts w:ascii="arial" w:eastAsia="arial" w:hAnsi="arial" w:cs="arial"/>
            <w:b w:val="0"/>
            <w:i/>
            <w:strike w:val="0"/>
            <w:noProof w:val="0"/>
            <w:color w:val="0077CC"/>
            <w:position w:val="0"/>
            <w:sz w:val="20"/>
            <w:u w:val="single"/>
            <w:vertAlign w:val="baseline"/>
          </w:rPr>
          <w:t>, No. 13-CV-05552-I, 2016 U.S. Dist. LEXIS 52471, 2016 WL 1569974, at *2 (N.D. Cal. Apr. 19, 2016)</w:t>
        </w:r>
      </w:hyperlink>
      <w:r>
        <w:rPr>
          <w:rFonts w:ascii="arial" w:eastAsia="arial" w:hAnsi="arial" w:cs="arial"/>
          <w:b w:val="0"/>
          <w:i w:val="0"/>
          <w:strike w:val="0"/>
          <w:noProof w:val="0"/>
          <w:color w:val="000000"/>
          <w:position w:val="0"/>
          <w:sz w:val="20"/>
          <w:u w:val="none"/>
          <w:vertAlign w:val="baseline"/>
        </w:rPr>
        <w:t>. But without more, the Court concludes that Plaintiff has failed to state a plausible claim for relief.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 Ratification</w:t>
      </w:r>
    </w:p>
    <w:p>
      <w:pPr>
        <w:keepNext w:val="0"/>
        <w:spacing w:before="240" w:after="0" w:line="260" w:lineRule="atLeast"/>
        <w:ind w:left="0" w:right="0" w:firstLine="0"/>
        <w:jc w:val="both"/>
      </w:pPr>
      <w:bookmarkStart w:id="81" w:name="Bookmark_para_15"/>
      <w:bookmarkEnd w:id="81"/>
      <w:bookmarkStart w:id="82" w:name="Bookmark_I678NWTR28T4620010000400"/>
      <w:bookmarkEnd w:id="82"/>
      <w:bookmarkStart w:id="83" w:name="Bookmark_I678NWTR28T4620050000400"/>
      <w:bookmarkEnd w:id="83"/>
      <w:r>
        <w:rPr>
          <w:rFonts w:ascii="arial" w:eastAsia="arial" w:hAnsi="arial" w:cs="arial"/>
          <w:b w:val="0"/>
          <w:i w:val="0"/>
          <w:strike w:val="0"/>
          <w:noProof w:val="0"/>
          <w:color w:val="000000"/>
          <w:position w:val="0"/>
          <w:sz w:val="20"/>
          <w:u w:val="none"/>
          <w:vertAlign w:val="baseline"/>
        </w:rPr>
        <w:t xml:space="preserve">A local government can be liable when it "ratifies" the unlawful conduct of an employee. "To show ratification, a plaintiff must prove that the 'authorized policymakers approve a subordinate's decision and the basis for it.'" </w:t>
      </w:r>
      <w:bookmarkStart w:id="84" w:name="Bookmark_I678NWTP2D6N210050000400"/>
      <w:bookmarkEnd w:id="84"/>
      <w:hyperlink r:id="rId22" w:history="1">
        <w:r>
          <w:rPr>
            <w:rFonts w:ascii="arial" w:eastAsia="arial" w:hAnsi="arial" w:cs="arial"/>
            <w:b w:val="0"/>
            <w:i/>
            <w:strike w:val="0"/>
            <w:noProof w:val="0"/>
            <w:color w:val="0077CC"/>
            <w:position w:val="0"/>
            <w:sz w:val="20"/>
            <w:u w:val="single"/>
            <w:vertAlign w:val="baseline"/>
          </w:rPr>
          <w:t>Christie</w:t>
        </w:r>
      </w:hyperlink>
      <w:hyperlink r:id="rId22" w:history="1">
        <w:r>
          <w:rPr>
            <w:rFonts w:ascii="arial" w:eastAsia="arial" w:hAnsi="arial" w:cs="arial"/>
            <w:b w:val="0"/>
            <w:i/>
            <w:strike w:val="0"/>
            <w:noProof w:val="0"/>
            <w:color w:val="0077CC"/>
            <w:position w:val="0"/>
            <w:sz w:val="20"/>
            <w:u w:val="single"/>
            <w:vertAlign w:val="baseline"/>
          </w:rPr>
          <w:t>, 176 F.3d at 1239 (9th Cir. 1999)</w:t>
        </w:r>
      </w:hyperlink>
      <w:r>
        <w:rPr>
          <w:rFonts w:ascii="arial" w:eastAsia="arial" w:hAnsi="arial" w:cs="arial"/>
          <w:b w:val="0"/>
          <w:i w:val="0"/>
          <w:strike w:val="0"/>
          <w:noProof w:val="0"/>
          <w:color w:val="000000"/>
          <w:position w:val="0"/>
          <w:sz w:val="20"/>
          <w:u w:val="none"/>
          <w:vertAlign w:val="baseline"/>
        </w:rPr>
        <w:t xml:space="preserve"> (quoting </w:t>
      </w:r>
      <w:bookmarkStart w:id="85" w:name="Bookmark_I678NWTR28T4620020000400"/>
      <w:bookmarkEnd w:id="85"/>
      <w:hyperlink r:id="rId32" w:history="1">
        <w:r>
          <w:rPr>
            <w:rFonts w:ascii="arial" w:eastAsia="arial" w:hAnsi="arial" w:cs="arial"/>
            <w:b w:val="0"/>
            <w:i/>
            <w:strike w:val="0"/>
            <w:noProof w:val="0"/>
            <w:color w:val="0077CC"/>
            <w:position w:val="0"/>
            <w:sz w:val="20"/>
            <w:u w:val="single"/>
            <w:vertAlign w:val="baseline"/>
          </w:rPr>
          <w:t>City of St. Louis v. Praprotnik</w:t>
        </w:r>
      </w:hyperlink>
      <w:hyperlink r:id="rId32" w:history="1">
        <w:r>
          <w:rPr>
            <w:rFonts w:ascii="arial" w:eastAsia="arial" w:hAnsi="arial" w:cs="arial"/>
            <w:b w:val="0"/>
            <w:i/>
            <w:strike w:val="0"/>
            <w:noProof w:val="0"/>
            <w:color w:val="0077CC"/>
            <w:position w:val="0"/>
            <w:sz w:val="20"/>
            <w:u w:val="single"/>
            <w:vertAlign w:val="baseline"/>
          </w:rPr>
          <w:t>, 485 U.S. 112, 127, 108 S. Ct. 915, 99 L. Ed. 2d 107 (1988)</w:t>
        </w:r>
      </w:hyperlink>
      <w:r>
        <w:rPr>
          <w:rFonts w:ascii="arial" w:eastAsia="arial" w:hAnsi="arial" w:cs="arial"/>
          <w:b w:val="0"/>
          <w:i w:val="0"/>
          <w:strike w:val="0"/>
          <w:noProof w:val="0"/>
          <w:color w:val="000000"/>
          <w:position w:val="0"/>
          <w:sz w:val="20"/>
          <w:u w:val="none"/>
          <w:vertAlign w:val="baseline"/>
        </w:rPr>
        <w:t xml:space="preserve">). "We have found municipal liability on the basis of ratification when the officials involved adopted and expressly approved of the acts of others who caused the constitutional violation." </w:t>
      </w:r>
      <w:bookmarkStart w:id="86" w:name="Bookmark_I678NWTR28T4620040000400"/>
      <w:bookmarkEnd w:id="86"/>
      <w:hyperlink r:id="rId33" w:history="1">
        <w:r>
          <w:rPr>
            <w:rFonts w:ascii="arial" w:eastAsia="arial" w:hAnsi="arial" w:cs="arial"/>
            <w:b w:val="0"/>
            <w:i/>
            <w:strike w:val="0"/>
            <w:noProof w:val="0"/>
            <w:color w:val="0077CC"/>
            <w:position w:val="0"/>
            <w:sz w:val="20"/>
            <w:u w:val="single"/>
            <w:vertAlign w:val="baseline"/>
          </w:rPr>
          <w:t>Sheehan v. City &amp; County of San Francisco</w:t>
        </w:r>
      </w:hyperlink>
      <w:hyperlink r:id="rId33" w:history="1">
        <w:r>
          <w:rPr>
            <w:rFonts w:ascii="arial" w:eastAsia="arial" w:hAnsi="arial" w:cs="arial"/>
            <w:b w:val="0"/>
            <w:i/>
            <w:strike w:val="0"/>
            <w:noProof w:val="0"/>
            <w:color w:val="0077CC"/>
            <w:position w:val="0"/>
            <w:sz w:val="20"/>
            <w:u w:val="single"/>
            <w:vertAlign w:val="baseline"/>
          </w:rPr>
          <w:t>, 743 F.3d 1211, 1231 (9th Cir.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rev'd in part on other grounds</w:t>
      </w:r>
      <w:r>
        <w:rPr>
          <w:rFonts w:ascii="arial" w:eastAsia="arial" w:hAnsi="arial" w:cs="arial"/>
          <w:b/>
          <w:i/>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575 U.S. 600, 135 S. Ct. 1765, 191 L. Ed. 2d 856 (2015)</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87" w:name="Bookmark_para_16"/>
      <w:bookmarkEnd w:id="87"/>
      <w:bookmarkStart w:id="88" w:name="Bookmark_I678NWTR2HM6210020000400"/>
      <w:bookmarkEnd w:id="88"/>
      <w:r>
        <w:rPr>
          <w:rFonts w:ascii="arial" w:eastAsia="arial" w:hAnsi="arial" w:cs="arial"/>
          <w:b w:val="0"/>
          <w:i w:val="0"/>
          <w:strike w:val="0"/>
          <w:noProof w:val="0"/>
          <w:color w:val="000000"/>
          <w:position w:val="0"/>
          <w:sz w:val="20"/>
          <w:u w:val="none"/>
          <w:vertAlign w:val="baseline"/>
        </w:rPr>
        <w:t xml:space="preserve">Here, there are at least two problems with Wondie's ratification-based theory of </w:t>
      </w:r>
      <w:bookmarkStart w:id="89" w:name="Bookmark_I678NWTR2HM6210010000400"/>
      <w:bookmarkEnd w:id="89"/>
      <w:hyperlink r:id="rId21"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liability.</w:t>
      </w:r>
    </w:p>
    <w:p>
      <w:pPr>
        <w:keepNext w:val="0"/>
        <w:spacing w:before="240" w:after="0" w:line="260" w:lineRule="atLeast"/>
        <w:ind w:left="0" w:right="0" w:firstLine="0"/>
        <w:jc w:val="both"/>
      </w:pPr>
      <w:bookmarkStart w:id="90" w:name="Bookmark_para_17"/>
      <w:bookmarkEnd w:id="90"/>
      <w:bookmarkStart w:id="91" w:name="Bookmark_I678NWTR2HM6210040000400"/>
      <w:bookmarkEnd w:id="91"/>
      <w:r>
        <w:rPr>
          <w:rFonts w:ascii="arial" w:eastAsia="arial" w:hAnsi="arial" w:cs="arial"/>
          <w:b w:val="0"/>
          <w:i w:val="0"/>
          <w:strike w:val="0"/>
          <w:noProof w:val="0"/>
          <w:color w:val="000000"/>
          <w:position w:val="0"/>
          <w:sz w:val="20"/>
          <w:u w:val="none"/>
          <w:vertAlign w:val="baseline"/>
        </w:rPr>
        <w:t xml:space="preserve">First, the amended complaint does not identify a policymaker who ratified Decker and Alvarez's decisions. The amended complaint identifies only "King County." </w:t>
      </w:r>
      <w:r>
        <w:rPr>
          <w:rFonts w:ascii="arial" w:eastAsia="arial" w:hAnsi="arial" w:cs="arial"/>
          <w:b w:val="0"/>
          <w:i/>
          <w:strike w:val="0"/>
          <w:noProof w:val="0"/>
          <w:color w:val="000000"/>
          <w:position w:val="0"/>
          <w:sz w:val="20"/>
          <w:u w:val="none"/>
          <w:vertAlign w:val="baseline"/>
        </w:rPr>
        <w:t xml:space="preserve">See </w:t>
      </w:r>
      <w:bookmarkStart w:id="92" w:name="Bookmark_I678NWTR2HM6210030000400"/>
      <w:bookmarkEnd w:id="92"/>
      <w:hyperlink r:id="rId35" w:history="1">
        <w:r>
          <w:rPr>
            <w:rFonts w:ascii="arial" w:eastAsia="arial" w:hAnsi="arial" w:cs="arial"/>
            <w:b w:val="0"/>
            <w:i/>
            <w:strike w:val="0"/>
            <w:noProof w:val="0"/>
            <w:color w:val="0077CC"/>
            <w:position w:val="0"/>
            <w:sz w:val="20"/>
            <w:u w:val="single"/>
            <w:vertAlign w:val="baseline"/>
          </w:rPr>
          <w:t>Dizon v. City of S. San Francisco</w:t>
        </w:r>
      </w:hyperlink>
      <w:hyperlink r:id="rId35" w:history="1">
        <w:r>
          <w:rPr>
            <w:rFonts w:ascii="arial" w:eastAsia="arial" w:hAnsi="arial" w:cs="arial"/>
            <w:b w:val="0"/>
            <w:i/>
            <w:strike w:val="0"/>
            <w:noProof w:val="0"/>
            <w:color w:val="0077CC"/>
            <w:position w:val="0"/>
            <w:sz w:val="20"/>
            <w:u w:val="single"/>
            <w:vertAlign w:val="baseline"/>
          </w:rPr>
          <w:t>, No. 18-CV-03733-JST, 2018 U.S. Dist. LEXIS 177919, 2018 WL 5023354, at *5 (N.D. Cal. Oct. 16, 2018)</w:t>
        </w:r>
      </w:hyperlink>
      <w:r>
        <w:rPr>
          <w:rFonts w:ascii="arial" w:eastAsia="arial" w:hAnsi="arial" w:cs="arial"/>
          <w:b w:val="0"/>
          <w:i w:val="0"/>
          <w:strike w:val="0"/>
          <w:noProof w:val="0"/>
          <w:color w:val="000000"/>
          <w:position w:val="0"/>
          <w:sz w:val="20"/>
          <w:u w:val="none"/>
          <w:vertAlign w:val="baseline"/>
        </w:rPr>
        <w:t xml:space="preserve"> (dismissing ratification-based claim because "the City is an organizational entity, not 'an official' sufficient for a ratification claim."); </w:t>
      </w:r>
      <w:bookmarkStart w:id="93" w:name="Bookmark_I678NWTR2HM6210050000400"/>
      <w:bookmarkEnd w:id="93"/>
      <w:hyperlink r:id="rId36" w:history="1">
        <w:r>
          <w:rPr>
            <w:rFonts w:ascii="arial" w:eastAsia="arial" w:hAnsi="arial" w:cs="arial"/>
            <w:b w:val="0"/>
            <w:i/>
            <w:strike w:val="0"/>
            <w:noProof w:val="0"/>
            <w:color w:val="0077CC"/>
            <w:position w:val="0"/>
            <w:sz w:val="20"/>
            <w:u w:val="single"/>
            <w:vertAlign w:val="baseline"/>
          </w:rPr>
          <w:t>Schulthies v. AMTRAK</w:t>
        </w:r>
      </w:hyperlink>
      <w:hyperlink r:id="rId36" w:history="1">
        <w:r>
          <w:rPr>
            <w:rFonts w:ascii="arial" w:eastAsia="arial" w:hAnsi="arial" w:cs="arial"/>
            <w:b w:val="0"/>
            <w:i/>
            <w:strike w:val="0"/>
            <w:noProof w:val="0"/>
            <w:color w:val="0077CC"/>
            <w:position w:val="0"/>
            <w:sz w:val="20"/>
            <w:u w:val="single"/>
            <w:vertAlign w:val="baseline"/>
          </w:rPr>
          <w:t>, 650 F. Supp. 2d 994, 1001 (N.D. Cal. 2009)</w:t>
        </w:r>
      </w:hyperlink>
      <w:r>
        <w:rPr>
          <w:rFonts w:ascii="arial" w:eastAsia="arial" w:hAnsi="arial" w:cs="arial"/>
          <w:b w:val="0"/>
          <w:i w:val="0"/>
          <w:strike w:val="0"/>
          <w:noProof w:val="0"/>
          <w:color w:val="000000"/>
          <w:position w:val="0"/>
          <w:sz w:val="20"/>
          <w:u w:val="none"/>
          <w:vertAlign w:val="baseline"/>
        </w:rPr>
        <w:t xml:space="preserve"> ("[T]he third </w:t>
      </w:r>
      <w:bookmarkStart w:id="94" w:name="Bookmark_I678NWTR2HM6230020000400"/>
      <w:bookmarkEnd w:id="94"/>
      <w:hyperlink r:id="rId21" w:history="1">
        <w:r>
          <w:rPr>
            <w:rFonts w:ascii="arial" w:eastAsia="arial" w:hAnsi="arial" w:cs="arial"/>
            <w:b w:val="0"/>
            <w:i/>
            <w:strike w:val="0"/>
            <w:noProof w:val="0"/>
            <w:color w:val="0077CC"/>
            <w:position w:val="0"/>
            <w:sz w:val="20"/>
            <w:u w:val="single"/>
            <w:vertAlign w:val="baseline"/>
          </w:rPr>
          <w:t>Monell</w:t>
        </w:r>
      </w:hyperlink>
      <w:r>
        <w:rPr>
          <w:rFonts w:ascii="arial" w:eastAsia="arial" w:hAnsi="arial" w:cs="arial"/>
          <w:b w:val="0"/>
          <w:i w:val="0"/>
          <w:strike w:val="0"/>
          <w:noProof w:val="0"/>
          <w:color w:val="000000"/>
          <w:position w:val="0"/>
          <w:sz w:val="20"/>
          <w:u w:val="none"/>
          <w:vertAlign w:val="baseline"/>
        </w:rPr>
        <w:t xml:space="preserve"> avenue applies to an 'official,' not to the organizational entity."). In his opposition brief, Wondie asks the Court to infer (or judicially notice) that the ratifying policymaking official was King County Sheriff Mitzi Johanknecht. </w:t>
      </w:r>
      <w:bookmarkStart w:id="95" w:name="Bookmark_I678NWTR2HM6230050000400"/>
      <w:bookmarkEnd w:id="95"/>
      <w:r>
        <w:rPr>
          <w:rFonts w:ascii="arial" w:eastAsia="arial" w:hAnsi="arial" w:cs="arial"/>
          <w:b w:val="0"/>
          <w:i w:val="0"/>
          <w:strike w:val="0"/>
          <w:noProof w:val="0"/>
          <w:color w:val="000000"/>
          <w:position w:val="0"/>
          <w:sz w:val="20"/>
          <w:u w:val="none"/>
          <w:vertAlign w:val="baseline"/>
        </w:rPr>
        <w:t xml:space="preserve">Dkt. # 45 at 6 n.1. But the amended complaint cannot be cured by new information provided in a brief. </w:t>
      </w:r>
      <w:r>
        <w:rPr>
          <w:rFonts w:ascii="arial" w:eastAsia="arial" w:hAnsi="arial" w:cs="arial"/>
          <w:b w:val="0"/>
          <w:i/>
          <w:strike w:val="0"/>
          <w:noProof w:val="0"/>
          <w:color w:val="000000"/>
          <w:position w:val="0"/>
          <w:sz w:val="20"/>
          <w:u w:val="none"/>
          <w:vertAlign w:val="baseline"/>
        </w:rPr>
        <w:t xml:space="preserve">See </w:t>
      </w:r>
      <w:bookmarkStart w:id="96" w:name="Bookmark_I678NWTR2HM6230040000400"/>
      <w:bookmarkEnd w:id="96"/>
      <w:hyperlink r:id="rId37" w:history="1">
        <w:r>
          <w:rPr>
            <w:rFonts w:ascii="arial" w:eastAsia="arial" w:hAnsi="arial" w:cs="arial"/>
            <w:b w:val="0"/>
            <w:i/>
            <w:strike w:val="0"/>
            <w:noProof w:val="0"/>
            <w:color w:val="0077CC"/>
            <w:position w:val="0"/>
            <w:sz w:val="20"/>
            <w:u w:val="single"/>
            <w:vertAlign w:val="baseline"/>
          </w:rPr>
          <w:t>Lloyd v. Rufener</w:t>
        </w:r>
      </w:hyperlink>
      <w:hyperlink r:id="rId37" w:history="1">
        <w:r>
          <w:rPr>
            <w:rFonts w:ascii="arial" w:eastAsia="arial" w:hAnsi="arial" w:cs="arial"/>
            <w:b w:val="0"/>
            <w:i/>
            <w:strike w:val="0"/>
            <w:noProof w:val="0"/>
            <w:color w:val="0077CC"/>
            <w:position w:val="0"/>
            <w:sz w:val="20"/>
            <w:u w:val="single"/>
            <w:vertAlign w:val="baseline"/>
          </w:rPr>
          <w:t>, 2019 U.S. Dist. LEXIS 77901, 2019 WL 2583167, at *11 (W.D. Wash. 2019)</w:t>
        </w:r>
      </w:hyperlink>
      <w:r>
        <w:rPr>
          <w:rFonts w:ascii="arial" w:eastAsia="arial" w:hAnsi="arial" w:cs="arial"/>
          <w:b w:val="0"/>
          <w:i w:val="0"/>
          <w:strike w:val="0"/>
          <w:noProof w:val="0"/>
          <w:color w:val="000000"/>
          <w:position w:val="0"/>
          <w:sz w:val="20"/>
          <w:u w:val="none"/>
          <w:vertAlign w:val="baseline"/>
        </w:rPr>
        <w:t>. Wondie will have an opportunity to fix this oversight through amendment.</w:t>
      </w:r>
    </w:p>
    <w:p>
      <w:pPr>
        <w:keepNext w:val="0"/>
        <w:spacing w:before="240" w:after="0" w:line="260" w:lineRule="atLeast"/>
        <w:ind w:left="0" w:right="0" w:firstLine="0"/>
        <w:jc w:val="both"/>
      </w:pPr>
      <w:bookmarkStart w:id="97" w:name="Bookmark_para_18"/>
      <w:bookmarkEnd w:id="97"/>
      <w:bookmarkStart w:id="98" w:name="Bookmark_I678NWTR2HM6250020000400"/>
      <w:bookmarkEnd w:id="98"/>
      <w:bookmarkStart w:id="99" w:name="Bookmark_I678NWTR2HM6250040000400"/>
      <w:bookmarkEnd w:id="99"/>
      <w:r>
        <w:rPr>
          <w:rFonts w:ascii="arial" w:eastAsia="arial" w:hAnsi="arial" w:cs="arial"/>
          <w:b w:val="0"/>
          <w:i w:val="0"/>
          <w:strike w:val="0"/>
          <w:noProof w:val="0"/>
          <w:color w:val="000000"/>
          <w:position w:val="0"/>
          <w:sz w:val="20"/>
          <w:u w:val="none"/>
          <w:vertAlign w:val="baseline"/>
        </w:rPr>
        <w:t xml:space="preserve">Second, and more importantly, the amended complaint does not plausibly suggest that an official "ratified" the alleged misconduct, as the term has been interpreted by the Ninth Circuit. </w:t>
      </w:r>
      <w:bookmarkStart w:id="100" w:name="Bookmark_I678NWTS2SF87S0050000400"/>
      <w:bookmarkEnd w:id="100"/>
      <w:r>
        <w:rPr>
          <w:rFonts w:ascii="arial" w:eastAsia="arial" w:hAnsi="arial" w:cs="arial"/>
          <w:b w:val="0"/>
          <w:i w:val="0"/>
          <w:strike w:val="0"/>
          <w:noProof w:val="0"/>
          <w:color w:val="000000"/>
          <w:position w:val="0"/>
          <w:sz w:val="20"/>
          <w:u w:val="none"/>
          <w:vertAlign w:val="baseline"/>
        </w:rPr>
        <w:t xml:space="preserve">"Ratification . . . generally requires more than acquiescence." </w:t>
      </w:r>
      <w:bookmarkStart w:id="101" w:name="Bookmark_I678NWTR2HM6250010000400"/>
      <w:bookmarkEnd w:id="101"/>
      <w:hyperlink r:id="rId33" w:history="1">
        <w:r>
          <w:rPr>
            <w:rFonts w:ascii="arial" w:eastAsia="arial" w:hAnsi="arial" w:cs="arial"/>
            <w:b w:val="0"/>
            <w:i/>
            <w:strike w:val="0"/>
            <w:noProof w:val="0"/>
            <w:color w:val="0077CC"/>
            <w:position w:val="0"/>
            <w:sz w:val="20"/>
            <w:u w:val="single"/>
            <w:vertAlign w:val="baseline"/>
          </w:rPr>
          <w:t>Sheehan</w:t>
        </w:r>
      </w:hyperlink>
      <w:hyperlink r:id="rId33" w:history="1">
        <w:r>
          <w:rPr>
            <w:rFonts w:ascii="arial" w:eastAsia="arial" w:hAnsi="arial" w:cs="arial"/>
            <w:b w:val="0"/>
            <w:i/>
            <w:strike w:val="0"/>
            <w:noProof w:val="0"/>
            <w:color w:val="0077CC"/>
            <w:position w:val="0"/>
            <w:sz w:val="20"/>
            <w:u w:val="single"/>
            <w:vertAlign w:val="baseline"/>
          </w:rPr>
          <w:t>, 743 F.3d at 1231</w:t>
        </w:r>
      </w:hyperlink>
      <w:r>
        <w:rPr>
          <w:rFonts w:ascii="arial" w:eastAsia="arial" w:hAnsi="arial" w:cs="arial"/>
          <w:b w:val="0"/>
          <w:i w:val="0"/>
          <w:strike w:val="0"/>
          <w:noProof w:val="0"/>
          <w:color w:val="000000"/>
          <w:position w:val="0"/>
          <w:sz w:val="20"/>
          <w:u w:val="none"/>
          <w:vertAlign w:val="baseline"/>
        </w:rPr>
        <w:t xml:space="preserve">. </w:t>
      </w:r>
      <w:bookmarkStart w:id="102" w:name="Bookmark_I678NWTS2D6N2H0030000400"/>
      <w:bookmarkEnd w:id="102"/>
      <w:r>
        <w:rPr>
          <w:rFonts w:ascii="arial" w:eastAsia="arial" w:hAnsi="arial" w:cs="arial"/>
          <w:b w:val="0"/>
          <w:i w:val="0"/>
          <w:strike w:val="0"/>
          <w:noProof w:val="0"/>
          <w:color w:val="000000"/>
          <w:position w:val="0"/>
          <w:sz w:val="20"/>
          <w:u w:val="none"/>
          <w:vertAlign w:val="baseline"/>
        </w:rPr>
        <w:t xml:space="preserve">It requires a "conscious, affirmative choice to approve [the employee's] actions." </w:t>
      </w:r>
      <w:bookmarkStart w:id="103" w:name="Bookmark_I678NWTR2HM6250030000400"/>
      <w:bookmarkEnd w:id="103"/>
      <w:hyperlink r:id="rId38" w:history="1">
        <w:r>
          <w:rPr>
            <w:rFonts w:ascii="arial" w:eastAsia="arial" w:hAnsi="arial" w:cs="arial"/>
            <w:b w:val="0"/>
            <w:i/>
            <w:strike w:val="0"/>
            <w:noProof w:val="0"/>
            <w:color w:val="0077CC"/>
            <w:position w:val="0"/>
            <w:sz w:val="20"/>
            <w:u w:val="single"/>
            <w:vertAlign w:val="baseline"/>
          </w:rPr>
          <w:t>Clouthier v. Cnty. of Contra Costa</w:t>
        </w:r>
      </w:hyperlink>
      <w:hyperlink r:id="rId38" w:history="1">
        <w:r>
          <w:rPr>
            <w:rFonts w:ascii="arial" w:eastAsia="arial" w:hAnsi="arial" w:cs="arial"/>
            <w:b w:val="0"/>
            <w:i/>
            <w:strike w:val="0"/>
            <w:noProof w:val="0"/>
            <w:color w:val="0077CC"/>
            <w:position w:val="0"/>
            <w:sz w:val="20"/>
            <w:u w:val="single"/>
            <w:vertAlign w:val="baseline"/>
          </w:rPr>
          <w:t>, 591 F.3d 1232, 1253 (9th Cir.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overruled on other</w:t>
      </w:r>
      <w:r>
        <w:rPr>
          <w:rFonts w:ascii="arial" w:eastAsia="arial" w:hAnsi="arial" w:cs="arial"/>
          <w:b/>
          <w:i/>
          <w:strike w:val="0"/>
          <w:noProof w:val="0"/>
          <w:color w:val="000000"/>
          <w:position w:val="0"/>
          <w:sz w:val="20"/>
          <w:u w:val="none"/>
          <w:vertAlign w:val="baseline"/>
        </w:rPr>
        <w:t> [*10] </w:t>
      </w:r>
      <w:r>
        <w:rPr>
          <w:rFonts w:ascii="arial" w:eastAsia="arial" w:hAnsi="arial" w:cs="arial"/>
          <w:b w:val="0"/>
          <w:i/>
          <w:strike w:val="0"/>
          <w:noProof w:val="0"/>
          <w:color w:val="000000"/>
          <w:position w:val="0"/>
          <w:sz w:val="20"/>
          <w:u w:val="none"/>
          <w:vertAlign w:val="baseline"/>
        </w:rPr>
        <w:t xml:space="preserve"> grounds by </w:t>
      </w:r>
      <w:bookmarkStart w:id="104" w:name="Bookmark_I678NWTR2HM6250050000400"/>
      <w:bookmarkEnd w:id="104"/>
      <w:hyperlink r:id="rId39" w:history="1">
        <w:r>
          <w:rPr>
            <w:rFonts w:ascii="arial" w:eastAsia="arial" w:hAnsi="arial" w:cs="arial"/>
            <w:b w:val="0"/>
            <w:i/>
            <w:strike w:val="0"/>
            <w:noProof w:val="0"/>
            <w:color w:val="0077CC"/>
            <w:position w:val="0"/>
            <w:sz w:val="20"/>
            <w:u w:val="single"/>
            <w:vertAlign w:val="baseline"/>
          </w:rPr>
          <w:t>Castro v. Cnty. of Los Angeles</w:t>
        </w:r>
      </w:hyperlink>
      <w:hyperlink r:id="rId39" w:history="1">
        <w:r>
          <w:rPr>
            <w:rFonts w:ascii="arial" w:eastAsia="arial" w:hAnsi="arial" w:cs="arial"/>
            <w:b w:val="0"/>
            <w:i/>
            <w:strike w:val="0"/>
            <w:noProof w:val="0"/>
            <w:color w:val="0077CC"/>
            <w:position w:val="0"/>
            <w:sz w:val="20"/>
            <w:u w:val="single"/>
            <w:vertAlign w:val="baseline"/>
          </w:rPr>
          <w:t>, 833 F.3d 1060 (9th Cir. 2016)</w:t>
        </w:r>
      </w:hyperlink>
      <w:r>
        <w:rPr>
          <w:rFonts w:ascii="arial" w:eastAsia="arial" w:hAnsi="arial" w:cs="arial"/>
          <w:b w:val="0"/>
          <w:i w:val="0"/>
          <w:strike w:val="0"/>
          <w:noProof w:val="0"/>
          <w:color w:val="000000"/>
          <w:position w:val="0"/>
          <w:sz w:val="20"/>
          <w:u w:val="none"/>
          <w:vertAlign w:val="baseline"/>
        </w:rPr>
        <w:t xml:space="preserve">; </w:t>
      </w:r>
      <w:bookmarkStart w:id="105" w:name="Bookmark_I678NWTS2SF87S0020000400"/>
      <w:bookmarkEnd w:id="105"/>
      <w:hyperlink r:id="rId40" w:history="1">
        <w:r>
          <w:rPr>
            <w:rFonts w:ascii="arial" w:eastAsia="arial" w:hAnsi="arial" w:cs="arial"/>
            <w:b w:val="0"/>
            <w:i/>
            <w:strike w:val="0"/>
            <w:noProof w:val="0"/>
            <w:color w:val="0077CC"/>
            <w:position w:val="0"/>
            <w:sz w:val="20"/>
            <w:u w:val="single"/>
            <w:vertAlign w:val="baseline"/>
          </w:rPr>
          <w:t>Gillette v. Delmore</w:t>
        </w:r>
      </w:hyperlink>
      <w:hyperlink r:id="rId40" w:history="1">
        <w:r>
          <w:rPr>
            <w:rFonts w:ascii="arial" w:eastAsia="arial" w:hAnsi="arial" w:cs="arial"/>
            <w:b w:val="0"/>
            <w:i/>
            <w:strike w:val="0"/>
            <w:noProof w:val="0"/>
            <w:color w:val="0077CC"/>
            <w:position w:val="0"/>
            <w:sz w:val="20"/>
            <w:u w:val="single"/>
            <w:vertAlign w:val="baseline"/>
          </w:rPr>
          <w:t>, 979 F.2d 1342, 1347 (9th Cir. 1992)</w:t>
        </w:r>
      </w:hyperlink>
      <w:r>
        <w:rPr>
          <w:rFonts w:ascii="arial" w:eastAsia="arial" w:hAnsi="arial" w:cs="arial"/>
          <w:b w:val="0"/>
          <w:i w:val="0"/>
          <w:strike w:val="0"/>
          <w:noProof w:val="0"/>
          <w:color w:val="000000"/>
          <w:position w:val="0"/>
          <w:sz w:val="20"/>
          <w:u w:val="none"/>
          <w:vertAlign w:val="baseline"/>
        </w:rPr>
        <w:t xml:space="preserve">. </w:t>
      </w:r>
      <w:bookmarkStart w:id="106" w:name="Bookmark_I678NWTS2D6N2H0030000400_2"/>
      <w:bookmarkEnd w:id="106"/>
      <w:bookmarkStart w:id="107" w:name="Bookmark_I678NWTS2SF87S0050000400_2"/>
      <w:bookmarkEnd w:id="107"/>
      <w:bookmarkStart w:id="108" w:name="Bookmark_I678NWTS2N1RHR0020000400"/>
      <w:bookmarkEnd w:id="108"/>
      <w:r>
        <w:rPr>
          <w:rFonts w:ascii="arial" w:eastAsia="arial" w:hAnsi="arial" w:cs="arial"/>
          <w:b w:val="0"/>
          <w:i w:val="0"/>
          <w:strike w:val="0"/>
          <w:noProof w:val="0"/>
          <w:color w:val="000000"/>
          <w:position w:val="0"/>
          <w:sz w:val="20"/>
          <w:u w:val="none"/>
          <w:vertAlign w:val="baseline"/>
        </w:rPr>
        <w:t xml:space="preserve">"The mere failure to discipline [the employees] does not amount to ratification of their allegedly unconstitutional actions." </w:t>
      </w:r>
      <w:bookmarkStart w:id="109" w:name="Bookmark_I678NWTS2SF87S0040000400"/>
      <w:bookmarkEnd w:id="109"/>
      <w:hyperlink r:id="rId33" w:history="1">
        <w:r>
          <w:rPr>
            <w:rFonts w:ascii="arial" w:eastAsia="arial" w:hAnsi="arial" w:cs="arial"/>
            <w:b w:val="0"/>
            <w:i/>
            <w:strike w:val="0"/>
            <w:noProof w:val="0"/>
            <w:color w:val="0077CC"/>
            <w:position w:val="0"/>
            <w:sz w:val="20"/>
            <w:u w:val="single"/>
            <w:vertAlign w:val="baseline"/>
          </w:rPr>
          <w:t>Sheehan</w:t>
        </w:r>
      </w:hyperlink>
      <w:hyperlink r:id="rId33" w:history="1">
        <w:r>
          <w:rPr>
            <w:rFonts w:ascii="arial" w:eastAsia="arial" w:hAnsi="arial" w:cs="arial"/>
            <w:b w:val="0"/>
            <w:i/>
            <w:strike w:val="0"/>
            <w:noProof w:val="0"/>
            <w:color w:val="0077CC"/>
            <w:position w:val="0"/>
            <w:sz w:val="20"/>
            <w:u w:val="single"/>
            <w:vertAlign w:val="baseline"/>
          </w:rPr>
          <w:t>, 743 F.3d at 1231</w:t>
        </w:r>
      </w:hyperlink>
      <w:r>
        <w:rPr>
          <w:rFonts w:ascii="arial" w:eastAsia="arial" w:hAnsi="arial" w:cs="arial"/>
          <w:b w:val="0"/>
          <w:i w:val="0"/>
          <w:strike w:val="0"/>
          <w:noProof w:val="0"/>
          <w:color w:val="000000"/>
          <w:position w:val="0"/>
          <w:sz w:val="20"/>
          <w:u w:val="none"/>
          <w:vertAlign w:val="baseline"/>
        </w:rPr>
        <w:t xml:space="preserve">; </w:t>
      </w:r>
      <w:bookmarkStart w:id="110" w:name="Bookmark_I678NWTS28T46G0010000400"/>
      <w:bookmarkEnd w:id="110"/>
      <w:hyperlink r:id="rId38" w:history="1">
        <w:r>
          <w:rPr>
            <w:rFonts w:ascii="arial" w:eastAsia="arial" w:hAnsi="arial" w:cs="arial"/>
            <w:b w:val="0"/>
            <w:i/>
            <w:strike w:val="0"/>
            <w:noProof w:val="0"/>
            <w:color w:val="0077CC"/>
            <w:position w:val="0"/>
            <w:sz w:val="20"/>
            <w:u w:val="single"/>
            <w:vertAlign w:val="baseline"/>
          </w:rPr>
          <w:t>Clouthier</w:t>
        </w:r>
      </w:hyperlink>
      <w:hyperlink r:id="rId38" w:history="1">
        <w:r>
          <w:rPr>
            <w:rFonts w:ascii="arial" w:eastAsia="arial" w:hAnsi="arial" w:cs="arial"/>
            <w:b w:val="0"/>
            <w:i/>
            <w:strike w:val="0"/>
            <w:noProof w:val="0"/>
            <w:color w:val="0077CC"/>
            <w:position w:val="0"/>
            <w:sz w:val="20"/>
            <w:u w:val="single"/>
            <w:vertAlign w:val="baseline"/>
          </w:rPr>
          <w:t>, 591 F.3d at 1253-54</w:t>
        </w:r>
      </w:hyperlink>
      <w:r>
        <w:rPr>
          <w:rFonts w:ascii="arial" w:eastAsia="arial" w:hAnsi="arial" w:cs="arial"/>
          <w:b w:val="0"/>
          <w:i w:val="0"/>
          <w:strike w:val="0"/>
          <w:noProof w:val="0"/>
          <w:color w:val="000000"/>
          <w:position w:val="0"/>
          <w:sz w:val="20"/>
          <w:u w:val="none"/>
          <w:vertAlign w:val="baseline"/>
        </w:rPr>
        <w:t xml:space="preserve"> (same); </w:t>
      </w:r>
      <w:bookmarkStart w:id="111" w:name="Bookmark_I678NWTS28T46G0030000400"/>
      <w:bookmarkEnd w:id="111"/>
      <w:hyperlink r:id="rId35" w:history="1">
        <w:r>
          <w:rPr>
            <w:rFonts w:ascii="arial" w:eastAsia="arial" w:hAnsi="arial" w:cs="arial"/>
            <w:b w:val="0"/>
            <w:i/>
            <w:strike w:val="0"/>
            <w:noProof w:val="0"/>
            <w:color w:val="0077CC"/>
            <w:position w:val="0"/>
            <w:sz w:val="20"/>
            <w:u w:val="single"/>
            <w:vertAlign w:val="baseline"/>
          </w:rPr>
          <w:t>Dizon</w:t>
        </w:r>
      </w:hyperlink>
      <w:hyperlink r:id="rId35" w:history="1">
        <w:r>
          <w:rPr>
            <w:rFonts w:ascii="arial" w:eastAsia="arial" w:hAnsi="arial" w:cs="arial"/>
            <w:b w:val="0"/>
            <w:i/>
            <w:strike w:val="0"/>
            <w:noProof w:val="0"/>
            <w:color w:val="0077CC"/>
            <w:position w:val="0"/>
            <w:sz w:val="20"/>
            <w:u w:val="single"/>
            <w:vertAlign w:val="baseline"/>
          </w:rPr>
          <w:t>, 2018 U.S. Dist. LEXIS 177919, 2018 WL 5023354, at *5</w:t>
        </w:r>
      </w:hyperlink>
      <w:r>
        <w:rPr>
          <w:rFonts w:ascii="arial" w:eastAsia="arial" w:hAnsi="arial" w:cs="arial"/>
          <w:b w:val="0"/>
          <w:i w:val="0"/>
          <w:strike w:val="0"/>
          <w:noProof w:val="0"/>
          <w:color w:val="000000"/>
          <w:position w:val="0"/>
          <w:sz w:val="20"/>
          <w:u w:val="none"/>
          <w:vertAlign w:val="baseline"/>
        </w:rPr>
        <w:t xml:space="preserve"> ("Failure to discipline alone is insufficient to state a claim under a ratification theory."); </w:t>
      </w:r>
      <w:bookmarkStart w:id="112" w:name="Bookmark_I678NWTS28T46G0050000400"/>
      <w:bookmarkEnd w:id="112"/>
      <w:hyperlink r:id="rId41" w:history="1">
        <w:r>
          <w:rPr>
            <w:rFonts w:ascii="arial" w:eastAsia="arial" w:hAnsi="arial" w:cs="arial"/>
            <w:b w:val="0"/>
            <w:i/>
            <w:strike w:val="0"/>
            <w:noProof w:val="0"/>
            <w:color w:val="0077CC"/>
            <w:position w:val="0"/>
            <w:sz w:val="20"/>
            <w:u w:val="single"/>
            <w:vertAlign w:val="baseline"/>
          </w:rPr>
          <w:t>Zaragoza v. Cty. of Riverside</w:t>
        </w:r>
      </w:hyperlink>
      <w:hyperlink r:id="rId41" w:history="1">
        <w:r>
          <w:rPr>
            <w:rFonts w:ascii="arial" w:eastAsia="arial" w:hAnsi="arial" w:cs="arial"/>
            <w:b w:val="0"/>
            <w:i/>
            <w:strike w:val="0"/>
            <w:noProof w:val="0"/>
            <w:color w:val="0077CC"/>
            <w:position w:val="0"/>
            <w:sz w:val="20"/>
            <w:u w:val="single"/>
            <w:vertAlign w:val="baseline"/>
          </w:rPr>
          <w:t>, 2021 U.S. Dist. LEXIS 53795, 2021 WL 968967, at *3 (C.D. Cal. 2021)</w:t>
        </w:r>
      </w:hyperlink>
      <w:r>
        <w:rPr>
          <w:rFonts w:ascii="arial" w:eastAsia="arial" w:hAnsi="arial" w:cs="arial"/>
          <w:b w:val="0"/>
          <w:i w:val="0"/>
          <w:strike w:val="0"/>
          <w:noProof w:val="0"/>
          <w:color w:val="000000"/>
          <w:position w:val="0"/>
          <w:sz w:val="20"/>
          <w:u w:val="none"/>
          <w:vertAlign w:val="baseline"/>
        </w:rPr>
        <w:t xml:space="preserve"> (same). </w:t>
      </w:r>
      <w:bookmarkStart w:id="113" w:name="Bookmark_I678NWTS2N1RHR0020000400_2"/>
      <w:bookmarkEnd w:id="113"/>
      <w:r>
        <w:rPr>
          <w:rFonts w:ascii="arial" w:eastAsia="arial" w:hAnsi="arial" w:cs="arial"/>
          <w:b w:val="0"/>
          <w:i w:val="0"/>
          <w:strike w:val="0"/>
          <w:noProof w:val="0"/>
          <w:color w:val="000000"/>
          <w:position w:val="0"/>
          <w:sz w:val="20"/>
          <w:u w:val="none"/>
          <w:vertAlign w:val="baseline"/>
        </w:rPr>
        <w:t xml:space="preserve">Similarly, "[a] mere failure to overrule a subordinate's actions, without more, is insufficient to support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w:t>
      </w:r>
      <w:bookmarkStart w:id="114" w:name="Bookmark_I678NWTS2D6N2H0020000400"/>
      <w:bookmarkEnd w:id="114"/>
      <w:hyperlink r:id="rId42" w:history="1">
        <w:r>
          <w:rPr>
            <w:rFonts w:ascii="arial" w:eastAsia="arial" w:hAnsi="arial" w:cs="arial"/>
            <w:b w:val="0"/>
            <w:i/>
            <w:strike w:val="0"/>
            <w:noProof w:val="0"/>
            <w:color w:val="0077CC"/>
            <w:position w:val="0"/>
            <w:sz w:val="20"/>
            <w:u w:val="single"/>
            <w:vertAlign w:val="baseline"/>
          </w:rPr>
          <w:t>Lytle v. Carl</w:t>
        </w:r>
      </w:hyperlink>
      <w:hyperlink r:id="rId42" w:history="1">
        <w:r>
          <w:rPr>
            <w:rFonts w:ascii="arial" w:eastAsia="arial" w:hAnsi="arial" w:cs="arial"/>
            <w:b w:val="0"/>
            <w:i/>
            <w:strike w:val="0"/>
            <w:noProof w:val="0"/>
            <w:color w:val="0077CC"/>
            <w:position w:val="0"/>
            <w:sz w:val="20"/>
            <w:u w:val="single"/>
            <w:vertAlign w:val="baseline"/>
          </w:rPr>
          <w:t>, 382 F.3d 978, 987 (9th Cir. 2004)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5" w:name="Bookmark_I678NWTS2D6N2H0040000400"/>
      <w:bookmarkEnd w:id="115"/>
      <w:hyperlink r:id="rId22" w:history="1">
        <w:r>
          <w:rPr>
            <w:rFonts w:ascii="arial" w:eastAsia="arial" w:hAnsi="arial" w:cs="arial"/>
            <w:b w:val="0"/>
            <w:i/>
            <w:strike w:val="0"/>
            <w:noProof w:val="0"/>
            <w:color w:val="0077CC"/>
            <w:position w:val="0"/>
            <w:sz w:val="20"/>
            <w:u w:val="single"/>
            <w:vertAlign w:val="baseline"/>
          </w:rPr>
          <w:t>Christie</w:t>
        </w:r>
      </w:hyperlink>
      <w:hyperlink r:id="rId22" w:history="1">
        <w:r>
          <w:rPr>
            <w:rFonts w:ascii="arial" w:eastAsia="arial" w:hAnsi="arial" w:cs="arial"/>
            <w:b w:val="0"/>
            <w:i/>
            <w:strike w:val="0"/>
            <w:noProof w:val="0"/>
            <w:color w:val="0077CC"/>
            <w:position w:val="0"/>
            <w:sz w:val="20"/>
            <w:u w:val="single"/>
            <w:vertAlign w:val="baseline"/>
          </w:rPr>
          <w:t>, 176 F.3d at 1239</w:t>
        </w:r>
      </w:hyperlink>
      <w:r>
        <w:rPr>
          <w:rFonts w:ascii="arial" w:eastAsia="arial" w:hAnsi="arial" w:cs="arial"/>
          <w:b w:val="0"/>
          <w:i w:val="0"/>
          <w:strike w:val="0"/>
          <w:noProof w:val="0"/>
          <w:color w:val="000000"/>
          <w:position w:val="0"/>
          <w:sz w:val="20"/>
          <w:u w:val="none"/>
          <w:vertAlign w:val="baseline"/>
        </w:rPr>
        <w:t xml:space="preserve"> ("[I]t is well-settled that a policymaker's mere refusal to overrule a subordinate's completed act does not constitute approval."). </w:t>
      </w:r>
      <w:bookmarkStart w:id="116" w:name="Bookmark_I678NWTS2N1RHR0020000400_3"/>
      <w:bookmarkEnd w:id="116"/>
      <w:r>
        <w:rPr>
          <w:rFonts w:ascii="arial" w:eastAsia="arial" w:hAnsi="arial" w:cs="arial"/>
          <w:b w:val="0"/>
          <w:i w:val="0"/>
          <w:strike w:val="0"/>
          <w:noProof w:val="0"/>
          <w:color w:val="000000"/>
          <w:position w:val="0"/>
          <w:sz w:val="20"/>
          <w:u w:val="none"/>
          <w:vertAlign w:val="baseline"/>
        </w:rPr>
        <w:t xml:space="preserve">"To hold cities liable under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whenever policymakers fail to overrule the unconstitutional discretionary acts of subordinates would simply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respondeat superior</w:t>
      </w:r>
      <w:r>
        <w:rPr>
          <w:rFonts w:ascii="arial" w:eastAsia="arial" w:hAnsi="arial" w:cs="arial"/>
          <w:b w:val="0"/>
          <w:i w:val="0"/>
          <w:strike w:val="0"/>
          <w:noProof w:val="0"/>
          <w:color w:val="000000"/>
          <w:position w:val="0"/>
          <w:sz w:val="20"/>
          <w:u w:val="none"/>
          <w:vertAlign w:val="baseline"/>
        </w:rPr>
        <w:t xml:space="preserve"> liability into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law." </w:t>
      </w:r>
      <w:bookmarkStart w:id="117" w:name="Bookmark_I678NWTS2N1RHR0010000400"/>
      <w:bookmarkEnd w:id="117"/>
      <w:hyperlink r:id="rId40" w:history="1">
        <w:r>
          <w:rPr>
            <w:rFonts w:ascii="arial" w:eastAsia="arial" w:hAnsi="arial" w:cs="arial"/>
            <w:b w:val="0"/>
            <w:i/>
            <w:strike w:val="0"/>
            <w:noProof w:val="0"/>
            <w:color w:val="0077CC"/>
            <w:position w:val="0"/>
            <w:sz w:val="20"/>
            <w:u w:val="single"/>
            <w:vertAlign w:val="baseline"/>
          </w:rPr>
          <w:t>Gillette</w:t>
        </w:r>
      </w:hyperlink>
      <w:hyperlink r:id="rId40" w:history="1">
        <w:r>
          <w:rPr>
            <w:rFonts w:ascii="arial" w:eastAsia="arial" w:hAnsi="arial" w:cs="arial"/>
            <w:b w:val="0"/>
            <w:i/>
            <w:strike w:val="0"/>
            <w:noProof w:val="0"/>
            <w:color w:val="0077CC"/>
            <w:position w:val="0"/>
            <w:sz w:val="20"/>
            <w:u w:val="single"/>
            <w:vertAlign w:val="baseline"/>
          </w:rPr>
          <w:t>, 979 F.2d at 1348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8" w:name="Bookmark_para_19"/>
      <w:bookmarkEnd w:id="118"/>
      <w:bookmarkStart w:id="119" w:name="Bookmark_I678NWTS2N1RHR0040000400"/>
      <w:bookmarkEnd w:id="119"/>
      <w:bookmarkStart w:id="120" w:name="Bookmark_I678NWTS28T46M0010000400"/>
      <w:bookmarkEnd w:id="120"/>
      <w:bookmarkStart w:id="121" w:name="Bookmark_I1RXRWP0CY100003R2D00004"/>
      <w:bookmarkEnd w:id="121"/>
      <w:bookmarkStart w:id="122" w:name="Bookmark_I1RXRWP0FWV00003R2D00005"/>
      <w:bookmarkEnd w:id="122"/>
      <w:bookmarkStart w:id="123" w:name="Bookmark_I678NWTS28T46M0050000400"/>
      <w:bookmarkEnd w:id="123"/>
      <w:r>
        <w:rPr>
          <w:rFonts w:ascii="arial" w:eastAsia="arial" w:hAnsi="arial" w:cs="arial"/>
          <w:b w:val="0"/>
          <w:i w:val="0"/>
          <w:strike w:val="0"/>
          <w:noProof w:val="0"/>
          <w:color w:val="000000"/>
          <w:position w:val="0"/>
          <w:sz w:val="20"/>
          <w:u w:val="none"/>
          <w:vertAlign w:val="baseline"/>
        </w:rPr>
        <w:t>The amended complaint plausibly suggests that some policymaker may have known about at least some of the alleged constitutional violations: It is reasonable to infer that senior policymakers were aware of the alleged misconduct when a federal court held that Decker misleadingly presented false information to secure a warrant.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But the pleading does not plausibly allege that an official made a "conscious, affirmative choice to approve [the] actions." </w:t>
      </w:r>
      <w:bookmarkStart w:id="125" w:name="Bookmark_I678NWTS2N1RHR0030000400"/>
      <w:bookmarkEnd w:id="125"/>
      <w:hyperlink r:id="rId38" w:history="1">
        <w:r>
          <w:rPr>
            <w:rFonts w:ascii="arial" w:eastAsia="arial" w:hAnsi="arial" w:cs="arial"/>
            <w:b w:val="0"/>
            <w:i/>
            <w:strike w:val="0"/>
            <w:noProof w:val="0"/>
            <w:color w:val="0077CC"/>
            <w:position w:val="0"/>
            <w:sz w:val="20"/>
            <w:u w:val="single"/>
            <w:vertAlign w:val="baseline"/>
          </w:rPr>
          <w:t>Clouthier</w:t>
        </w:r>
      </w:hyperlink>
      <w:hyperlink r:id="rId38" w:history="1">
        <w:r>
          <w:rPr>
            <w:rFonts w:ascii="arial" w:eastAsia="arial" w:hAnsi="arial" w:cs="arial"/>
            <w:b w:val="0"/>
            <w:i/>
            <w:strike w:val="0"/>
            <w:noProof w:val="0"/>
            <w:color w:val="0077CC"/>
            <w:position w:val="0"/>
            <w:sz w:val="20"/>
            <w:u w:val="single"/>
            <w:vertAlign w:val="baseline"/>
          </w:rPr>
          <w:t>, 591 F.3d at 1253</w:t>
        </w:r>
      </w:hyperlink>
      <w:r>
        <w:rPr>
          <w:rFonts w:ascii="arial" w:eastAsia="arial" w:hAnsi="arial" w:cs="arial"/>
          <w:b w:val="0"/>
          <w:i w:val="0"/>
          <w:strike w:val="0"/>
          <w:noProof w:val="0"/>
          <w:color w:val="000000"/>
          <w:position w:val="0"/>
          <w:sz w:val="20"/>
          <w:u w:val="none"/>
          <w:vertAlign w:val="baseline"/>
        </w:rPr>
        <w:t xml:space="preserve">. </w:t>
      </w:r>
      <w:bookmarkStart w:id="126" w:name="Bookmark_I678NWTT2SF8830040000400"/>
      <w:bookmarkEnd w:id="126"/>
      <w:r>
        <w:rPr>
          <w:rFonts w:ascii="arial" w:eastAsia="arial" w:hAnsi="arial" w:cs="arial"/>
          <w:b w:val="0"/>
          <w:i w:val="0"/>
          <w:strike w:val="0"/>
          <w:noProof w:val="0"/>
          <w:color w:val="000000"/>
          <w:position w:val="0"/>
          <w:sz w:val="20"/>
          <w:u w:val="none"/>
          <w:vertAlign w:val="baseline"/>
        </w:rPr>
        <w:t>Instead, Wondie's theory of ratification</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is based on the County's alleged failure to discipline Decker and Alvarez after the fact. But neither "failure to overrule a subordinate's actions," </w:t>
      </w:r>
      <w:bookmarkStart w:id="127" w:name="Bookmark_I678NWTS2N1RHR0050000400"/>
      <w:bookmarkEnd w:id="127"/>
      <w:hyperlink r:id="rId42" w:history="1">
        <w:r>
          <w:rPr>
            <w:rFonts w:ascii="arial" w:eastAsia="arial" w:hAnsi="arial" w:cs="arial"/>
            <w:b w:val="0"/>
            <w:i/>
            <w:strike w:val="0"/>
            <w:noProof w:val="0"/>
            <w:color w:val="0077CC"/>
            <w:position w:val="0"/>
            <w:sz w:val="20"/>
            <w:u w:val="single"/>
            <w:vertAlign w:val="baseline"/>
          </w:rPr>
          <w:t>Lytle</w:t>
        </w:r>
      </w:hyperlink>
      <w:hyperlink r:id="rId42" w:history="1">
        <w:r>
          <w:rPr>
            <w:rFonts w:ascii="arial" w:eastAsia="arial" w:hAnsi="arial" w:cs="arial"/>
            <w:b w:val="0"/>
            <w:i/>
            <w:strike w:val="0"/>
            <w:noProof w:val="0"/>
            <w:color w:val="0077CC"/>
            <w:position w:val="0"/>
            <w:sz w:val="20"/>
            <w:u w:val="single"/>
            <w:vertAlign w:val="baseline"/>
          </w:rPr>
          <w:t>, 382 F.3d at 987</w:t>
        </w:r>
      </w:hyperlink>
      <w:r>
        <w:rPr>
          <w:rFonts w:ascii="arial" w:eastAsia="arial" w:hAnsi="arial" w:cs="arial"/>
          <w:b w:val="0"/>
          <w:i w:val="0"/>
          <w:strike w:val="0"/>
          <w:noProof w:val="0"/>
          <w:color w:val="000000"/>
          <w:position w:val="0"/>
          <w:sz w:val="20"/>
          <w:u w:val="none"/>
          <w:vertAlign w:val="baseline"/>
        </w:rPr>
        <w:t xml:space="preserve">, nor "mere failure to discipline," </w:t>
      </w:r>
      <w:bookmarkStart w:id="128" w:name="Bookmark_I678NWTS28T46M0020000400"/>
      <w:bookmarkEnd w:id="128"/>
      <w:hyperlink r:id="rId33" w:history="1">
        <w:r>
          <w:rPr>
            <w:rFonts w:ascii="arial" w:eastAsia="arial" w:hAnsi="arial" w:cs="arial"/>
            <w:b w:val="0"/>
            <w:i/>
            <w:strike w:val="0"/>
            <w:noProof w:val="0"/>
            <w:color w:val="0077CC"/>
            <w:position w:val="0"/>
            <w:sz w:val="20"/>
            <w:u w:val="single"/>
            <w:vertAlign w:val="baseline"/>
          </w:rPr>
          <w:t>Sheehan</w:t>
        </w:r>
      </w:hyperlink>
      <w:hyperlink r:id="rId33" w:history="1">
        <w:r>
          <w:rPr>
            <w:rFonts w:ascii="arial" w:eastAsia="arial" w:hAnsi="arial" w:cs="arial"/>
            <w:b w:val="0"/>
            <w:i/>
            <w:strike w:val="0"/>
            <w:noProof w:val="0"/>
            <w:color w:val="0077CC"/>
            <w:position w:val="0"/>
            <w:sz w:val="20"/>
            <w:u w:val="single"/>
            <w:vertAlign w:val="baseline"/>
          </w:rPr>
          <w:t>, 743 F.3d at 1231</w:t>
        </w:r>
      </w:hyperlink>
      <w:r>
        <w:rPr>
          <w:rFonts w:ascii="arial" w:eastAsia="arial" w:hAnsi="arial" w:cs="arial"/>
          <w:b w:val="0"/>
          <w:i w:val="0"/>
          <w:strike w:val="0"/>
          <w:noProof w:val="0"/>
          <w:color w:val="000000"/>
          <w:position w:val="0"/>
          <w:sz w:val="20"/>
          <w:u w:val="none"/>
          <w:vertAlign w:val="baseline"/>
        </w:rPr>
        <w:t xml:space="preserve">, can </w:t>
      </w:r>
      <w:r>
        <w:rPr>
          <w:rFonts w:ascii="arial" w:eastAsia="arial" w:hAnsi="arial" w:cs="arial"/>
          <w:b w:val="0"/>
          <w:i/>
          <w:strike w:val="0"/>
          <w:noProof w:val="0"/>
          <w:color w:val="000000"/>
          <w:position w:val="0"/>
          <w:sz w:val="20"/>
          <w:u w:val="none"/>
          <w:vertAlign w:val="baseline"/>
        </w:rPr>
        <w:t>alone</w:t>
      </w:r>
      <w:r>
        <w:rPr>
          <w:rFonts w:ascii="arial" w:eastAsia="arial" w:hAnsi="arial" w:cs="arial"/>
          <w:b w:val="0"/>
          <w:i w:val="0"/>
          <w:strike w:val="0"/>
          <w:noProof w:val="0"/>
          <w:color w:val="000000"/>
          <w:position w:val="0"/>
          <w:sz w:val="20"/>
          <w:u w:val="none"/>
          <w:vertAlign w:val="baseline"/>
        </w:rPr>
        <w:t xml:space="preserve"> justify an inference of ratification (at least for an isolated incident). The "ratification" that Wondie points to looks more like mere knowledge of or acquiescence to the alleged constitutional violation, not the conscious, deliberate ratification required by Ninth Circuit case law. </w:t>
      </w:r>
      <w:r>
        <w:rPr>
          <w:rFonts w:ascii="arial" w:eastAsia="arial" w:hAnsi="arial" w:cs="arial"/>
          <w:b w:val="0"/>
          <w:i/>
          <w:strike w:val="0"/>
          <w:noProof w:val="0"/>
          <w:color w:val="000000"/>
          <w:position w:val="0"/>
          <w:sz w:val="20"/>
          <w:u w:val="none"/>
          <w:vertAlign w:val="baseline"/>
        </w:rPr>
        <w:t xml:space="preserve">See </w:t>
      </w:r>
      <w:bookmarkStart w:id="129" w:name="Bookmark_I678NWTS28T46M0040000400"/>
      <w:bookmarkEnd w:id="129"/>
      <w:hyperlink r:id="rId43" w:history="1">
        <w:r>
          <w:rPr>
            <w:rFonts w:ascii="arial" w:eastAsia="arial" w:hAnsi="arial" w:cs="arial"/>
            <w:b w:val="0"/>
            <w:i/>
            <w:strike w:val="0"/>
            <w:noProof w:val="0"/>
            <w:color w:val="0077CC"/>
            <w:position w:val="0"/>
            <w:sz w:val="20"/>
            <w:u w:val="single"/>
            <w:vertAlign w:val="baseline"/>
          </w:rPr>
          <w:t>Waring v. Cty. of Orange</w:t>
        </w:r>
      </w:hyperlink>
      <w:hyperlink r:id="rId43" w:history="1">
        <w:r>
          <w:rPr>
            <w:rFonts w:ascii="arial" w:eastAsia="arial" w:hAnsi="arial" w:cs="arial"/>
            <w:b w:val="0"/>
            <w:i/>
            <w:strike w:val="0"/>
            <w:noProof w:val="0"/>
            <w:color w:val="0077CC"/>
            <w:position w:val="0"/>
            <w:sz w:val="20"/>
            <w:u w:val="single"/>
            <w:vertAlign w:val="baseline"/>
          </w:rPr>
          <w:t>, 2020 U.S. Dist. LEXIS 245996, 2020 WL 7232119, at *5 (C.D. Cal. 2020)</w:t>
        </w:r>
      </w:hyperlink>
      <w:r>
        <w:rPr>
          <w:rFonts w:ascii="arial" w:eastAsia="arial" w:hAnsi="arial" w:cs="arial"/>
          <w:b w:val="0"/>
          <w:i w:val="0"/>
          <w:strike w:val="0"/>
          <w:noProof w:val="0"/>
          <w:color w:val="000000"/>
          <w:position w:val="0"/>
          <w:sz w:val="20"/>
          <w:u w:val="none"/>
          <w:vertAlign w:val="baseline"/>
        </w:rPr>
        <w:t xml:space="preserve"> ("To survive a motion to dismiss, a complaint must allege that the ratification was a conscious, affirmative choice."); </w:t>
      </w:r>
      <w:bookmarkStart w:id="130" w:name="Bookmark_I678NWTT2SF8830010000400"/>
      <w:bookmarkEnd w:id="130"/>
      <w:hyperlink r:id="rId33" w:history="1">
        <w:r>
          <w:rPr>
            <w:rFonts w:ascii="arial" w:eastAsia="arial" w:hAnsi="arial" w:cs="arial"/>
            <w:b w:val="0"/>
            <w:i/>
            <w:strike w:val="0"/>
            <w:noProof w:val="0"/>
            <w:color w:val="0077CC"/>
            <w:position w:val="0"/>
            <w:sz w:val="20"/>
            <w:u w:val="single"/>
            <w:vertAlign w:val="baseline"/>
          </w:rPr>
          <w:t>Sheehan</w:t>
        </w:r>
      </w:hyperlink>
      <w:hyperlink r:id="rId33" w:history="1">
        <w:r>
          <w:rPr>
            <w:rFonts w:ascii="arial" w:eastAsia="arial" w:hAnsi="arial" w:cs="arial"/>
            <w:b w:val="0"/>
            <w:i/>
            <w:strike w:val="0"/>
            <w:noProof w:val="0"/>
            <w:color w:val="0077CC"/>
            <w:position w:val="0"/>
            <w:sz w:val="20"/>
            <w:u w:val="single"/>
            <w:vertAlign w:val="baseline"/>
          </w:rPr>
          <w:t>, 743 F.3d at 1231</w:t>
        </w:r>
      </w:hyperlink>
      <w:r>
        <w:rPr>
          <w:rFonts w:ascii="arial" w:eastAsia="arial" w:hAnsi="arial" w:cs="arial"/>
          <w:b w:val="0"/>
          <w:i w:val="0"/>
          <w:strike w:val="0"/>
          <w:noProof w:val="0"/>
          <w:color w:val="000000"/>
          <w:position w:val="0"/>
          <w:sz w:val="20"/>
          <w:u w:val="none"/>
          <w:vertAlign w:val="baseline"/>
        </w:rPr>
        <w:t xml:space="preserve">. </w:t>
      </w:r>
      <w:bookmarkStart w:id="131" w:name="Bookmark_I678NWTT2SF8830040000400_2"/>
      <w:bookmarkEnd w:id="131"/>
      <w:r>
        <w:rPr>
          <w:rFonts w:ascii="arial" w:eastAsia="arial" w:hAnsi="arial" w:cs="arial"/>
          <w:b w:val="0"/>
          <w:i w:val="0"/>
          <w:strike w:val="0"/>
          <w:noProof w:val="0"/>
          <w:color w:val="000000"/>
          <w:position w:val="0"/>
          <w:sz w:val="20"/>
          <w:u w:val="none"/>
          <w:vertAlign w:val="baseline"/>
        </w:rPr>
        <w:t xml:space="preserve">In order to survive a motion to dismiss, Wondie must allege some additional facts that a policymaker had "knowledge of the constitutional violation and actually approve[ed] of it." </w:t>
      </w:r>
      <w:bookmarkStart w:id="132" w:name="Bookmark_I678NWTT2SF8830030000400"/>
      <w:bookmarkEnd w:id="132"/>
      <w:hyperlink r:id="rId42" w:history="1">
        <w:r>
          <w:rPr>
            <w:rFonts w:ascii="arial" w:eastAsia="arial" w:hAnsi="arial" w:cs="arial"/>
            <w:b w:val="0"/>
            <w:i/>
            <w:strike w:val="0"/>
            <w:noProof w:val="0"/>
            <w:color w:val="0077CC"/>
            <w:position w:val="0"/>
            <w:sz w:val="20"/>
            <w:u w:val="single"/>
            <w:vertAlign w:val="baseline"/>
          </w:rPr>
          <w:t>Lytle</w:t>
        </w:r>
      </w:hyperlink>
      <w:hyperlink r:id="rId42" w:history="1">
        <w:r>
          <w:rPr>
            <w:rFonts w:ascii="arial" w:eastAsia="arial" w:hAnsi="arial" w:cs="arial"/>
            <w:b w:val="0"/>
            <w:i/>
            <w:strike w:val="0"/>
            <w:noProof w:val="0"/>
            <w:color w:val="0077CC"/>
            <w:position w:val="0"/>
            <w:sz w:val="20"/>
            <w:u w:val="single"/>
            <w:vertAlign w:val="baseline"/>
          </w:rPr>
          <w:t>, 382 F.3d at 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3" w:name="Bookmark_para_20"/>
      <w:bookmarkEnd w:id="133"/>
      <w:bookmarkStart w:id="134" w:name="Bookmark_I678NWTT2N1RHT0010000400"/>
      <w:bookmarkEnd w:id="134"/>
      <w:r>
        <w:rPr>
          <w:rFonts w:ascii="arial" w:eastAsia="arial" w:hAnsi="arial" w:cs="arial"/>
          <w:b w:val="0"/>
          <w:i w:val="0"/>
          <w:strike w:val="0"/>
          <w:noProof w:val="0"/>
          <w:color w:val="000000"/>
          <w:position w:val="0"/>
          <w:sz w:val="20"/>
          <w:u w:val="none"/>
          <w:vertAlign w:val="baseline"/>
        </w:rPr>
        <w:t xml:space="preserve">These conclusions apply to all three categories of alleged wrongdoing ("judicial deception," misuse of ballistics evidence, and improper use of SWAT resources). Any amended pleading must allege sufficient facts to "nudge[] the[] claims across the line from conceivable to plausible" for all three categories of wrongdoing. </w:t>
      </w:r>
      <w:bookmarkStart w:id="135" w:name="Bookmark_I678NWTT2SF8830050000400"/>
      <w:bookmarkEnd w:id="135"/>
      <w:hyperlink r:id="rId15" w:history="1">
        <w:r>
          <w:rPr>
            <w:rFonts w:ascii="arial" w:eastAsia="arial" w:hAnsi="arial" w:cs="arial"/>
            <w:b w:val="0"/>
            <w:i/>
            <w:strike w:val="0"/>
            <w:noProof w:val="0"/>
            <w:color w:val="0077CC"/>
            <w:position w:val="0"/>
            <w:sz w:val="20"/>
            <w:u w:val="single"/>
            <w:vertAlign w:val="baseline"/>
          </w:rPr>
          <w:t>Twombly</w:t>
        </w:r>
      </w:hyperlink>
      <w:hyperlink r:id="rId15" w:history="1">
        <w:r>
          <w:rPr>
            <w:rFonts w:ascii="arial" w:eastAsia="arial" w:hAnsi="arial" w:cs="arial"/>
            <w:b w:val="0"/>
            <w:i/>
            <w:strike w:val="0"/>
            <w:noProof w:val="0"/>
            <w:color w:val="0077CC"/>
            <w:position w:val="0"/>
            <w:sz w:val="20"/>
            <w:u w:val="single"/>
            <w:vertAlign w:val="baseline"/>
          </w:rPr>
          <w:t>, 550 U.S. at 1974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136" w:name="Bookmark_para_21"/>
      <w:bookmarkEnd w:id="136"/>
      <w:r>
        <w:rPr>
          <w:rFonts w:ascii="arial" w:eastAsia="arial" w:hAnsi="arial" w:cs="arial"/>
          <w:b w:val="0"/>
          <w:i w:val="0"/>
          <w:strike w:val="0"/>
          <w:noProof w:val="0"/>
          <w:color w:val="000000"/>
          <w:position w:val="0"/>
          <w:sz w:val="20"/>
          <w:u w:val="none"/>
          <w:vertAlign w:val="baseline"/>
        </w:rPr>
        <w:t>For the reasons above, the Court GRANTS the motion to dismiss (Dkt. # 42)</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without prejudice. The Court GRANTS Plaintiff leave of twenty-one (21) days to file a second amended complaint.</w:t>
      </w:r>
    </w:p>
    <w:p>
      <w:pPr>
        <w:keepNext w:val="0"/>
        <w:spacing w:before="200" w:after="0" w:line="260" w:lineRule="atLeast"/>
        <w:ind w:left="0" w:right="0" w:firstLine="0"/>
        <w:jc w:val="both"/>
      </w:pPr>
      <w:bookmarkStart w:id="137" w:name="Bookmark_para_22"/>
      <w:bookmarkEnd w:id="137"/>
      <w:r>
        <w:rPr>
          <w:rFonts w:ascii="arial" w:eastAsia="arial" w:hAnsi="arial" w:cs="arial"/>
          <w:b w:val="0"/>
          <w:i w:val="0"/>
          <w:strike w:val="0"/>
          <w:noProof w:val="0"/>
          <w:color w:val="000000"/>
          <w:position w:val="0"/>
          <w:sz w:val="20"/>
          <w:u w:val="none"/>
          <w:vertAlign w:val="baseline"/>
        </w:rPr>
        <w:t>Dated this 3rd day of January, 2023.</w:t>
      </w:r>
    </w:p>
    <w:p>
      <w:pPr>
        <w:keepNext w:val="0"/>
        <w:spacing w:before="200" w:after="0" w:line="260" w:lineRule="atLeast"/>
        <w:ind w:left="0" w:right="0" w:firstLine="0"/>
        <w:jc w:val="both"/>
      </w:pPr>
      <w:bookmarkStart w:id="138" w:name="Bookmark_para_23"/>
      <w:bookmarkEnd w:id="138"/>
      <w:r>
        <w:rPr>
          <w:rFonts w:ascii="arial" w:eastAsia="arial" w:hAnsi="arial" w:cs="arial"/>
          <w:b w:val="0"/>
          <w:i w:val="0"/>
          <w:strike w:val="0"/>
          <w:noProof w:val="0"/>
          <w:color w:val="000000"/>
          <w:position w:val="0"/>
          <w:sz w:val="20"/>
          <w:u w:val="none"/>
          <w:vertAlign w:val="baseline"/>
        </w:rPr>
        <w:t>/s/ John H. Chun</w:t>
      </w:r>
    </w:p>
    <w:p>
      <w:pPr>
        <w:keepNext w:val="0"/>
        <w:spacing w:before="200" w:after="0" w:line="260" w:lineRule="atLeast"/>
        <w:ind w:left="0" w:right="0" w:firstLine="0"/>
        <w:jc w:val="both"/>
      </w:pPr>
      <w:bookmarkStart w:id="139" w:name="Bookmark_para_24"/>
      <w:bookmarkEnd w:id="139"/>
      <w:r>
        <w:rPr>
          <w:rFonts w:ascii="arial" w:eastAsia="arial" w:hAnsi="arial" w:cs="arial"/>
          <w:b w:val="0"/>
          <w:i w:val="0"/>
          <w:strike w:val="0"/>
          <w:noProof w:val="0"/>
          <w:color w:val="000000"/>
          <w:position w:val="0"/>
          <w:sz w:val="20"/>
          <w:u w:val="none"/>
          <w:vertAlign w:val="baseline"/>
        </w:rPr>
        <w:t>John H. Chun</w:t>
      </w:r>
    </w:p>
    <w:p>
      <w:pPr>
        <w:keepNext w:val="0"/>
        <w:spacing w:before="200" w:after="0" w:line="260" w:lineRule="atLeast"/>
        <w:ind w:left="0" w:right="0" w:firstLine="0"/>
        <w:jc w:val="both"/>
      </w:pPr>
      <w:bookmarkStart w:id="140" w:name="Bookmark_para_25"/>
      <w:bookmarkEnd w:id="140"/>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4" w:name="Bookmark_fnpara_1"/>
      <w:bookmarkEnd w:id="124"/>
      <w:r>
        <w:rPr>
          <w:rFonts w:ascii="arial" w:eastAsia="arial" w:hAnsi="arial" w:cs="arial"/>
          <w:b w:val="0"/>
          <w:i w:val="0"/>
          <w:strike w:val="0"/>
          <w:noProof w:val="0"/>
          <w:color w:val="000000"/>
          <w:position w:val="0"/>
          <w:sz w:val="18"/>
          <w:u w:val="none"/>
          <w:vertAlign w:val="baseline"/>
        </w:rPr>
        <w:t>It is less clear, however, that a policymaker knew about the alleged misuse of ballistics evidence and the alleged misuse of SWAT resources.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Wondie v. King Cnty., 2023 U.S. Dist. LEXIS 337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5T2-PR31-FJDY-X242-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SHT-0712-D6RV-H52C-00000-00&amp;context=1519360" TargetMode="External" /><Relationship Id="rId13" Type="http://schemas.openxmlformats.org/officeDocument/2006/relationships/hyperlink" Target="https://advance.lexis.com/api/document?collection=statutes-legislation&amp;id=urn:contentItem:8T9R-T3H2-D6RV-H37G-00000-00&amp;context=1519360" TargetMode="External" /><Relationship Id="rId14" Type="http://schemas.openxmlformats.org/officeDocument/2006/relationships/hyperlink" Target="https://advance.lexis.com/api/document?collection=cases&amp;id=urn:contentItem:4W9Y-4KS0-TXFX-1325-00000-00&amp;context=1519360" TargetMode="External" /><Relationship Id="rId15" Type="http://schemas.openxmlformats.org/officeDocument/2006/relationships/hyperlink" Target="https://advance.lexis.com/api/document?collection=cases&amp;id=urn:contentItem:4NSN-8840-004C-002M-00000-00&amp;context=1519360" TargetMode="External" /><Relationship Id="rId16" Type="http://schemas.openxmlformats.org/officeDocument/2006/relationships/hyperlink" Target="https://advance.lexis.com/api/document?collection=cases&amp;id=urn:contentItem:82YT-VK31-652R-823G-00000-00&amp;context=1519360" TargetMode="External" /><Relationship Id="rId17" Type="http://schemas.openxmlformats.org/officeDocument/2006/relationships/hyperlink" Target="https://advance.lexis.com/api/document?collection=cases&amp;id=urn:contentItem:3S4X-CB30-003B-43JN-00000-00&amp;context=1519360" TargetMode="External" /><Relationship Id="rId18" Type="http://schemas.openxmlformats.org/officeDocument/2006/relationships/hyperlink" Target="https://advance.lexis.com/api/document?collection=cases&amp;id=urn:contentItem:52GY-0921-F04K-F1WR-00000-00&amp;context=1519360" TargetMode="External" /><Relationship Id="rId19" Type="http://schemas.openxmlformats.org/officeDocument/2006/relationships/hyperlink" Target="https://advance.lexis.com/api/document?collection=cases&amp;id=urn:contentItem:3S4X-7PB0-0039-N51X-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6YT-8G80-0038-X1TP-00000-00&amp;context=1519360" TargetMode="External" /><Relationship Id="rId21" Type="http://schemas.openxmlformats.org/officeDocument/2006/relationships/hyperlink" Target="https://advance.lexis.com/api/document?collection=cases&amp;id=urn:contentItem:3S4X-8SP0-003B-S1RH-00000-00&amp;context=1519360" TargetMode="External" /><Relationship Id="rId22" Type="http://schemas.openxmlformats.org/officeDocument/2006/relationships/hyperlink" Target="https://advance.lexis.com/api/document?collection=cases&amp;id=urn:contentItem:3WM4-78P0-0038-X4M9-00000-00&amp;context=1519360" TargetMode="External" /><Relationship Id="rId23" Type="http://schemas.openxmlformats.org/officeDocument/2006/relationships/hyperlink" Target="https://advance.lexis.com/api/document?collection=cases&amp;id=urn:contentItem:3S4X-0050-006F-M0KF-00000-00&amp;context=1519360" TargetMode="External" /><Relationship Id="rId24" Type="http://schemas.openxmlformats.org/officeDocument/2006/relationships/hyperlink" Target="https://advance.lexis.com/api/document?collection=cases&amp;id=urn:contentItem:3S4X-CYP0-003B-545F-00000-00&amp;context=1519360" TargetMode="External" /><Relationship Id="rId25" Type="http://schemas.openxmlformats.org/officeDocument/2006/relationships/hyperlink" Target="https://advance.lexis.com/api/document?collection=cases&amp;id=urn:contentItem:5YV9-TKM1-JWR6-S1TP-00000-00&amp;context=1519360" TargetMode="External" /><Relationship Id="rId26" Type="http://schemas.openxmlformats.org/officeDocument/2006/relationships/hyperlink" Target="https://advance.lexis.com/api/document?collection=cases&amp;id=urn:contentItem:5YTW-RJ61-JJYN-B0CC-00000-00&amp;context=1519360" TargetMode="External" /><Relationship Id="rId27" Type="http://schemas.openxmlformats.org/officeDocument/2006/relationships/hyperlink" Target="https://advance.lexis.com/api/document?collection=cases&amp;id=urn:contentItem:5PW6-FR61-F04C-T49F-00000-00&amp;context=1519360" TargetMode="External" /><Relationship Id="rId28" Type="http://schemas.openxmlformats.org/officeDocument/2006/relationships/hyperlink" Target="https://advance.lexis.com/api/document?collection=cases&amp;id=urn:contentItem:646H-JM71-JN14-G14G-00000-00&amp;context=1519360" TargetMode="External" /><Relationship Id="rId29" Type="http://schemas.openxmlformats.org/officeDocument/2006/relationships/hyperlink" Target="https://advance.lexis.com/api/document?collection=cases&amp;id=urn:contentItem:53DB-5721-JCNJ-4196-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GTW-JF81-F04C-T00M-00000-00&amp;context=1519360" TargetMode="External" /><Relationship Id="rId31" Type="http://schemas.openxmlformats.org/officeDocument/2006/relationships/hyperlink" Target="https://advance.lexis.com/api/document?collection=cases&amp;id=urn:contentItem:5JK4-W9N1-F04C-T45T-00000-00&amp;context=1519360" TargetMode="External" /><Relationship Id="rId32" Type="http://schemas.openxmlformats.org/officeDocument/2006/relationships/hyperlink" Target="https://advance.lexis.com/api/document?collection=cases&amp;id=urn:contentItem:3S4X-FKN0-003B-409P-00000-00&amp;context=1519360" TargetMode="External" /><Relationship Id="rId33" Type="http://schemas.openxmlformats.org/officeDocument/2006/relationships/hyperlink" Target="https://advance.lexis.com/api/document?collection=cases&amp;id=urn:contentItem:5BK0-F041-F04K-V54S-00000-00&amp;context=1519360" TargetMode="External" /><Relationship Id="rId34" Type="http://schemas.openxmlformats.org/officeDocument/2006/relationships/hyperlink" Target="https://advance.lexis.com/api/document?collection=cases&amp;id=urn:contentItem:5G14-PC41-F04K-F1CF-00000-00&amp;context=1519360" TargetMode="External" /><Relationship Id="rId35" Type="http://schemas.openxmlformats.org/officeDocument/2006/relationships/hyperlink" Target="https://advance.lexis.com/api/document?collection=cases&amp;id=urn:contentItem:5TH6-8JJ1-JJ1H-X2M5-00000-00&amp;context=1519360" TargetMode="External" /><Relationship Id="rId36" Type="http://schemas.openxmlformats.org/officeDocument/2006/relationships/hyperlink" Target="https://advance.lexis.com/api/document?collection=cases&amp;id=urn:contentItem:4X1J-FRC0-TXFP-C34G-00000-00&amp;context=1519360" TargetMode="External" /><Relationship Id="rId37" Type="http://schemas.openxmlformats.org/officeDocument/2006/relationships/hyperlink" Target="https://advance.lexis.com/api/document?collection=cases&amp;id=urn:contentItem:5W2K-W651-F900-G00G-00000-00&amp;context=1519360" TargetMode="External" /><Relationship Id="rId38" Type="http://schemas.openxmlformats.org/officeDocument/2006/relationships/hyperlink" Target="https://advance.lexis.com/api/document?collection=cases&amp;id=urn:contentItem:7XJC-GVJ0-YB0V-P0FS-00000-00&amp;context=1519360" TargetMode="External" /><Relationship Id="rId39" Type="http://schemas.openxmlformats.org/officeDocument/2006/relationships/hyperlink" Target="https://advance.lexis.com/api/document?collection=cases&amp;id=urn:contentItem:5KG5-VRD1-F04K-V33C-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05S0-008H-V1KY-00000-00&amp;context=1519360" TargetMode="External" /><Relationship Id="rId41" Type="http://schemas.openxmlformats.org/officeDocument/2006/relationships/hyperlink" Target="https://advance.lexis.com/api/document?collection=cases&amp;id=urn:contentItem:628K-4PD1-JJ6S-613H-00000-00&amp;context=1519360" TargetMode="External" /><Relationship Id="rId42" Type="http://schemas.openxmlformats.org/officeDocument/2006/relationships/hyperlink" Target="https://advance.lexis.com/api/document?collection=cases&amp;id=urn:contentItem:4D76-3YN0-0038-X09J-00000-00&amp;context=1519360" TargetMode="External" /><Relationship Id="rId43" Type="http://schemas.openxmlformats.org/officeDocument/2006/relationships/hyperlink" Target="https://advance.lexis.com/api/document?collection=cases&amp;id=urn:contentItem:61P7-2MP1-K0BB-S4F1-00000-00&amp;context=1519360" TargetMode="External" /><Relationship Id="rId44" Type="http://schemas.openxmlformats.org/officeDocument/2006/relationships/theme" Target="theme/theme1.xml" /><Relationship Id="rId45"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7K-5K21-JWXF-2163-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Wondie v. King Cnty., 2023 U.S. Dist. LEXIS 337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vt:lpwstr>
  </property>
  <property fmtid="{D5CDD505-2E9C-101B-9397-08002B2CF9AE}" pid="3" name="LADocCount">
    <vt:lpwstr>1</vt:lpwstr>
  </property>
  <property fmtid="{D5CDD505-2E9C-101B-9397-08002B2CF9AE}" pid="4" name="LADocumentID:7">
    <vt:lpwstr>Doc::urn:hlct:5|contextualFeaturePermID::1519360</vt:lpwstr>
  </property>
  <property fmtid="{D5CDD505-2E9C-101B-9397-08002B2CF9AE}" pid="5" name="UserPermID">
    <vt:lpwstr>urn:user:PA186186283</vt:lpwstr>
  </property>
</Properties>
</file>