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Gantt v. S.C. Dep't of Corr.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South Carolina, Greenville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17, 2023, Decided; August 17,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 No. 6:23-cv-02922-MGL-KFM</w:t>
      </w:r>
    </w:p>
    <w:p>
      <w:pPr>
        <w:keepNext w:val="0"/>
        <w:spacing w:after="0" w:line="240" w:lineRule="atLeast"/>
        <w:ind w:right="0"/>
        <w:jc w:val="both"/>
      </w:pPr>
      <w:bookmarkStart w:id="0" w:name="Bookmark_40"/>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179157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6448440</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Zachary Gantt, Plaintiff, vs. South Carolina Department of Corrections, Martyna Tanaisha Green, Shanekia Dickerson, Taunjanese Nicole Meggett, and Tishiro Inabinett, Defendants.</w:t>
      </w:r>
      <w:r>
        <w:rPr>
          <w:rFonts w:ascii="arial" w:eastAsia="arial" w:hAnsi="arial" w:cs="arial"/>
          <w:vertAlign w:val="superscript"/>
        </w:rPr>
        <w:footnoteReference w:customMarkFollows="1" w:id="2"/>
        <w:t xml:space="preserve">1</w:t>
      </w:r>
    </w:p>
    <w:p>
      <w:pPr>
        <w:keepNext w:val="0"/>
        <w:spacing w:before="240" w:after="0" w:line="260" w:lineRule="atLeast"/>
        <w:ind w:left="0" w:right="0" w:firstLine="0"/>
        <w:jc w:val="left"/>
      </w:pPr>
      <w:bookmarkStart w:id="3" w:name="Subsequent History"/>
      <w:bookmarkEnd w:id="3"/>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w:t>
      </w:r>
      <w:hyperlink r:id="rId10" w:history="1">
        <w:r>
          <w:rPr>
            <w:rFonts w:ascii="arial" w:eastAsia="arial" w:hAnsi="arial" w:cs="arial"/>
            <w:b w:val="0"/>
            <w:i/>
            <w:strike w:val="0"/>
            <w:noProof w:val="0"/>
            <w:color w:val="0077CC"/>
            <w:position w:val="0"/>
            <w:sz w:val="20"/>
            <w:u w:val="single"/>
            <w:vertAlign w:val="baseline"/>
          </w:rPr>
          <w:t>Gantt v. S.C. Dep't of Corr., 2023 U.S. Dist. LEXIS 178062, 2023 WL 6446090 (D.S.C., Oct. 3, 2023)</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alleges,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deliberate indifference, exposure, smoke, amended complaint, tobacco product, exhaust, administrative remedy, exposed, district court, federal court, secondhand, terminated, tobacco, rights, RECOMMENDATION, deleterious, non-smoking, contends, damages</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Zachary Gantt, Plaintiff, Pro se, Columbia, SC.</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Kevin F. McDonald,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Kevin F. McDonald</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REPORT OF MAGISTRATE JUDGE</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The plaintiff, a state prisoner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brings this action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alleging violations of his constitutional rights. Pursuant to the provisions of </w:t>
      </w:r>
      <w:hyperlink r:id="rId12" w:history="1">
        <w:r>
          <w:rPr>
            <w:rFonts w:ascii="arial" w:eastAsia="arial" w:hAnsi="arial" w:cs="arial"/>
            <w:b w:val="0"/>
            <w:i/>
            <w:strike w:val="0"/>
            <w:noProof w:val="0"/>
            <w:color w:val="0077CC"/>
            <w:position w:val="0"/>
            <w:sz w:val="20"/>
            <w:u w:val="single"/>
            <w:vertAlign w:val="baseline"/>
          </w:rPr>
          <w:t>28 U.S.C. § 636(b)</w:t>
        </w:r>
      </w:hyperlink>
      <w:r>
        <w:rPr>
          <w:rFonts w:ascii="arial" w:eastAsia="arial" w:hAnsi="arial" w:cs="arial"/>
          <w:b w:val="0"/>
          <w:i w:val="0"/>
          <w:strike w:val="0"/>
          <w:noProof w:val="0"/>
          <w:color w:val="000000"/>
          <w:position w:val="0"/>
          <w:sz w:val="20"/>
          <w:u w:val="none"/>
          <w:vertAlign w:val="baseline"/>
        </w:rPr>
        <w:t xml:space="preserve">, and Local Civil Rule 73.02(B)(2)(d) (D.S.C.), this magistrate judge is authorized to review all pretrial matters in cases filed under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xml:space="preserve"> and submit findings and recommendations to the district court.</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The plaintiff's complaint was entered on the docket on June 22, 2023 (doc. 1). By order filed July 21, 2023, the plaintiff was given a specific time frame in which to bring his case into proper form for judicial screening (doc. 7). The plaintiff complied with the court's orders, bringing his case into proper form. During this same time, the plaintiff filed a motion to amend his complaint (doc. 9), which was granted on August 16, 2023 (doc. 12). However, upon review of the plaintiff's amended complaint (doc. 13), for the reasons that follow, it is recommended that this matter be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ALLEGATIONS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The plaintiff, a state prisoner in the custody of the South Carolina Department of Corrections ("SCDC")</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housed at Broad River Correctional Institution ("Broad River"), filed this action seeking damages from the defendants for violations of his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as well as pursuant to the South Carolina Tort Claims Act ("SCTCA") for gross negligence (doc. 13 at 5, 14, 23-24). The plaintiff asserts that he has standing to bring this action because he was injured by the exposure to secondhand smoke, also known as environmental tobacco smoke ("ETS")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17-19). The plaintiff contends that although he did not exhaust his administrative remedies, he was not required to do so due to the illegal acts of the defendants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8-10, 19-20).</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The plaintiff alleges that SCDC has a non-smoking policy, which has been in effect since at least 2008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Despite this policy, the plaintiff contends that defendants Green, Dickerson, Meggett, and Inabinett were deliberately indifferent because they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"deleterious tobacco products" into Broad River from October 5, 2021, to November 16, 2021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6, 16, 21-23). Specifically, the plaintiff alleges that Ofc. Inabinett, on October 27, 2021, took steps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"deleterious tobacco products" into Broad 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Ofc.</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Inabinett was caught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items and was terminated from employment and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The plaintiff alleges that Ofc. Meggett, on November 16, 2021, took steps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"deleterious tobacco products" including tobacco rolling papers and flavored cigar rolling papers into Broad River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14-15). Ofc. Meggett's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were caught and Ofc. Meggett was terminated from employment and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The plaintiff alleges that based on a press release he read, on October 5, 2021, Ofc. Green took steps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"deleterious tobacco products" including 143 grams of marijuana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Ofc. Green's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were interrupted, and she was terminated from employment and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The plaintiff alleges, again based on a press release he read, that on October 5, 2021, Ofc. Dickerson also took steps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in "deleterious tobacco products" including 20 Newport cigarettes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Ofc. Dickerson's attempts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were interrupted, and she was terminated from employment and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The plaintiff contends that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by these defendants caused him to be exposed to unreasonable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amounts of tobacco smoke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plaintiff alleges that when he complained about being exposed to the tobacco smoke, he was transferred to a different housing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 Despite being moved, the plaintiff alleges that he continues to suffer long term effects from being around the secondhand smoke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 xml:space="preserve">The plaintiff contends that SCDC was grossly negligent in handling the attempted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and that he is entitled to damages under the SCTCA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17, 23-24). The plaintiff contends that the exposure to unreasonable levels of tobacco smoke irritated his asthma, irritated his throat, and caused watery eyes, shortness of breath, and difficulty sleeping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7). For relief, the plaintiff seeks medical treatment by physicians not affiliated with SCDC and money damages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24-25).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STANDARD OF REVIEW</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The plaintiff filed this action pursuant to </w:t>
      </w:r>
      <w:hyperlink r:id="rId14" w:history="1">
        <w:r>
          <w:rPr>
            <w:rFonts w:ascii="arial" w:eastAsia="arial" w:hAnsi="arial" w:cs="arial"/>
            <w:b w:val="0"/>
            <w:i/>
            <w:strike w:val="0"/>
            <w:noProof w:val="0"/>
            <w:color w:val="0077CC"/>
            <w:position w:val="0"/>
            <w:sz w:val="20"/>
            <w:u w:val="single"/>
            <w:vertAlign w:val="baseline"/>
          </w:rPr>
          <w:t>28 U.S.C. § 1915</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in forma pauperis</w:t>
      </w:r>
      <w:r>
        <w:rPr>
          <w:rFonts w:ascii="arial" w:eastAsia="arial" w:hAnsi="arial" w:cs="arial"/>
          <w:b w:val="0"/>
          <w:i w:val="0"/>
          <w:strike w:val="0"/>
          <w:noProof w:val="0"/>
          <w:color w:val="000000"/>
          <w:position w:val="0"/>
          <w:sz w:val="20"/>
          <w:u w:val="none"/>
          <w:vertAlign w:val="baseline"/>
        </w:rPr>
        <w:t xml:space="preserve"> statute. This statute authorizes the District Court to dismiss a case if it is satisfied that the action "fails to state a claim on which relief may be granted," is "frivolous or malicious," or "seeks monetary relief against a defendant who is immune from such relief." </w:t>
      </w:r>
      <w:hyperlink r:id="rId14" w:history="1">
        <w:r>
          <w:rPr>
            <w:rFonts w:ascii="arial" w:eastAsia="arial" w:hAnsi="arial" w:cs="arial"/>
            <w:b w:val="0"/>
            <w:i/>
            <w:strike w:val="0"/>
            <w:noProof w:val="0"/>
            <w:color w:val="0077CC"/>
            <w:position w:val="0"/>
            <w:sz w:val="20"/>
            <w:u w:val="single"/>
            <w:vertAlign w:val="baseline"/>
          </w:rPr>
          <w:t>28 U.S.C. § 1915(e)(2)(B)</w:t>
        </w:r>
      </w:hyperlink>
      <w:r>
        <w:rPr>
          <w:rFonts w:ascii="arial" w:eastAsia="arial" w:hAnsi="arial" w:cs="arial"/>
          <w:b w:val="0"/>
          <w:i w:val="0"/>
          <w:strike w:val="0"/>
          <w:noProof w:val="0"/>
          <w:color w:val="000000"/>
          <w:position w:val="0"/>
          <w:sz w:val="20"/>
          <w:u w:val="none"/>
          <w:vertAlign w:val="baseline"/>
        </w:rPr>
        <w:t>. Further, the plaintiff is a</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prisoner under the definition of </w:t>
      </w:r>
      <w:hyperlink r:id="rId15" w:history="1">
        <w:r>
          <w:rPr>
            <w:rFonts w:ascii="arial" w:eastAsia="arial" w:hAnsi="arial" w:cs="arial"/>
            <w:b w:val="0"/>
            <w:i/>
            <w:strike w:val="0"/>
            <w:noProof w:val="0"/>
            <w:color w:val="0077CC"/>
            <w:position w:val="0"/>
            <w:sz w:val="20"/>
            <w:u w:val="single"/>
            <w:vertAlign w:val="baseline"/>
          </w:rPr>
          <w:t>28 U.S.C. § 1915A(c)</w:t>
        </w:r>
      </w:hyperlink>
      <w:r>
        <w:rPr>
          <w:rFonts w:ascii="arial" w:eastAsia="arial" w:hAnsi="arial" w:cs="arial"/>
          <w:b w:val="0"/>
          <w:i w:val="0"/>
          <w:strike w:val="0"/>
          <w:noProof w:val="0"/>
          <w:color w:val="000000"/>
          <w:position w:val="0"/>
          <w:sz w:val="20"/>
          <w:u w:val="none"/>
          <w:vertAlign w:val="baseline"/>
        </w:rPr>
        <w:t xml:space="preserve"> and "seeks redress from a governmental entity or officer or employee of a governmental entity."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1915A(a)</w:t>
        </w:r>
      </w:hyperlink>
      <w:r>
        <w:rPr>
          <w:rFonts w:ascii="arial" w:eastAsia="arial" w:hAnsi="arial" w:cs="arial"/>
          <w:b w:val="0"/>
          <w:i w:val="0"/>
          <w:strike w:val="0"/>
          <w:noProof w:val="0"/>
          <w:color w:val="000000"/>
          <w:position w:val="0"/>
          <w:sz w:val="20"/>
          <w:u w:val="none"/>
          <w:vertAlign w:val="baseline"/>
        </w:rPr>
        <w:t xml:space="preserve">. Thus, even if the plaintiff had prepaid the full filing fee, this court is charged with screening the plaintiff's lawsuit to identify cognizable claims or to dismiss the complaint if (1) it is frivolous, malicious, or fails to state a claim upon which relief may be granted, or (2) seeks monetary relief from a defendant who is immune from such relief.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both"/>
      </w:pPr>
      <w:bookmarkStart w:id="15" w:name="Bookmark_para_7"/>
      <w:bookmarkEnd w:id="15"/>
      <w:r>
        <w:rPr>
          <w:rFonts w:ascii="arial" w:eastAsia="arial" w:hAnsi="arial" w:cs="arial"/>
          <w:b w:val="0"/>
          <w:i w:val="0"/>
          <w:strike w:val="0"/>
          <w:noProof w:val="0"/>
          <w:color w:val="000000"/>
          <w:position w:val="0"/>
          <w:sz w:val="20"/>
          <w:u w:val="none"/>
          <w:vertAlign w:val="baseline"/>
        </w:rPr>
        <w:t xml:space="preserve">As a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litigant, the plaintiff's pleadings are accorded liberal construction and held to a less stringent standard than formal pleadings drafted by attorneys. </w:t>
      </w:r>
      <w:r>
        <w:rPr>
          <w:rFonts w:ascii="arial" w:eastAsia="arial" w:hAnsi="arial" w:cs="arial"/>
          <w:b w:val="0"/>
          <w:i/>
          <w:strike w:val="0"/>
          <w:noProof w:val="0"/>
          <w:color w:val="000000"/>
          <w:position w:val="0"/>
          <w:sz w:val="20"/>
          <w:u w:val="none"/>
          <w:vertAlign w:val="baseline"/>
        </w:rPr>
        <w:t xml:space="preserve">See </w:t>
      </w:r>
      <w:hyperlink r:id="rId16" w:history="1">
        <w:r>
          <w:rPr>
            <w:rFonts w:ascii="arial" w:eastAsia="arial" w:hAnsi="arial" w:cs="arial"/>
            <w:b w:val="0"/>
            <w:i/>
            <w:strike w:val="0"/>
            <w:noProof w:val="0"/>
            <w:color w:val="0077CC"/>
            <w:position w:val="0"/>
            <w:sz w:val="20"/>
            <w:u w:val="single"/>
            <w:vertAlign w:val="baseline"/>
          </w:rPr>
          <w:t>Erickson v. Pardus</w:t>
        </w:r>
      </w:hyperlink>
      <w:hyperlink r:id="rId16" w:history="1">
        <w:r>
          <w:rPr>
            <w:rFonts w:ascii="arial" w:eastAsia="arial" w:hAnsi="arial" w:cs="arial"/>
            <w:b w:val="0"/>
            <w:i/>
            <w:strike w:val="0"/>
            <w:noProof w:val="0"/>
            <w:color w:val="0077CC"/>
            <w:position w:val="0"/>
            <w:sz w:val="20"/>
            <w:u w:val="single"/>
            <w:vertAlign w:val="baseline"/>
          </w:rPr>
          <w:t>, 551 U.S. 89, 127 S. Ct. 2197, 167 L. Ed. 2d 1081 (2007)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 xml:space="preserve">). The requirement of liberal construction does not mean that the court can ignore a clear failure in the pleading to allege facts that set forth a claim cognizable in a federal district court. </w:t>
      </w:r>
      <w:r>
        <w:rPr>
          <w:rFonts w:ascii="arial" w:eastAsia="arial" w:hAnsi="arial" w:cs="arial"/>
          <w:b w:val="0"/>
          <w:i/>
          <w:strike w:val="0"/>
          <w:noProof w:val="0"/>
          <w:color w:val="000000"/>
          <w:position w:val="0"/>
          <w:sz w:val="20"/>
          <w:u w:val="none"/>
          <w:vertAlign w:val="baseline"/>
        </w:rPr>
        <w:t xml:space="preserve">See </w:t>
      </w:r>
      <w:hyperlink r:id="rId17" w:history="1">
        <w:r>
          <w:rPr>
            <w:rFonts w:ascii="arial" w:eastAsia="arial" w:hAnsi="arial" w:cs="arial"/>
            <w:b w:val="0"/>
            <w:i/>
            <w:strike w:val="0"/>
            <w:noProof w:val="0"/>
            <w:color w:val="0077CC"/>
            <w:position w:val="0"/>
            <w:sz w:val="20"/>
            <w:u w:val="single"/>
            <w:vertAlign w:val="baseline"/>
          </w:rPr>
          <w:t>Weller v. Dep't of Soc. Servs.</w:t>
        </w:r>
      </w:hyperlink>
      <w:hyperlink r:id="rId17" w:history="1">
        <w:r>
          <w:rPr>
            <w:rFonts w:ascii="arial" w:eastAsia="arial" w:hAnsi="arial" w:cs="arial"/>
            <w:b w:val="0"/>
            <w:i/>
            <w:strike w:val="0"/>
            <w:noProof w:val="0"/>
            <w:color w:val="0077CC"/>
            <w:position w:val="0"/>
            <w:sz w:val="20"/>
            <w:u w:val="single"/>
            <w:vertAlign w:val="baseline"/>
          </w:rPr>
          <w:t>, 901 F.2d 387, 391 (4th Cir. 1990)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00" w:after="0" w:line="260" w:lineRule="atLeast"/>
        <w:ind w:left="0" w:right="0" w:firstLine="0"/>
        <w:jc w:val="both"/>
      </w:pPr>
      <w:bookmarkStart w:id="16" w:name="Bookmark_para_8"/>
      <w:bookmarkEnd w:id="16"/>
      <w:r>
        <w:rPr>
          <w:rFonts w:ascii="arial" w:eastAsia="arial" w:hAnsi="arial" w:cs="arial"/>
          <w:b w:val="0"/>
          <w:i w:val="0"/>
          <w:strike w:val="0"/>
          <w:noProof w:val="0"/>
          <w:color w:val="000000"/>
          <w:position w:val="0"/>
          <w:sz w:val="20"/>
          <w:u w:val="none"/>
          <w:vertAlign w:val="baseline"/>
        </w:rPr>
        <w:t>As noted above, the plaintiff filed the instant action seeking damages and injunctive relief from the defendants. However, the plaintiff's amended complaint is subject to summary dismissal.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Failure to Exhaust Administrative Remedies</w:t>
      </w:r>
    </w:p>
    <w:p>
      <w:pPr>
        <w:keepNext w:val="0"/>
        <w:spacing w:before="240" w:after="0" w:line="260" w:lineRule="atLeast"/>
        <w:ind w:left="0" w:right="0" w:firstLine="0"/>
        <w:jc w:val="both"/>
      </w:pPr>
      <w:bookmarkStart w:id="17" w:name="Bookmark_para_9"/>
      <w:bookmarkEnd w:id="17"/>
      <w:r>
        <w:rPr>
          <w:rFonts w:ascii="arial" w:eastAsia="arial" w:hAnsi="arial" w:cs="arial"/>
          <w:b w:val="0"/>
          <w:i w:val="0"/>
          <w:strike w:val="0"/>
          <w:noProof w:val="0"/>
          <w:color w:val="000000"/>
          <w:position w:val="0"/>
          <w:sz w:val="20"/>
          <w:u w:val="none"/>
          <w:vertAlign w:val="baseline"/>
        </w:rPr>
        <w:t>As an initial matter, the plaintiff concedes that he has failed to exhaust his administrative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remedies, arguing that he was not required to exhaust his administrative remedies due to the illegal acts of the defendants (doc. 13 at 7, 8-10, 19-20). The Prisoner Litigation Reform Act ("PLRA"), codified as amended at </w:t>
      </w:r>
      <w:hyperlink r:id="rId18" w:history="1">
        <w:r>
          <w:rPr>
            <w:rFonts w:ascii="arial" w:eastAsia="arial" w:hAnsi="arial" w:cs="arial"/>
            <w:b w:val="0"/>
            <w:i/>
            <w:strike w:val="0"/>
            <w:noProof w:val="0"/>
            <w:color w:val="0077CC"/>
            <w:position w:val="0"/>
            <w:sz w:val="20"/>
            <w:u w:val="single"/>
            <w:vertAlign w:val="baseline"/>
          </w:rPr>
          <w:t>42 U.S.C. § 1997e(a)</w:t>
        </w:r>
      </w:hyperlink>
      <w:r>
        <w:rPr>
          <w:rFonts w:ascii="arial" w:eastAsia="arial" w:hAnsi="arial" w:cs="arial"/>
          <w:b w:val="0"/>
          <w:i w:val="0"/>
          <w:strike w:val="0"/>
          <w:noProof w:val="0"/>
          <w:color w:val="000000"/>
          <w:position w:val="0"/>
          <w:sz w:val="20"/>
          <w:u w:val="none"/>
          <w:vertAlign w:val="baseline"/>
        </w:rPr>
        <w:t xml:space="preserve">, mandates, among other things, that prisoners must exhaust their administrative remedies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to filing civil actions concerning prison conditions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or any other federal law. </w:t>
      </w:r>
      <w:r>
        <w:rPr>
          <w:rFonts w:ascii="arial" w:eastAsia="arial" w:hAnsi="arial" w:cs="arial"/>
          <w:b w:val="0"/>
          <w:i/>
          <w:strike w:val="0"/>
          <w:noProof w:val="0"/>
          <w:color w:val="000000"/>
          <w:position w:val="0"/>
          <w:sz w:val="20"/>
          <w:u w:val="none"/>
          <w:vertAlign w:val="baseline"/>
        </w:rPr>
        <w:t xml:space="preserve">See </w:t>
      </w:r>
      <w:hyperlink r:id="rId19" w:history="1">
        <w:r>
          <w:rPr>
            <w:rFonts w:ascii="arial" w:eastAsia="arial" w:hAnsi="arial" w:cs="arial"/>
            <w:b w:val="0"/>
            <w:i/>
            <w:strike w:val="0"/>
            <w:noProof w:val="0"/>
            <w:color w:val="0077CC"/>
            <w:position w:val="0"/>
            <w:sz w:val="20"/>
            <w:u w:val="single"/>
            <w:vertAlign w:val="baseline"/>
          </w:rPr>
          <w:t>Jones v. Bock</w:t>
        </w:r>
      </w:hyperlink>
      <w:hyperlink r:id="rId19" w:history="1">
        <w:r>
          <w:rPr>
            <w:rFonts w:ascii="arial" w:eastAsia="arial" w:hAnsi="arial" w:cs="arial"/>
            <w:b w:val="0"/>
            <w:i/>
            <w:strike w:val="0"/>
            <w:noProof w:val="0"/>
            <w:color w:val="0077CC"/>
            <w:position w:val="0"/>
            <w:sz w:val="20"/>
            <w:u w:val="single"/>
            <w:vertAlign w:val="baseline"/>
          </w:rPr>
          <w:t>, 549 U.S. 199, 211, 127 S. Ct. 910, 166 L. Ed. 2d 798 (2007)</w:t>
        </w:r>
      </w:hyperlink>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Battle v. Ledford</w:t>
        </w:r>
      </w:hyperlink>
      <w:hyperlink r:id="rId20" w:history="1">
        <w:r>
          <w:rPr>
            <w:rFonts w:ascii="arial" w:eastAsia="arial" w:hAnsi="arial" w:cs="arial"/>
            <w:b w:val="0"/>
            <w:i/>
            <w:strike w:val="0"/>
            <w:noProof w:val="0"/>
            <w:color w:val="0077CC"/>
            <w:position w:val="0"/>
            <w:sz w:val="20"/>
            <w:u w:val="single"/>
            <w:vertAlign w:val="baseline"/>
          </w:rPr>
          <w:t>, 912 F.3d 708, 711 (4th Cir. 2019)</w:t>
        </w:r>
      </w:hyperlink>
      <w:r>
        <w:rPr>
          <w:rFonts w:ascii="arial" w:eastAsia="arial" w:hAnsi="arial" w:cs="arial"/>
          <w:b w:val="0"/>
          <w:i w:val="0"/>
          <w:strike w:val="0"/>
          <w:noProof w:val="0"/>
          <w:color w:val="000000"/>
          <w:position w:val="0"/>
          <w:sz w:val="20"/>
          <w:u w:val="none"/>
          <w:vertAlign w:val="baseline"/>
        </w:rPr>
        <w:t xml:space="preserve">. The PLRA requires "proper exhaustion" of available administrative remedies and applies to </w:t>
      </w:r>
      <w:r>
        <w:rPr>
          <w:rFonts w:ascii="arial" w:eastAsia="arial" w:hAnsi="arial" w:cs="arial"/>
          <w:b/>
          <w:i w:val="0"/>
          <w:strike w:val="0"/>
          <w:noProof w:val="0"/>
          <w:color w:val="000000"/>
          <w:position w:val="0"/>
          <w:sz w:val="20"/>
          <w:u w:val="none"/>
          <w:vertAlign w:val="baseline"/>
        </w:rPr>
        <w:t>all</w:t>
      </w:r>
      <w:r>
        <w:rPr>
          <w:rFonts w:ascii="arial" w:eastAsia="arial" w:hAnsi="arial" w:cs="arial"/>
          <w:b w:val="0"/>
          <w:i w:val="0"/>
          <w:strike w:val="0"/>
          <w:noProof w:val="0"/>
          <w:color w:val="000000"/>
          <w:position w:val="0"/>
          <w:sz w:val="20"/>
          <w:u w:val="none"/>
          <w:vertAlign w:val="baseline"/>
        </w:rPr>
        <w:t xml:space="preserve"> "inmate suits about prison life, whether they involve general circumstances or particular episodes, and whether they allege excessive force or some other wrong." </w:t>
      </w:r>
      <w:hyperlink r:id="rId21" w:history="1">
        <w:r>
          <w:rPr>
            <w:rFonts w:ascii="arial" w:eastAsia="arial" w:hAnsi="arial" w:cs="arial"/>
            <w:b w:val="0"/>
            <w:i/>
            <w:strike w:val="0"/>
            <w:noProof w:val="0"/>
            <w:color w:val="0077CC"/>
            <w:position w:val="0"/>
            <w:sz w:val="20"/>
            <w:u w:val="single"/>
            <w:vertAlign w:val="baseline"/>
          </w:rPr>
          <w:t>Porter v. Nussle</w:t>
        </w:r>
      </w:hyperlink>
      <w:hyperlink r:id="rId21" w:history="1">
        <w:r>
          <w:rPr>
            <w:rFonts w:ascii="arial" w:eastAsia="arial" w:hAnsi="arial" w:cs="arial"/>
            <w:b w:val="0"/>
            <w:i/>
            <w:strike w:val="0"/>
            <w:noProof w:val="0"/>
            <w:color w:val="0077CC"/>
            <w:position w:val="0"/>
            <w:sz w:val="20"/>
            <w:u w:val="single"/>
            <w:vertAlign w:val="baseline"/>
          </w:rPr>
          <w:t>, 534 U.S. 516, 532, 122 S. Ct. 983, 152 L. Ed. 2d 12 (2002)</w:t>
        </w:r>
      </w:hyperlink>
      <w:r>
        <w:rPr>
          <w:rFonts w:ascii="arial" w:eastAsia="arial" w:hAnsi="arial" w:cs="arial"/>
          <w:b w:val="0"/>
          <w:i w:val="0"/>
          <w:strike w:val="0"/>
          <w:noProof w:val="0"/>
          <w:color w:val="000000"/>
          <w:position w:val="0"/>
          <w:sz w:val="20"/>
          <w:u w:val="none"/>
          <w:vertAlign w:val="baseline"/>
        </w:rPr>
        <w:t xml:space="preserve"> (internal citation omitted); </w:t>
      </w:r>
      <w:r>
        <w:rPr>
          <w:rFonts w:ascii="arial" w:eastAsia="arial" w:hAnsi="arial" w:cs="arial"/>
          <w:b w:val="0"/>
          <w:i/>
          <w:strike w:val="0"/>
          <w:noProof w:val="0"/>
          <w:color w:val="000000"/>
          <w:position w:val="0"/>
          <w:sz w:val="20"/>
          <w:u w:val="none"/>
          <w:vertAlign w:val="baseline"/>
        </w:rPr>
        <w:t xml:space="preserve">see </w:t>
      </w:r>
      <w:hyperlink r:id="rId22" w:history="1">
        <w:r>
          <w:rPr>
            <w:rFonts w:ascii="arial" w:eastAsia="arial" w:hAnsi="arial" w:cs="arial"/>
            <w:b w:val="0"/>
            <w:i/>
            <w:strike w:val="0"/>
            <w:noProof w:val="0"/>
            <w:color w:val="0077CC"/>
            <w:position w:val="0"/>
            <w:sz w:val="20"/>
            <w:u w:val="single"/>
            <w:vertAlign w:val="baseline"/>
          </w:rPr>
          <w:t>Woodford v. Ngo</w:t>
        </w:r>
      </w:hyperlink>
      <w:hyperlink r:id="rId22" w:history="1">
        <w:r>
          <w:rPr>
            <w:rFonts w:ascii="arial" w:eastAsia="arial" w:hAnsi="arial" w:cs="arial"/>
            <w:b w:val="0"/>
            <w:i/>
            <w:strike w:val="0"/>
            <w:noProof w:val="0"/>
            <w:color w:val="0077CC"/>
            <w:position w:val="0"/>
            <w:sz w:val="20"/>
            <w:u w:val="single"/>
            <w:vertAlign w:val="baseline"/>
          </w:rPr>
          <w:t>, 548 U.S. 81, 93-94, 126 S. Ct. 2378, 165 L. Ed. 2d 368 (2006)</w:t>
        </w:r>
      </w:hyperlink>
      <w:r>
        <w:rPr>
          <w:rFonts w:ascii="arial" w:eastAsia="arial" w:hAnsi="arial" w:cs="arial"/>
          <w:b w:val="0"/>
          <w:i w:val="0"/>
          <w:strike w:val="0"/>
          <w:noProof w:val="0"/>
          <w:color w:val="000000"/>
          <w:position w:val="0"/>
          <w:sz w:val="20"/>
          <w:u w:val="none"/>
          <w:vertAlign w:val="baseline"/>
        </w:rPr>
        <w:t xml:space="preserve">. As such, it appears that the plaintiff has failed to exhaust his administrative remedies. However, failure to exhaust under the PLRA is an affirmative defense that must be asserted by the defendants. </w:t>
      </w:r>
      <w:hyperlink r:id="rId19" w:history="1">
        <w:r>
          <w:rPr>
            <w:rFonts w:ascii="arial" w:eastAsia="arial" w:hAnsi="arial" w:cs="arial"/>
            <w:b w:val="0"/>
            <w:i/>
            <w:strike w:val="0"/>
            <w:noProof w:val="0"/>
            <w:color w:val="0077CC"/>
            <w:position w:val="0"/>
            <w:sz w:val="20"/>
            <w:u w:val="single"/>
            <w:vertAlign w:val="baseline"/>
          </w:rPr>
          <w:t>Jones</w:t>
        </w:r>
      </w:hyperlink>
      <w:hyperlink r:id="rId19" w:history="1">
        <w:r>
          <w:rPr>
            <w:rFonts w:ascii="arial" w:eastAsia="arial" w:hAnsi="arial" w:cs="arial"/>
            <w:b w:val="0"/>
            <w:i/>
            <w:strike w:val="0"/>
            <w:noProof w:val="0"/>
            <w:color w:val="0077CC"/>
            <w:position w:val="0"/>
            <w:sz w:val="20"/>
            <w:u w:val="single"/>
            <w:vertAlign w:val="baseline"/>
          </w:rPr>
          <w:t>, 549 U.S. at 216</w:t>
        </w:r>
      </w:hyperlink>
      <w:r>
        <w:rPr>
          <w:rFonts w:ascii="arial" w:eastAsia="arial" w:hAnsi="arial" w:cs="arial"/>
          <w:b w:val="0"/>
          <w:i w:val="0"/>
          <w:strike w:val="0"/>
          <w:noProof w:val="0"/>
          <w:color w:val="000000"/>
          <w:position w:val="0"/>
          <w:sz w:val="20"/>
          <w:u w:val="none"/>
          <w:vertAlign w:val="baseline"/>
        </w:rPr>
        <w:t>. Nevertheless, as set forth in more detail below, the plaintiff's amended complaint is also subject to dismissal for failure to state a claim.</w:t>
      </w:r>
    </w:p>
    <w:p>
      <w:pPr>
        <w:keepNext w:val="0"/>
        <w:spacing w:before="240" w:after="0" w:line="260" w:lineRule="atLeast"/>
        <w:ind w:left="0" w:right="0" w:firstLine="0"/>
        <w:jc w:val="left"/>
      </w:pPr>
      <w:r>
        <w:br/>
      </w:r>
      <w:hyperlink r:id="rId11" w:history="1">
        <w:r>
          <w:rPr>
            <w:rFonts w:ascii="arial" w:eastAsia="arial" w:hAnsi="arial" w:cs="arial"/>
            <w:b/>
            <w:i/>
            <w:strike w:val="0"/>
            <w:color w:val="0077CC"/>
            <w:sz w:val="20"/>
            <w:u w:val="single"/>
            <w:vertAlign w:val="baseline"/>
          </w:rPr>
          <w:t>Section 1983</w:t>
        </w:r>
      </w:hyperlink>
      <w:r>
        <w:rPr>
          <w:rFonts w:ascii="arial" w:eastAsia="arial" w:hAnsi="arial" w:cs="arial"/>
          <w:b/>
          <w:i w:val="0"/>
          <w:strike w:val="0"/>
          <w:noProof w:val="0"/>
          <w:color w:val="000000"/>
          <w:position w:val="0"/>
          <w:sz w:val="20"/>
          <w:u w:val="none"/>
          <w:vertAlign w:val="baseline"/>
        </w:rPr>
        <w:t xml:space="preserve"> Deliberate Indifference Claim</w:t>
      </w:r>
    </w:p>
    <w:p>
      <w:pPr>
        <w:keepNext w:val="0"/>
        <w:spacing w:before="240" w:after="0" w:line="260" w:lineRule="atLeast"/>
        <w:ind w:left="0" w:right="0" w:firstLine="0"/>
        <w:jc w:val="both"/>
      </w:pPr>
      <w:bookmarkStart w:id="18" w:name="Bookmark_para_10"/>
      <w:bookmarkEnd w:id="18"/>
      <w:r>
        <w:rPr>
          <w:rFonts w:ascii="arial" w:eastAsia="arial" w:hAnsi="arial" w:cs="arial"/>
          <w:b w:val="0"/>
          <w:i w:val="0"/>
          <w:strike w:val="0"/>
          <w:noProof w:val="0"/>
          <w:color w:val="000000"/>
          <w:position w:val="0"/>
          <w:sz w:val="20"/>
          <w:u w:val="none"/>
          <w:vertAlign w:val="baseline"/>
        </w:rPr>
        <w:t xml:space="preserve">The plaintiff's amended complaint is filed in part pursuant to </w:t>
      </w:r>
      <w:hyperlink r:id="rId11"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which "'is not itself a source of substantive rights,' but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merely provides 'a method for vindicating federal rights elsewhere conferred.'" </w:t>
      </w:r>
      <w:hyperlink r:id="rId23" w:history="1">
        <w:r>
          <w:rPr>
            <w:rFonts w:ascii="arial" w:eastAsia="arial" w:hAnsi="arial" w:cs="arial"/>
            <w:b w:val="0"/>
            <w:i/>
            <w:strike w:val="0"/>
            <w:noProof w:val="0"/>
            <w:color w:val="0077CC"/>
            <w:position w:val="0"/>
            <w:sz w:val="20"/>
            <w:u w:val="single"/>
            <w:vertAlign w:val="baseline"/>
          </w:rPr>
          <w:t>Albright v. Oliver</w:t>
        </w:r>
      </w:hyperlink>
      <w:hyperlink r:id="rId23" w:history="1">
        <w:r>
          <w:rPr>
            <w:rFonts w:ascii="arial" w:eastAsia="arial" w:hAnsi="arial" w:cs="arial"/>
            <w:b w:val="0"/>
            <w:i/>
            <w:strike w:val="0"/>
            <w:noProof w:val="0"/>
            <w:color w:val="0077CC"/>
            <w:position w:val="0"/>
            <w:sz w:val="20"/>
            <w:u w:val="single"/>
            <w:vertAlign w:val="baseline"/>
          </w:rPr>
          <w:t>, 510 U.S. 266, 271, 114 S. Ct. 807, 127 L. Ed. 2d 114 (1994)</w:t>
        </w:r>
      </w:hyperlink>
      <w:r>
        <w:rPr>
          <w:rFonts w:ascii="arial" w:eastAsia="arial" w:hAnsi="arial" w:cs="arial"/>
          <w:b w:val="0"/>
          <w:i w:val="0"/>
          <w:strike w:val="0"/>
          <w:noProof w:val="0"/>
          <w:color w:val="000000"/>
          <w:position w:val="0"/>
          <w:sz w:val="20"/>
          <w:u w:val="none"/>
          <w:vertAlign w:val="baseline"/>
        </w:rPr>
        <w:t xml:space="preserve"> (quoting </w:t>
      </w:r>
      <w:hyperlink r:id="rId24" w:history="1">
        <w:r>
          <w:rPr>
            <w:rFonts w:ascii="arial" w:eastAsia="arial" w:hAnsi="arial" w:cs="arial"/>
            <w:b w:val="0"/>
            <w:i/>
            <w:strike w:val="0"/>
            <w:noProof w:val="0"/>
            <w:color w:val="0077CC"/>
            <w:position w:val="0"/>
            <w:sz w:val="20"/>
            <w:u w:val="single"/>
            <w:vertAlign w:val="baseline"/>
          </w:rPr>
          <w:t>Baker v. McCollan</w:t>
        </w:r>
      </w:hyperlink>
      <w:hyperlink r:id="rId24" w:history="1">
        <w:r>
          <w:rPr>
            <w:rFonts w:ascii="arial" w:eastAsia="arial" w:hAnsi="arial" w:cs="arial"/>
            <w:b w:val="0"/>
            <w:i/>
            <w:strike w:val="0"/>
            <w:noProof w:val="0"/>
            <w:color w:val="0077CC"/>
            <w:position w:val="0"/>
            <w:sz w:val="20"/>
            <w:u w:val="single"/>
            <w:vertAlign w:val="baseline"/>
          </w:rPr>
          <w:t>, 443 U.S. 137, 144 n. 3, 99 S. Ct. 2689, 61 L. Ed. 2d 433 (1979)</w:t>
        </w:r>
      </w:hyperlink>
      <w:r>
        <w:rPr>
          <w:rFonts w:ascii="arial" w:eastAsia="arial" w:hAnsi="arial" w:cs="arial"/>
          <w:b w:val="0"/>
          <w:i w:val="0"/>
          <w:strike w:val="0"/>
          <w:noProof w:val="0"/>
          <w:color w:val="000000"/>
          <w:position w:val="0"/>
          <w:sz w:val="20"/>
          <w:u w:val="none"/>
          <w:vertAlign w:val="baseline"/>
        </w:rPr>
        <w:t xml:space="preserve">). A civil action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"creates a private right of action to vindicate violations of 'rights, privileges, or immunities secured by the Constitution and laws' of the United States." </w:t>
      </w:r>
      <w:hyperlink r:id="rId25" w:history="1">
        <w:r>
          <w:rPr>
            <w:rFonts w:ascii="arial" w:eastAsia="arial" w:hAnsi="arial" w:cs="arial"/>
            <w:b w:val="0"/>
            <w:i/>
            <w:strike w:val="0"/>
            <w:noProof w:val="0"/>
            <w:color w:val="0077CC"/>
            <w:position w:val="0"/>
            <w:sz w:val="20"/>
            <w:u w:val="single"/>
            <w:vertAlign w:val="baseline"/>
          </w:rPr>
          <w:t>Rehberg v. Paulk</w:t>
        </w:r>
      </w:hyperlink>
      <w:hyperlink r:id="rId25" w:history="1">
        <w:r>
          <w:rPr>
            <w:rFonts w:ascii="arial" w:eastAsia="arial" w:hAnsi="arial" w:cs="arial"/>
            <w:b w:val="0"/>
            <w:i/>
            <w:strike w:val="0"/>
            <w:noProof w:val="0"/>
            <w:color w:val="0077CC"/>
            <w:position w:val="0"/>
            <w:sz w:val="20"/>
            <w:u w:val="single"/>
            <w:vertAlign w:val="baseline"/>
          </w:rPr>
          <w:t>, 566 U.S. 356, 361, 132 S. Ct. 1497, 182 L. Ed. 2d 593 (2012)</w:t>
        </w:r>
      </w:hyperlink>
      <w:r>
        <w:rPr>
          <w:rFonts w:ascii="arial" w:eastAsia="arial" w:hAnsi="arial" w:cs="arial"/>
          <w:b w:val="0"/>
          <w:i w:val="0"/>
          <w:strike w:val="0"/>
          <w:noProof w:val="0"/>
          <w:color w:val="000000"/>
          <w:position w:val="0"/>
          <w:sz w:val="20"/>
          <w:u w:val="none"/>
          <w:vertAlign w:val="baseline"/>
        </w:rPr>
        <w:t xml:space="preserve">. To state a claim under </w:t>
      </w:r>
      <w:hyperlink r:id="rId11" w:history="1">
        <w:r>
          <w:rPr>
            <w:rFonts w:ascii="arial" w:eastAsia="arial" w:hAnsi="arial" w:cs="arial"/>
            <w:b w:val="0"/>
            <w:i/>
            <w:strike w:val="0"/>
            <w:noProof w:val="0"/>
            <w:color w:val="0077CC"/>
            <w:position w:val="0"/>
            <w:sz w:val="20"/>
            <w:u w:val="single"/>
            <w:vertAlign w:val="baseline"/>
          </w:rPr>
          <w:t>Section 1983</w:t>
        </w:r>
      </w:hyperlink>
      <w:r>
        <w:rPr>
          <w:rFonts w:ascii="arial" w:eastAsia="arial" w:hAnsi="arial" w:cs="arial"/>
          <w:b w:val="0"/>
          <w:i w:val="0"/>
          <w:strike w:val="0"/>
          <w:noProof w:val="0"/>
          <w:color w:val="000000"/>
          <w:position w:val="0"/>
          <w:sz w:val="20"/>
          <w:u w:val="none"/>
          <w:vertAlign w:val="baseline"/>
        </w:rPr>
        <w:t xml:space="preserve">, a plaintiff must allege two essential elements: (1) that a right secured by the Constitution or laws of the United States was violated, and (2) that the alleged violation was committed by a person acting under the color of state law. </w:t>
      </w:r>
      <w:hyperlink r:id="rId26" w:history="1">
        <w:r>
          <w:rPr>
            <w:rFonts w:ascii="arial" w:eastAsia="arial" w:hAnsi="arial" w:cs="arial"/>
            <w:b w:val="0"/>
            <w:i/>
            <w:strike w:val="0"/>
            <w:noProof w:val="0"/>
            <w:color w:val="0077CC"/>
            <w:position w:val="0"/>
            <w:sz w:val="20"/>
            <w:u w:val="single"/>
            <w:vertAlign w:val="baseline"/>
          </w:rPr>
          <w:t>West v. Atkins</w:t>
        </w:r>
      </w:hyperlink>
      <w:hyperlink r:id="rId26" w:history="1">
        <w:r>
          <w:rPr>
            <w:rFonts w:ascii="arial" w:eastAsia="arial" w:hAnsi="arial" w:cs="arial"/>
            <w:b w:val="0"/>
            <w:i/>
            <w:strike w:val="0"/>
            <w:noProof w:val="0"/>
            <w:color w:val="0077CC"/>
            <w:position w:val="0"/>
            <w:sz w:val="20"/>
            <w:u w:val="single"/>
            <w:vertAlign w:val="baseline"/>
          </w:rPr>
          <w:t>, 487 U.S. 42, 48, 108 S. Ct. 2250, 101 L. Ed. 2d 40 (1988)</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 w:name="Bookmark_para_11"/>
      <w:bookmarkEnd w:id="19"/>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expressly prohibits the infliction of "cruel and unusual punishments." </w:t>
      </w:r>
      <w:hyperlink r:id="rId13" w:history="1">
        <w:r>
          <w:rPr>
            <w:rFonts w:ascii="arial" w:eastAsia="arial" w:hAnsi="arial" w:cs="arial"/>
            <w:b w:val="0"/>
            <w:i/>
            <w:strike w:val="0"/>
            <w:noProof w:val="0"/>
            <w:color w:val="0077CC"/>
            <w:position w:val="0"/>
            <w:sz w:val="20"/>
            <w:u w:val="single"/>
            <w:vertAlign w:val="baseline"/>
          </w:rPr>
          <w:t>U.S. Const. amend. VIII</w:t>
        </w:r>
      </w:hyperlink>
      <w:r>
        <w:rPr>
          <w:rFonts w:ascii="arial" w:eastAsia="arial" w:hAnsi="arial" w:cs="arial"/>
          <w:b w:val="0"/>
          <w:i w:val="0"/>
          <w:strike w:val="0"/>
          <w:noProof w:val="0"/>
          <w:color w:val="000000"/>
          <w:position w:val="0"/>
          <w:sz w:val="20"/>
          <w:u w:val="none"/>
          <w:vertAlign w:val="baseline"/>
        </w:rPr>
        <w:t xml:space="preserve">. To succeed on an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for cruel and unusual punishment regarding the conditions of his confinement, a prisoner must prove that he was deprived of a basic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need and that prison officials were deliberately indifferent to that deprivation. </w:t>
      </w:r>
      <w:r>
        <w:rPr>
          <w:rFonts w:ascii="arial" w:eastAsia="arial" w:hAnsi="arial" w:cs="arial"/>
          <w:b w:val="0"/>
          <w:i/>
          <w:strike w:val="0"/>
          <w:noProof w:val="0"/>
          <w:color w:val="000000"/>
          <w:position w:val="0"/>
          <w:sz w:val="20"/>
          <w:u w:val="none"/>
          <w:vertAlign w:val="baseline"/>
        </w:rPr>
        <w:t xml:space="preserve">See </w:t>
      </w:r>
      <w:hyperlink r:id="rId27" w:history="1">
        <w:r>
          <w:rPr>
            <w:rFonts w:ascii="arial" w:eastAsia="arial" w:hAnsi="arial" w:cs="arial"/>
            <w:b w:val="0"/>
            <w:i/>
            <w:strike w:val="0"/>
            <w:noProof w:val="0"/>
            <w:color w:val="0077CC"/>
            <w:position w:val="0"/>
            <w:sz w:val="20"/>
            <w:u w:val="single"/>
            <w:vertAlign w:val="baseline"/>
          </w:rPr>
          <w:t>Strickler v. Waters</w:t>
        </w:r>
      </w:hyperlink>
      <w:hyperlink r:id="rId27" w:history="1">
        <w:r>
          <w:rPr>
            <w:rFonts w:ascii="arial" w:eastAsia="arial" w:hAnsi="arial" w:cs="arial"/>
            <w:b w:val="0"/>
            <w:i/>
            <w:strike w:val="0"/>
            <w:noProof w:val="0"/>
            <w:color w:val="0077CC"/>
            <w:position w:val="0"/>
            <w:sz w:val="20"/>
            <w:u w:val="single"/>
            <w:vertAlign w:val="baseline"/>
          </w:rPr>
          <w:t>, 989 F.2d 1375, 1379 (4th Cir. 1993)</w:t>
        </w:r>
      </w:hyperlink>
      <w:r>
        <w:rPr>
          <w:rFonts w:ascii="arial" w:eastAsia="arial" w:hAnsi="arial" w:cs="arial"/>
          <w:b w:val="0"/>
          <w:i w:val="0"/>
          <w:strike w:val="0"/>
          <w:noProof w:val="0"/>
          <w:color w:val="000000"/>
          <w:position w:val="0"/>
          <w:sz w:val="20"/>
          <w:u w:val="none"/>
          <w:vertAlign w:val="baseline"/>
        </w:rPr>
        <w:t xml:space="preserve">. The first prong of the </w:t>
      </w:r>
      <w:hyperlink r:id="rId27" w:history="1">
        <w:r>
          <w:rPr>
            <w:rFonts w:ascii="arial" w:eastAsia="arial" w:hAnsi="arial" w:cs="arial"/>
            <w:b w:val="0"/>
            <w:i/>
            <w:strike w:val="0"/>
            <w:noProof w:val="0"/>
            <w:color w:val="0077CC"/>
            <w:position w:val="0"/>
            <w:sz w:val="20"/>
            <w:u w:val="single"/>
            <w:vertAlign w:val="baseline"/>
          </w:rPr>
          <w:t>Strickler</w:t>
        </w:r>
      </w:hyperlink>
      <w:r>
        <w:rPr>
          <w:rFonts w:ascii="arial" w:eastAsia="arial" w:hAnsi="arial" w:cs="arial"/>
          <w:b w:val="0"/>
          <w:i w:val="0"/>
          <w:strike w:val="0"/>
          <w:noProof w:val="0"/>
          <w:color w:val="000000"/>
          <w:position w:val="0"/>
          <w:sz w:val="20"/>
          <w:u w:val="none"/>
          <w:vertAlign w:val="baseline"/>
        </w:rPr>
        <w:t xml:space="preserve"> analysis requires an objective showing that the deprivation was sufficiently serious, such that significant physical or emotional injury resulted from it, while the second prong is a subjective test requiring evidence that prison officials acted with a sufficiently culpable state of mind.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hyperlink r:id="rId28" w:history="1">
        <w:r>
          <w:rPr>
            <w:rFonts w:ascii="arial" w:eastAsia="arial" w:hAnsi="arial" w:cs="arial"/>
            <w:b w:val="0"/>
            <w:i/>
            <w:strike w:val="0"/>
            <w:noProof w:val="0"/>
            <w:color w:val="0077CC"/>
            <w:position w:val="0"/>
            <w:sz w:val="20"/>
            <w:u w:val="single"/>
            <w:vertAlign w:val="baseline"/>
          </w:rPr>
          <w:t>Wilson v. Seiter</w:t>
        </w:r>
      </w:hyperlink>
      <w:hyperlink r:id="rId28" w:history="1">
        <w:r>
          <w:rPr>
            <w:rFonts w:ascii="arial" w:eastAsia="arial" w:hAnsi="arial" w:cs="arial"/>
            <w:b w:val="0"/>
            <w:i/>
            <w:strike w:val="0"/>
            <w:noProof w:val="0"/>
            <w:color w:val="0077CC"/>
            <w:position w:val="0"/>
            <w:sz w:val="20"/>
            <w:u w:val="single"/>
            <w:vertAlign w:val="baseline"/>
          </w:rPr>
          <w:t>, 501 U.S. 294, 298, 111 S. Ct. 2321, 115 L. Ed. 2d 271 (1991)</w:t>
        </w:r>
      </w:hyperlink>
      <w:r>
        <w:rPr>
          <w:rFonts w:ascii="arial" w:eastAsia="arial" w:hAnsi="arial" w:cs="arial"/>
          <w:b w:val="0"/>
          <w:i w:val="0"/>
          <w:strike w:val="0"/>
          <w:noProof w:val="0"/>
          <w:color w:val="000000"/>
          <w:position w:val="0"/>
          <w:sz w:val="20"/>
          <w:u w:val="none"/>
          <w:vertAlign w:val="baseline"/>
        </w:rPr>
        <w:t xml:space="preserve">). In </w:t>
      </w:r>
      <w:hyperlink r:id="rId29" w:history="1">
        <w:r>
          <w:rPr>
            <w:rFonts w:ascii="arial" w:eastAsia="arial" w:hAnsi="arial" w:cs="arial"/>
            <w:b w:val="0"/>
            <w:i/>
            <w:strike w:val="0"/>
            <w:noProof w:val="0"/>
            <w:color w:val="0077CC"/>
            <w:position w:val="0"/>
            <w:sz w:val="20"/>
            <w:u w:val="single"/>
            <w:vertAlign w:val="baseline"/>
          </w:rPr>
          <w:t>Helling v. McKinney</w:t>
        </w:r>
      </w:hyperlink>
      <w:hyperlink r:id="rId29" w:history="1">
        <w:r>
          <w:rPr>
            <w:rFonts w:ascii="arial" w:eastAsia="arial" w:hAnsi="arial" w:cs="arial"/>
            <w:b w:val="0"/>
            <w:i/>
            <w:strike w:val="0"/>
            <w:noProof w:val="0"/>
            <w:color w:val="0077CC"/>
            <w:position w:val="0"/>
            <w:sz w:val="20"/>
            <w:u w:val="single"/>
            <w:vertAlign w:val="baseline"/>
          </w:rPr>
          <w:t>, 509 U.S. 25, 113 S. Ct. 2475, 125 L. Ed. 2d 22 (1993)</w:t>
        </w:r>
      </w:hyperlink>
      <w:r>
        <w:rPr>
          <w:rFonts w:ascii="arial" w:eastAsia="arial" w:hAnsi="arial" w:cs="arial"/>
          <w:b w:val="0"/>
          <w:i w:val="0"/>
          <w:strike w:val="0"/>
          <w:noProof w:val="0"/>
          <w:color w:val="000000"/>
          <w:position w:val="0"/>
          <w:sz w:val="20"/>
          <w:u w:val="none"/>
          <w:vertAlign w:val="baseline"/>
        </w:rPr>
        <w:t>, the</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Supreme Court of the United States recognized that an inmate could assert an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by alleging that prison officials, acting with deliberate indifference, exposed the inmate "to levels of ETS that pose an unreasonable risk of serious damage to his future health." </w:t>
      </w:r>
      <w:hyperlink r:id="rId29" w:history="1">
        <w:r>
          <w:rPr>
            <w:rFonts w:ascii="arial" w:eastAsia="arial" w:hAnsi="arial" w:cs="arial"/>
            <w:b w:val="0"/>
            <w:i/>
            <w:strike w:val="0"/>
            <w:noProof w:val="0"/>
            <w:color w:val="0077CC"/>
            <w:position w:val="0"/>
            <w:sz w:val="20"/>
            <w:u w:val="single"/>
            <w:vertAlign w:val="baseline"/>
          </w:rPr>
          <w:t>Helling</w:t>
        </w:r>
      </w:hyperlink>
      <w:hyperlink r:id="rId29" w:history="1">
        <w:r>
          <w:rPr>
            <w:rFonts w:ascii="arial" w:eastAsia="arial" w:hAnsi="arial" w:cs="arial"/>
            <w:b w:val="0"/>
            <w:i/>
            <w:strike w:val="0"/>
            <w:noProof w:val="0"/>
            <w:color w:val="0077CC"/>
            <w:position w:val="0"/>
            <w:sz w:val="20"/>
            <w:u w:val="single"/>
            <w:vertAlign w:val="baseline"/>
          </w:rPr>
          <w:t>, 509 U.S. at 35</w:t>
        </w:r>
      </w:hyperlink>
      <w:r>
        <w:rPr>
          <w:rFonts w:ascii="arial" w:eastAsia="arial" w:hAnsi="arial" w:cs="arial"/>
          <w:b w:val="0"/>
          <w:i w:val="0"/>
          <w:strike w:val="0"/>
          <w:noProof w:val="0"/>
          <w:color w:val="000000"/>
          <w:position w:val="0"/>
          <w:sz w:val="20"/>
          <w:u w:val="none"/>
          <w:vertAlign w:val="baseline"/>
        </w:rPr>
        <w:t xml:space="preserve">. Determining whether ETS conditions violate the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"requires more than a scientific and statistical inquiring into the seriousness of the potential harm and the likelihood that such injury to health will actually be caused by exposure to ETS."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36</w:t>
        </w:r>
      </w:hyperlink>
      <w:r>
        <w:rPr>
          <w:rFonts w:ascii="arial" w:eastAsia="arial" w:hAnsi="arial" w:cs="arial"/>
          <w:b w:val="0"/>
          <w:i w:val="0"/>
          <w:strike w:val="0"/>
          <w:noProof w:val="0"/>
          <w:color w:val="000000"/>
          <w:position w:val="0"/>
          <w:sz w:val="20"/>
          <w:u w:val="none"/>
          <w:vertAlign w:val="baseline"/>
        </w:rPr>
        <w:t xml:space="preserve">. Thus, the objective portion of a deliberate indifference claim involving exposure to ETS requires alleging an exposure to unreasonably high levels of ETS and that today's society will not tolerate his exposure to this risk. </w:t>
      </w:r>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35</w:t>
        </w:r>
      </w:hyperlink>
      <w:r>
        <w:rPr>
          <w:rFonts w:ascii="arial" w:eastAsia="arial" w:hAnsi="arial" w:cs="arial"/>
          <w:b w:val="0"/>
          <w:i w:val="0"/>
          <w:strike w:val="0"/>
          <w:noProof w:val="0"/>
          <w:color w:val="000000"/>
          <w:position w:val="0"/>
          <w:sz w:val="20"/>
          <w:u w:val="none"/>
          <w:vertAlign w:val="baseline"/>
        </w:rPr>
        <w:t xml:space="preserve">. To plausibly allege the subjective element requires alleging that the defendants are deliberately indifferent to a plaintiff's exposure to this risk.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Here, the plaintiff alleges that his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rights were violated because the defendants exposed him to ETS by attempting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tobacco products into Broad River (doc. 13 at 5, 6, 14-16, 21-23). However, as set forth in more detail below, the plaintiff's deliberate indifference claim is subject to summary dismissal.</w:t>
      </w:r>
      <w:r>
        <w:rPr>
          <w:rFonts w:ascii="arial" w:eastAsia="arial" w:hAnsi="arial" w:cs="arial"/>
          <w:b/>
          <w:i w:val="0"/>
          <w:strike w:val="0"/>
          <w:noProof w:val="0"/>
          <w:color w:val="000000"/>
          <w:position w:val="0"/>
          <w:sz w:val="20"/>
          <w:u w:val="none"/>
          <w:vertAlign w:val="baseline"/>
        </w:rPr>
        <w:t> [*9] </w:t>
      </w:r>
    </w:p>
    <w:p>
      <w:pPr>
        <w:keepNext w:val="0"/>
        <w:spacing w:before="200" w:after="0" w:line="260" w:lineRule="atLeast"/>
        <w:ind w:left="0" w:right="0" w:firstLine="0"/>
        <w:jc w:val="both"/>
      </w:pPr>
      <w:bookmarkStart w:id="20" w:name="Bookmark_para_12"/>
      <w:bookmarkEnd w:id="20"/>
      <w:r>
        <w:rPr>
          <w:rFonts w:ascii="arial" w:eastAsia="arial" w:hAnsi="arial" w:cs="arial"/>
          <w:b w:val="0"/>
          <w:i w:val="0"/>
          <w:strike w:val="0"/>
          <w:noProof w:val="0"/>
          <w:color w:val="000000"/>
          <w:position w:val="0"/>
          <w:sz w:val="20"/>
          <w:u w:val="none"/>
          <w:vertAlign w:val="baseline"/>
        </w:rPr>
        <w:t xml:space="preserve">First, the plaintiff's amended complaint is comprised of mostly vague and conclusory allegations consisting of nothing beyond lengthy legal conclusions with few factual allegations. </w:t>
      </w:r>
      <w:bookmarkStart w:id="21" w:name="Bookmark_I69YYW1J2SF87S0020000400"/>
      <w:bookmarkEnd w:id="21"/>
      <w:r>
        <w:rPr>
          <w:rFonts w:ascii="arial" w:eastAsia="arial" w:hAnsi="arial" w:cs="arial"/>
          <w:b w:val="0"/>
          <w:i/>
          <w:strike w:val="0"/>
          <w:noProof w:val="0"/>
          <w:color w:val="000000"/>
          <w:position w:val="0"/>
          <w:sz w:val="20"/>
          <w:u w:val="none"/>
          <w:vertAlign w:val="baseline"/>
        </w:rPr>
        <w:t xml:space="preserve">See </w:t>
      </w:r>
      <w:hyperlink r:id="rId30" w:history="1">
        <w:r>
          <w:rPr>
            <w:rFonts w:ascii="arial" w:eastAsia="arial" w:hAnsi="arial" w:cs="arial"/>
            <w:b w:val="0"/>
            <w:i/>
            <w:strike w:val="0"/>
            <w:noProof w:val="0"/>
            <w:color w:val="0077CC"/>
            <w:position w:val="0"/>
            <w:sz w:val="20"/>
            <w:u w:val="single"/>
            <w:vertAlign w:val="baseline"/>
          </w:rPr>
          <w:t>Turner v. Thomas</w:t>
        </w:r>
      </w:hyperlink>
      <w:hyperlink r:id="rId30" w:history="1">
        <w:r>
          <w:rPr>
            <w:rFonts w:ascii="arial" w:eastAsia="arial" w:hAnsi="arial" w:cs="arial"/>
            <w:b w:val="0"/>
            <w:i/>
            <w:strike w:val="0"/>
            <w:noProof w:val="0"/>
            <w:color w:val="0077CC"/>
            <w:position w:val="0"/>
            <w:sz w:val="20"/>
            <w:u w:val="single"/>
            <w:vertAlign w:val="baseline"/>
          </w:rPr>
          <w:t>, 930 F.3d 640, 644 (4th Cir. 2019)</w:t>
        </w:r>
      </w:hyperlink>
      <w:r>
        <w:rPr>
          <w:rFonts w:ascii="arial" w:eastAsia="arial" w:hAnsi="arial" w:cs="arial"/>
          <w:b w:val="0"/>
          <w:i w:val="0"/>
          <w:strike w:val="0"/>
          <w:noProof w:val="0"/>
          <w:color w:val="000000"/>
          <w:position w:val="0"/>
          <w:sz w:val="20"/>
          <w:u w:val="none"/>
          <w:vertAlign w:val="baseline"/>
        </w:rPr>
        <w:t xml:space="preserve"> (noting that in evaluating a complaint's allegations, the court "need not accept legal conclusions couched as facts or unwarranted inferences, unreasonable conclusions, or arguments" (internal citations and quotation marks omitted)). Such vague and conclusory allegations fail to rise to the plausibility pleading standard. </w:t>
      </w:r>
      <w:r>
        <w:rPr>
          <w:rFonts w:ascii="arial" w:eastAsia="arial" w:hAnsi="arial" w:cs="arial"/>
          <w:b w:val="0"/>
          <w:i/>
          <w:strike w:val="0"/>
          <w:noProof w:val="0"/>
          <w:color w:val="000000"/>
          <w:position w:val="0"/>
          <w:sz w:val="20"/>
          <w:u w:val="none"/>
          <w:vertAlign w:val="baseline"/>
        </w:rPr>
        <w:t xml:space="preserve">See </w:t>
      </w:r>
      <w:bookmarkStart w:id="22" w:name="Bookmark_I69YYW1J2SF87S0010000400"/>
      <w:bookmarkEnd w:id="22"/>
      <w:hyperlink r:id="rId31" w:history="1">
        <w:r>
          <w:rPr>
            <w:rFonts w:ascii="arial" w:eastAsia="arial" w:hAnsi="arial" w:cs="arial"/>
            <w:b w:val="0"/>
            <w:i/>
            <w:strike w:val="0"/>
            <w:noProof w:val="0"/>
            <w:color w:val="0077CC"/>
            <w:position w:val="0"/>
            <w:sz w:val="20"/>
            <w:u w:val="single"/>
            <w:vertAlign w:val="baseline"/>
          </w:rPr>
          <w:t>Griffith v. State Farm Fire and Cas. Co.</w:t>
        </w:r>
      </w:hyperlink>
      <w:hyperlink r:id="rId31" w:history="1">
        <w:r>
          <w:rPr>
            <w:rFonts w:ascii="arial" w:eastAsia="arial" w:hAnsi="arial" w:cs="arial"/>
            <w:b w:val="0"/>
            <w:i/>
            <w:strike w:val="0"/>
            <w:noProof w:val="0"/>
            <w:color w:val="0077CC"/>
            <w:position w:val="0"/>
            <w:sz w:val="20"/>
            <w:u w:val="single"/>
            <w:vertAlign w:val="baseline"/>
          </w:rPr>
          <w:t>, C/A No. 2:12-cv-00239-DCN., 2012 U.S. Dist. LEXIS 78184, 2012 WL 2048200, at *1 (D.S.C. June 6, 2012)</w:t>
        </w:r>
      </w:hyperlink>
      <w:r>
        <w:rPr>
          <w:rFonts w:ascii="arial" w:eastAsia="arial" w:hAnsi="arial" w:cs="arial"/>
          <w:b w:val="0"/>
          <w:i w:val="0"/>
          <w:strike w:val="0"/>
          <w:noProof w:val="0"/>
          <w:color w:val="000000"/>
          <w:position w:val="0"/>
          <w:sz w:val="20"/>
          <w:u w:val="none"/>
          <w:vertAlign w:val="baseline"/>
        </w:rPr>
        <w:t xml:space="preserve"> (finding that the plausibility standard requires more than "'an unadorned, the-defendant-unlawfully-harmed-me accusation.'" (quoting </w:t>
      </w:r>
      <w:bookmarkStart w:id="23" w:name="Bookmark_I69C9RBG2SF7JY0010000400"/>
      <w:bookmarkEnd w:id="23"/>
      <w:hyperlink r:id="rId32" w:history="1">
        <w:r>
          <w:rPr>
            <w:rFonts w:ascii="arial" w:eastAsia="arial" w:hAnsi="arial" w:cs="arial"/>
            <w:b w:val="0"/>
            <w:i/>
            <w:strike w:val="0"/>
            <w:noProof w:val="0"/>
            <w:color w:val="0077CC"/>
            <w:position w:val="0"/>
            <w:sz w:val="20"/>
            <w:u w:val="single"/>
            <w:vertAlign w:val="baseline"/>
          </w:rPr>
          <w:t>Ashcroft v. Iqbal</w:t>
        </w:r>
      </w:hyperlink>
      <w:hyperlink r:id="rId32" w:history="1">
        <w:r>
          <w:rPr>
            <w:rFonts w:ascii="arial" w:eastAsia="arial" w:hAnsi="arial" w:cs="arial"/>
            <w:b w:val="0"/>
            <w:i/>
            <w:strike w:val="0"/>
            <w:noProof w:val="0"/>
            <w:color w:val="0077CC"/>
            <w:position w:val="0"/>
            <w:sz w:val="20"/>
            <w:u w:val="single"/>
            <w:vertAlign w:val="baseline"/>
          </w:rPr>
          <w:t>, 556 U.S. 662, 678, 129 S. Ct. 1937, 173 L. Ed. 2d 868 (2009)</w:t>
        </w:r>
      </w:hyperlink>
      <w:r>
        <w:rPr>
          <w:rFonts w:ascii="arial" w:eastAsia="arial" w:hAnsi="arial" w:cs="arial"/>
          <w:b w:val="0"/>
          <w:i w:val="0"/>
          <w:strike w:val="0"/>
          <w:noProof w:val="0"/>
          <w:color w:val="000000"/>
          <w:position w:val="0"/>
          <w:sz w:val="20"/>
          <w:u w:val="none"/>
          <w:vertAlign w:val="baseline"/>
        </w:rPr>
        <w:t xml:space="preserve">)). For example, the plaintiff's amended complaint does not contain </w:t>
      </w:r>
      <w:r>
        <w:rPr>
          <w:rFonts w:ascii="arial" w:eastAsia="arial" w:hAnsi="arial" w:cs="arial"/>
          <w:b w:val="0"/>
          <w:i/>
          <w:strike w:val="0"/>
          <w:noProof w:val="0"/>
          <w:color w:val="000000"/>
          <w:position w:val="0"/>
          <w:sz w:val="20"/>
          <w:u w:val="none"/>
          <w:vertAlign w:val="baseline"/>
        </w:rPr>
        <w:t>factual</w:t>
      </w:r>
      <w:r>
        <w:rPr>
          <w:rFonts w:ascii="arial" w:eastAsia="arial" w:hAnsi="arial" w:cs="arial"/>
          <w:b w:val="0"/>
          <w:i w:val="0"/>
          <w:strike w:val="0"/>
          <w:noProof w:val="0"/>
          <w:color w:val="000000"/>
          <w:position w:val="0"/>
          <w:sz w:val="20"/>
          <w:u w:val="none"/>
          <w:vertAlign w:val="baseline"/>
        </w:rPr>
        <w:t xml:space="preserve"> allegations regarding his exposure to unacceptable levels of ETS — only legal boilerplate that he was exposed to unreasonable amounts of ETS, which falls far short of the standard set forth in </w:t>
      </w:r>
      <w:hyperlink r:id="rId29"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 xml:space="preserve"> as well as the plausibility standard set forth in </w:t>
      </w:r>
      <w:r>
        <w:rPr>
          <w:rFonts w:ascii="arial" w:eastAsia="arial" w:hAnsi="arial" w:cs="arial"/>
          <w:b w:val="0"/>
          <w:i/>
          <w:strike w:val="0"/>
          <w:noProof w:val="0"/>
          <w:color w:val="000000"/>
          <w:position w:val="0"/>
          <w:sz w:val="20"/>
          <w:u w:val="none"/>
          <w:vertAlign w:val="baseline"/>
        </w:rPr>
        <w:t xml:space="preserve">Iqbal. </w:t>
      </w:r>
      <w:hyperlink r:id="rId32" w:history="1">
        <w:r>
          <w:rPr>
            <w:rFonts w:ascii="arial" w:eastAsia="arial" w:hAnsi="arial" w:cs="arial"/>
            <w:b w:val="0"/>
            <w:i/>
            <w:strike w:val="0"/>
            <w:noProof w:val="0"/>
            <w:color w:val="0077CC"/>
            <w:position w:val="0"/>
            <w:sz w:val="20"/>
            <w:u w:val="single"/>
            <w:vertAlign w:val="baseline"/>
          </w:rPr>
          <w:t>Iqbal</w:t>
        </w:r>
      </w:hyperlink>
      <w:hyperlink r:id="rId32" w:history="1">
        <w:r>
          <w:rPr>
            <w:rFonts w:ascii="arial" w:eastAsia="arial" w:hAnsi="arial" w:cs="arial"/>
            <w:b w:val="0"/>
            <w:i/>
            <w:strike w:val="0"/>
            <w:noProof w:val="0"/>
            <w:color w:val="0077CC"/>
            <w:position w:val="0"/>
            <w:sz w:val="20"/>
            <w:u w:val="single"/>
            <w:vertAlign w:val="baseline"/>
          </w:rPr>
          <w:t>, 556 U.S. at 678</w:t>
        </w:r>
      </w:hyperlink>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Helling</w:t>
        </w:r>
      </w:hyperlink>
      <w:hyperlink r:id="rId29" w:history="1">
        <w:r>
          <w:rPr>
            <w:rFonts w:ascii="arial" w:eastAsia="arial" w:hAnsi="arial" w:cs="arial"/>
            <w:b w:val="0"/>
            <w:i/>
            <w:strike w:val="0"/>
            <w:noProof w:val="0"/>
            <w:color w:val="0077CC"/>
            <w:position w:val="0"/>
            <w:sz w:val="20"/>
            <w:u w:val="single"/>
            <w:vertAlign w:val="baseline"/>
          </w:rPr>
          <w:t>, 509 U.S. at 36</w:t>
        </w:r>
      </w:hyperlink>
      <w:r>
        <w:rPr>
          <w:rFonts w:ascii="arial" w:eastAsia="arial" w:hAnsi="arial" w:cs="arial"/>
          <w:b w:val="0"/>
          <w:i w:val="0"/>
          <w:strike w:val="0"/>
          <w:noProof w:val="0"/>
          <w:color w:val="000000"/>
          <w:position w:val="0"/>
          <w:sz w:val="20"/>
          <w:u w:val="none"/>
          <w:vertAlign w:val="baseline"/>
        </w:rPr>
        <w:t xml:space="preserve">. Further, </w:t>
      </w:r>
      <w:hyperlink r:id="rId29" w:history="1">
        <w:r>
          <w:rPr>
            <w:rFonts w:ascii="arial" w:eastAsia="arial" w:hAnsi="arial" w:cs="arial"/>
            <w:b w:val="0"/>
            <w:i/>
            <w:strike w:val="0"/>
            <w:noProof w:val="0"/>
            <w:color w:val="0077CC"/>
            <w:position w:val="0"/>
            <w:sz w:val="20"/>
            <w:u w:val="single"/>
            <w:vertAlign w:val="baseline"/>
          </w:rPr>
          <w:t>Helling</w:t>
        </w:r>
      </w:hyperlink>
      <w:r>
        <w:rPr>
          <w:rFonts w:ascii="arial" w:eastAsia="arial" w:hAnsi="arial" w:cs="arial"/>
          <w:b w:val="0"/>
          <w:i w:val="0"/>
          <w:strike w:val="0"/>
          <w:noProof w:val="0"/>
          <w:color w:val="000000"/>
          <w:position w:val="0"/>
          <w:sz w:val="20"/>
          <w:u w:val="none"/>
          <w:vertAlign w:val="baseline"/>
        </w:rPr>
        <w:t xml:space="preserve"> does not guarantee the "plaintiff a smoke free environment," </w:t>
      </w:r>
      <w:r>
        <w:rPr>
          <w:rFonts w:ascii="arial" w:eastAsia="arial" w:hAnsi="arial" w:cs="arial"/>
          <w:b w:val="0"/>
          <w:i/>
          <w:strike w:val="0"/>
          <w:noProof w:val="0"/>
          <w:color w:val="000000"/>
          <w:position w:val="0"/>
          <w:sz w:val="20"/>
          <w:u w:val="none"/>
          <w:vertAlign w:val="baseline"/>
        </w:rPr>
        <w:t>Mills v. Clark</w:t>
      </w:r>
      <w:r>
        <w:rPr>
          <w:rFonts w:ascii="arial" w:eastAsia="arial" w:hAnsi="arial" w:cs="arial"/>
          <w:b w:val="0"/>
          <w:i/>
          <w:strike w:val="0"/>
          <w:noProof w:val="0"/>
          <w:color w:val="000000"/>
          <w:position w:val="0"/>
          <w:sz w:val="20"/>
          <w:u w:val="none"/>
          <w:vertAlign w:val="baseline"/>
        </w:rPr>
        <w:t>, 229 F.3d 1143, 2000 WL 1250781, at *5 (4th Cir. 2000)</w:t>
      </w:r>
      <w:r>
        <w:rPr>
          <w:rFonts w:ascii="arial" w:eastAsia="arial" w:hAnsi="arial" w:cs="arial"/>
          <w:b w:val="0"/>
          <w:i w:val="0"/>
          <w:strike w:val="0"/>
          <w:noProof w:val="0"/>
          <w:color w:val="000000"/>
          <w:position w:val="0"/>
          <w:sz w:val="20"/>
          <w:u w:val="none"/>
          <w:vertAlign w:val="baseline"/>
        </w:rPr>
        <w:t xml:space="preserve"> (table), and "[a] prison's adoption of a no-smoking policy bears heavily on the deliberate indifference inquiry, and imperfect enforcement of a non-smoking</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policy does not rise to the level of deliberate indifference," </w:t>
      </w:r>
      <w:hyperlink r:id="rId33" w:history="1">
        <w:r>
          <w:rPr>
            <w:rFonts w:ascii="arial" w:eastAsia="arial" w:hAnsi="arial" w:cs="arial"/>
            <w:b w:val="0"/>
            <w:i/>
            <w:strike w:val="0"/>
            <w:noProof w:val="0"/>
            <w:color w:val="0077CC"/>
            <w:position w:val="0"/>
            <w:sz w:val="20"/>
            <w:u w:val="single"/>
            <w:vertAlign w:val="baseline"/>
          </w:rPr>
          <w:t>Johnson v. Garman</w:t>
        </w:r>
      </w:hyperlink>
      <w:hyperlink r:id="rId33" w:history="1">
        <w:r>
          <w:rPr>
            <w:rFonts w:ascii="arial" w:eastAsia="arial" w:hAnsi="arial" w:cs="arial"/>
            <w:b w:val="0"/>
            <w:i/>
            <w:strike w:val="0"/>
            <w:noProof w:val="0"/>
            <w:color w:val="0077CC"/>
            <w:position w:val="0"/>
            <w:sz w:val="20"/>
            <w:u w:val="single"/>
            <w:vertAlign w:val="baseline"/>
          </w:rPr>
          <w:t>, C/A No. 7:11-cv-00177, 2011 U.S. Dist. LEXIS 64284, 2011 WL 2462087, at *2 (W.D. Va. June 17, 2011)</w:t>
        </w:r>
      </w:hyperlink>
      <w:r>
        <w:rPr>
          <w:rFonts w:ascii="arial" w:eastAsia="arial" w:hAnsi="arial" w:cs="arial"/>
          <w:b w:val="0"/>
          <w:i w:val="0"/>
          <w:strike w:val="0"/>
          <w:noProof w:val="0"/>
          <w:color w:val="000000"/>
          <w:position w:val="0"/>
          <w:sz w:val="20"/>
          <w:u w:val="none"/>
          <w:vertAlign w:val="baseline"/>
        </w:rPr>
        <w:t xml:space="preserve">. </w:t>
      </w:r>
      <w:bookmarkStart w:id="24" w:name="Bookmark_I69YYW1J2SF87S0040000400"/>
      <w:bookmarkEnd w:id="24"/>
      <w:r>
        <w:rPr>
          <w:rFonts w:ascii="arial" w:eastAsia="arial" w:hAnsi="arial" w:cs="arial"/>
          <w:b w:val="0"/>
          <w:i w:val="0"/>
          <w:strike w:val="0"/>
          <w:noProof w:val="0"/>
          <w:color w:val="000000"/>
          <w:position w:val="0"/>
          <w:sz w:val="20"/>
          <w:u w:val="none"/>
          <w:vertAlign w:val="baseline"/>
        </w:rPr>
        <w:t xml:space="preserve">The plaintiff's amended complaint indicates that SCDC has a policy prohibiting the use of tobacco products in facilities such as Broad River (doc. 13 at 20). The non-smoking policy at Broad River, albeit allegedly imperfectly enforced, weighs heavily against the plaintiff's deliberate indifference claim. </w:t>
      </w:r>
      <w:bookmarkStart w:id="25" w:name="Bookmark_I69YYW1J2SF87S0030000400"/>
      <w:bookmarkEnd w:id="25"/>
      <w:hyperlink r:id="rId33" w:history="1">
        <w:r>
          <w:rPr>
            <w:rFonts w:ascii="arial" w:eastAsia="arial" w:hAnsi="arial" w:cs="arial"/>
            <w:b w:val="0"/>
            <w:i/>
            <w:strike w:val="0"/>
            <w:noProof w:val="0"/>
            <w:color w:val="0077CC"/>
            <w:position w:val="0"/>
            <w:sz w:val="20"/>
            <w:u w:val="single"/>
            <w:vertAlign w:val="baseline"/>
          </w:rPr>
          <w:t>Johnson</w:t>
        </w:r>
      </w:hyperlink>
      <w:hyperlink r:id="rId33" w:history="1">
        <w:r>
          <w:rPr>
            <w:rFonts w:ascii="arial" w:eastAsia="arial" w:hAnsi="arial" w:cs="arial"/>
            <w:b w:val="0"/>
            <w:i/>
            <w:strike w:val="0"/>
            <w:noProof w:val="0"/>
            <w:color w:val="0077CC"/>
            <w:position w:val="0"/>
            <w:sz w:val="20"/>
            <w:u w:val="single"/>
            <w:vertAlign w:val="baseline"/>
          </w:rPr>
          <w:t>, 2011 U.S. Dist. LEXIS 64284, 2011 WL 2462087, at *2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26" w:name="Bookmark_I69C9RBH2N1R7X0020000400"/>
      <w:bookmarkEnd w:id="26"/>
      <w:hyperlink r:id="rId34" w:history="1">
        <w:r>
          <w:rPr>
            <w:rFonts w:ascii="arial" w:eastAsia="arial" w:hAnsi="arial" w:cs="arial"/>
            <w:b w:val="0"/>
            <w:i/>
            <w:strike w:val="0"/>
            <w:noProof w:val="0"/>
            <w:color w:val="0077CC"/>
            <w:position w:val="0"/>
            <w:sz w:val="20"/>
            <w:u w:val="single"/>
            <w:vertAlign w:val="baseline"/>
          </w:rPr>
          <w:t>Boblett v. Angelone</w:t>
        </w:r>
      </w:hyperlink>
      <w:hyperlink r:id="rId34" w:history="1">
        <w:r>
          <w:rPr>
            <w:rFonts w:ascii="arial" w:eastAsia="arial" w:hAnsi="arial" w:cs="arial"/>
            <w:b w:val="0"/>
            <w:i/>
            <w:strike w:val="0"/>
            <w:noProof w:val="0"/>
            <w:color w:val="0077CC"/>
            <w:position w:val="0"/>
            <w:sz w:val="20"/>
            <w:u w:val="single"/>
            <w:vertAlign w:val="baseline"/>
          </w:rPr>
          <w:t>, 942 F. Supp. 251, 253 (W.D. Va. 1996)</w:t>
        </w:r>
      </w:hyperlink>
      <w:r>
        <w:rPr>
          <w:rFonts w:ascii="arial" w:eastAsia="arial" w:hAnsi="arial" w:cs="arial"/>
          <w:b w:val="0"/>
          <w:i w:val="0"/>
          <w:strike w:val="0"/>
          <w:noProof w:val="0"/>
          <w:color w:val="000000"/>
          <w:position w:val="0"/>
          <w:sz w:val="20"/>
          <w:u w:val="none"/>
          <w:vertAlign w:val="baseline"/>
        </w:rPr>
        <w:t xml:space="preserve"> (noting that although the nonsmoking dormitory rules were less rigidly enforced than preferred by the plaintiff, the alleged deficiencies in operating the non-smoking dorm fell "far short of establishing deliberate indifference to any serious risk posed to plaintiff by his exposure to ETS."), </w:t>
      </w:r>
      <w:r>
        <w:rPr>
          <w:rFonts w:ascii="arial" w:eastAsia="arial" w:hAnsi="arial" w:cs="arial"/>
          <w:b w:val="0"/>
          <w:i/>
          <w:strike w:val="0"/>
          <w:noProof w:val="0"/>
          <w:color w:val="000000"/>
          <w:position w:val="0"/>
          <w:sz w:val="20"/>
          <w:u w:val="none"/>
          <w:vertAlign w:val="baseline"/>
        </w:rPr>
        <w:t>aff'd</w:t>
      </w:r>
      <w:r>
        <w:rPr>
          <w:rFonts w:ascii="arial" w:eastAsia="arial" w:hAnsi="arial" w:cs="arial"/>
          <w:b w:val="0"/>
          <w:i w:val="0"/>
          <w:strike w:val="0"/>
          <w:noProof w:val="0"/>
          <w:color w:val="000000"/>
          <w:position w:val="0"/>
          <w:sz w:val="20"/>
          <w:u w:val="none"/>
          <w:vertAlign w:val="baseline"/>
        </w:rPr>
        <w:t xml:space="preserve">, </w:t>
      </w:r>
      <w:bookmarkStart w:id="27" w:name="Bookmark_I69C9RBH2N1R7X0040000400"/>
      <w:bookmarkEnd w:id="27"/>
      <w:r>
        <w:rPr>
          <w:rFonts w:ascii="arial" w:eastAsia="arial" w:hAnsi="arial" w:cs="arial"/>
          <w:b w:val="0"/>
          <w:i/>
          <w:strike w:val="0"/>
          <w:noProof w:val="0"/>
          <w:color w:val="000000"/>
          <w:position w:val="0"/>
          <w:sz w:val="20"/>
          <w:u w:val="none"/>
          <w:vertAlign w:val="baseline"/>
        </w:rPr>
        <w:t>121 F.3d 697 (4th Cir. 1997)</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3"/>
      <w:bookmarkEnd w:id="28"/>
      <w:r>
        <w:rPr>
          <w:rFonts w:ascii="arial" w:eastAsia="arial" w:hAnsi="arial" w:cs="arial"/>
          <w:b w:val="0"/>
          <w:i w:val="0"/>
          <w:strike w:val="0"/>
          <w:noProof w:val="0"/>
          <w:color w:val="000000"/>
          <w:position w:val="0"/>
          <w:sz w:val="20"/>
          <w:u w:val="none"/>
          <w:vertAlign w:val="baseline"/>
        </w:rPr>
        <w:t>Additionally, the plaintiff's deliberate indifference claim fails because he has not alleged that the defendants were aware that ETS posed a specific risk of harm to the plaintiff and then acted with deliberate indifference to that harm. Indeed, the plaintiff's amended complaint does not include any allegations that he even knew of or was aware of these defendants — as evidenced by his reliance on press releases for his allegations against defendants Ofc. Green and Ofc. Dickerson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doc. 13 at 15-16). Additionally,</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although the plaintiff alleges that the defendants attempted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contraband, including tobacco products, into Broad River, his amended complaint indicates that those attempts were intercepted, that the defendants were terminated from employment with SCDC, and that at least some of them were charged with crimes (doc. 13 at 5, 6, 14-16, 21-23). </w:t>
      </w:r>
      <w:bookmarkStart w:id="29" w:name="Bookmark_I69YYW1K2N1PMS0010000400"/>
      <w:bookmarkEnd w:id="29"/>
      <w:r>
        <w:rPr>
          <w:rFonts w:ascii="arial" w:eastAsia="arial" w:hAnsi="arial" w:cs="arial"/>
          <w:b w:val="0"/>
          <w:i w:val="0"/>
          <w:strike w:val="0"/>
          <w:noProof w:val="0"/>
          <w:color w:val="000000"/>
          <w:position w:val="0"/>
          <w:sz w:val="20"/>
          <w:u w:val="none"/>
          <w:vertAlign w:val="baseline"/>
        </w:rPr>
        <w:t xml:space="preserve">Indeed, the plaintiff alleges that the defendants were terminated from employment in 2021 following their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attempts. As such, the defendants could not have known about the complaints regarding exposure to ETS made by the plaintiff in 2023. </w:t>
      </w:r>
      <w:r>
        <w:rPr>
          <w:rFonts w:ascii="arial" w:eastAsia="arial" w:hAnsi="arial" w:cs="arial"/>
          <w:b w:val="0"/>
          <w:i/>
          <w:strike w:val="0"/>
          <w:noProof w:val="0"/>
          <w:color w:val="000000"/>
          <w:position w:val="0"/>
          <w:sz w:val="20"/>
          <w:u w:val="none"/>
          <w:vertAlign w:val="baseline"/>
        </w:rPr>
        <w:t xml:space="preserve">See </w:t>
      </w:r>
      <w:bookmarkStart w:id="30" w:name="Bookmark_I69YYW1J2SF87S0050000400"/>
      <w:bookmarkEnd w:id="30"/>
      <w:hyperlink r:id="rId35" w:history="1">
        <w:r>
          <w:rPr>
            <w:rFonts w:ascii="arial" w:eastAsia="arial" w:hAnsi="arial" w:cs="arial"/>
            <w:b w:val="0"/>
            <w:i/>
            <w:strike w:val="0"/>
            <w:noProof w:val="0"/>
            <w:color w:val="0077CC"/>
            <w:position w:val="0"/>
            <w:sz w:val="20"/>
            <w:u w:val="single"/>
            <w:vertAlign w:val="baseline"/>
          </w:rPr>
          <w:t>Bailey v. Rife</w:t>
        </w:r>
      </w:hyperlink>
      <w:hyperlink r:id="rId35" w:history="1">
        <w:r>
          <w:rPr>
            <w:rFonts w:ascii="arial" w:eastAsia="arial" w:hAnsi="arial" w:cs="arial"/>
            <w:b w:val="0"/>
            <w:i/>
            <w:strike w:val="0"/>
            <w:noProof w:val="0"/>
            <w:color w:val="0077CC"/>
            <w:position w:val="0"/>
            <w:sz w:val="20"/>
            <w:u w:val="single"/>
            <w:vertAlign w:val="baseline"/>
          </w:rPr>
          <w:t>, C/A No. 1:21-cv-00424, 2021 U.S. Dist. LEXIS 250366, 2021 WL 6496561, at *8 (S.D. W. Va. Nov. 19, 2021)</w:t>
        </w:r>
      </w:hyperlink>
      <w:r>
        <w:rPr>
          <w:rFonts w:ascii="arial" w:eastAsia="arial" w:hAnsi="arial" w:cs="arial"/>
          <w:b w:val="0"/>
          <w:i w:val="0"/>
          <w:strike w:val="0"/>
          <w:noProof w:val="0"/>
          <w:color w:val="000000"/>
          <w:position w:val="0"/>
          <w:sz w:val="20"/>
          <w:u w:val="none"/>
          <w:vertAlign w:val="baseline"/>
        </w:rPr>
        <w:t xml:space="preserve"> (dismissing </w:t>
      </w:r>
      <w:hyperlink r:id="rId13" w:history="1">
        <w:r>
          <w:rPr>
            <w:rFonts w:ascii="arial" w:eastAsia="arial" w:hAnsi="arial" w:cs="arial"/>
            <w:b w:val="0"/>
            <w:i/>
            <w:strike w:val="0"/>
            <w:noProof w:val="0"/>
            <w:color w:val="0077CC"/>
            <w:position w:val="0"/>
            <w:sz w:val="20"/>
            <w:u w:val="single"/>
            <w:vertAlign w:val="baseline"/>
          </w:rPr>
          <w:t>Eighth Amendment</w:t>
        </w:r>
      </w:hyperlink>
      <w:r>
        <w:rPr>
          <w:rFonts w:ascii="arial" w:eastAsia="arial" w:hAnsi="arial" w:cs="arial"/>
          <w:b w:val="0"/>
          <w:i w:val="0"/>
          <w:strike w:val="0"/>
          <w:noProof w:val="0"/>
          <w:color w:val="000000"/>
          <w:position w:val="0"/>
          <w:sz w:val="20"/>
          <w:u w:val="none"/>
          <w:vertAlign w:val="baseline"/>
        </w:rPr>
        <w:t xml:space="preserve"> claim based on exposure to secondhand smoke because "there are absolutely no factual allegations indicating that Defendants knew Plaintiff was being exposed to secondhand smoke within the housing units that posed an unreasonable risk of serious damage and Defendants disregarded such"), </w:t>
      </w:r>
      <w:r>
        <w:rPr>
          <w:rFonts w:ascii="arial" w:eastAsia="arial" w:hAnsi="arial" w:cs="arial"/>
          <w:b w:val="0"/>
          <w:i/>
          <w:strike w:val="0"/>
          <w:noProof w:val="0"/>
          <w:color w:val="000000"/>
          <w:position w:val="0"/>
          <w:sz w:val="20"/>
          <w:u w:val="none"/>
          <w:vertAlign w:val="baseline"/>
        </w:rPr>
        <w:t>R&amp;R adopted by</w:t>
      </w:r>
      <w:r>
        <w:rPr>
          <w:rFonts w:ascii="arial" w:eastAsia="arial" w:hAnsi="arial" w:cs="arial"/>
          <w:b w:val="0"/>
          <w:i w:val="0"/>
          <w:strike w:val="0"/>
          <w:noProof w:val="0"/>
          <w:color w:val="000000"/>
          <w:position w:val="0"/>
          <w:sz w:val="20"/>
          <w:u w:val="none"/>
          <w:vertAlign w:val="baseline"/>
        </w:rPr>
        <w:t xml:space="preserve"> </w:t>
      </w:r>
      <w:bookmarkStart w:id="31" w:name="Bookmark_I69C9RBH2N1R820030000400"/>
      <w:bookmarkEnd w:id="31"/>
      <w:hyperlink r:id="rId36" w:history="1">
        <w:r>
          <w:rPr>
            <w:rFonts w:ascii="arial" w:eastAsia="arial" w:hAnsi="arial" w:cs="arial"/>
            <w:b w:val="0"/>
            <w:i/>
            <w:strike w:val="0"/>
            <w:noProof w:val="0"/>
            <w:color w:val="0077CC"/>
            <w:position w:val="0"/>
            <w:sz w:val="20"/>
            <w:u w:val="single"/>
            <w:vertAlign w:val="baseline"/>
          </w:rPr>
          <w:t>2022 U.S. Dist. LEXIS 6863, 2022 WL 130746 (S.D. W. Va. Jan. 13, 2022)</w:t>
        </w:r>
      </w:hyperlink>
      <w:r>
        <w:rPr>
          <w:rFonts w:ascii="arial" w:eastAsia="arial" w:hAnsi="arial" w:cs="arial"/>
          <w:b w:val="0"/>
          <w:i w:val="0"/>
          <w:strike w:val="0"/>
          <w:noProof w:val="0"/>
          <w:color w:val="000000"/>
          <w:position w:val="0"/>
          <w:sz w:val="20"/>
          <w:u w:val="none"/>
          <w:vertAlign w:val="baseline"/>
        </w:rPr>
        <w:t xml:space="preserve">. Similarly, the plaintiff alleges that the defendants were prevented from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the tobacco products into Broad River, meaning that the plaintiff has not alleged that they were responsible for the ETS to which he was exposed. </w:t>
      </w:r>
      <w:r>
        <w:rPr>
          <w:rFonts w:ascii="arial" w:eastAsia="arial" w:hAnsi="arial" w:cs="arial"/>
          <w:b w:val="0"/>
          <w:i/>
          <w:strike w:val="0"/>
          <w:noProof w:val="0"/>
          <w:color w:val="000000"/>
          <w:position w:val="0"/>
          <w:sz w:val="20"/>
          <w:u w:val="none"/>
          <w:vertAlign w:val="baseline"/>
        </w:rPr>
        <w:t xml:space="preserve">See </w:t>
      </w:r>
      <w:hyperlink r:id="rId32" w:history="1">
        <w:r>
          <w:rPr>
            <w:rFonts w:ascii="arial" w:eastAsia="arial" w:hAnsi="arial" w:cs="arial"/>
            <w:b w:val="0"/>
            <w:i/>
            <w:strike w:val="0"/>
            <w:noProof w:val="0"/>
            <w:color w:val="0077CC"/>
            <w:position w:val="0"/>
            <w:sz w:val="20"/>
            <w:u w:val="single"/>
            <w:vertAlign w:val="baseline"/>
          </w:rPr>
          <w:t>Iqbal</w:t>
        </w:r>
      </w:hyperlink>
      <w:hyperlink r:id="rId32" w:history="1">
        <w:r>
          <w:rPr>
            <w:rFonts w:ascii="arial" w:eastAsia="arial" w:hAnsi="arial" w:cs="arial"/>
            <w:b w:val="0"/>
            <w:i/>
            <w:strike w:val="0"/>
            <w:noProof w:val="0"/>
            <w:color w:val="0077CC"/>
            <w:position w:val="0"/>
            <w:sz w:val="20"/>
            <w:u w:val="single"/>
            <w:vertAlign w:val="baseline"/>
          </w:rPr>
          <w:t>, 556 U.S. at 676</w:t>
        </w:r>
      </w:hyperlink>
      <w:r>
        <w:rPr>
          <w:rFonts w:ascii="arial" w:eastAsia="arial" w:hAnsi="arial" w:cs="arial"/>
          <w:b w:val="0"/>
          <w:i w:val="0"/>
          <w:strike w:val="0"/>
          <w:noProof w:val="0"/>
          <w:color w:val="000000"/>
          <w:position w:val="0"/>
          <w:sz w:val="20"/>
          <w:u w:val="none"/>
          <w:vertAlign w:val="baseline"/>
        </w:rPr>
        <w:t xml:space="preserve"> (noting that liability under </w:t>
      </w:r>
      <w:hyperlink r:id="rId11" w:history="1">
        <w:r>
          <w:rPr>
            <w:rFonts w:ascii="arial" w:eastAsia="arial" w:hAnsi="arial" w:cs="arial"/>
            <w:b w:val="0"/>
            <w:i/>
            <w:strike w:val="0"/>
            <w:noProof w:val="0"/>
            <w:color w:val="0077CC"/>
            <w:position w:val="0"/>
            <w:sz w:val="20"/>
            <w:u w:val="single"/>
            <w:vertAlign w:val="baseline"/>
          </w:rPr>
          <w:t>§ 1983</w:t>
        </w:r>
      </w:hyperlink>
      <w:r>
        <w:rPr>
          <w:rFonts w:ascii="arial" w:eastAsia="arial" w:hAnsi="arial" w:cs="arial"/>
          <w:b w:val="0"/>
          <w:i w:val="0"/>
          <w:strike w:val="0"/>
          <w:noProof w:val="0"/>
          <w:color w:val="000000"/>
          <w:position w:val="0"/>
          <w:sz w:val="20"/>
          <w:u w:val="none"/>
          <w:vertAlign w:val="baseline"/>
        </w:rPr>
        <w:t xml:space="preserve"> "requires personal</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involvement"). Further, the plaintiff alleges that once he complained about the secondhand smoke, he was transferred to a different dorm in Broad River (doc. 13 at 20), meaning that there was no deliberate indifference with respect to his exposure to secondhand smoke. As such, in light of the foregoing, the plaintiff's deliberate indifference claim is subject to summary dismissal.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South Carolina Tort Claims Act Claims</w:t>
      </w:r>
    </w:p>
    <w:p>
      <w:pPr>
        <w:keepNext w:val="0"/>
        <w:spacing w:before="240" w:after="0" w:line="260" w:lineRule="atLeast"/>
        <w:ind w:left="0" w:right="0" w:firstLine="0"/>
        <w:jc w:val="both"/>
      </w:pPr>
      <w:bookmarkStart w:id="32" w:name="Bookmark_para_14"/>
      <w:bookmarkEnd w:id="32"/>
      <w:r>
        <w:rPr>
          <w:rFonts w:ascii="arial" w:eastAsia="arial" w:hAnsi="arial" w:cs="arial"/>
          <w:b w:val="0"/>
          <w:i w:val="0"/>
          <w:strike w:val="0"/>
          <w:noProof w:val="0"/>
          <w:color w:val="000000"/>
          <w:position w:val="0"/>
          <w:sz w:val="20"/>
          <w:u w:val="none"/>
          <w:vertAlign w:val="baseline"/>
        </w:rPr>
        <w:t xml:space="preserve">To the extent the plaintiff also seeks damages from SCDC for gross negligence pursuant to the SCTCA (doc. 13 at 5, 14, 23-24), the court should abstain from exercising jurisdiction over such claims. As noted above, the SCTCA claims can only be considered by this court through the exercise of "supplemental jurisdiction," which allows federal courts to hear and decide state law claims along with federal claims. </w:t>
      </w:r>
      <w:hyperlink r:id="rId37" w:history="1">
        <w:r>
          <w:rPr>
            <w:rFonts w:ascii="arial" w:eastAsia="arial" w:hAnsi="arial" w:cs="arial"/>
            <w:b w:val="0"/>
            <w:i/>
            <w:strike w:val="0"/>
            <w:noProof w:val="0"/>
            <w:color w:val="0077CC"/>
            <w:position w:val="0"/>
            <w:sz w:val="20"/>
            <w:u w:val="single"/>
            <w:vertAlign w:val="baseline"/>
          </w:rPr>
          <w:t>Wis. Dep't of Corrs. v. Schacht</w:t>
        </w:r>
      </w:hyperlink>
      <w:hyperlink r:id="rId37" w:history="1">
        <w:r>
          <w:rPr>
            <w:rFonts w:ascii="arial" w:eastAsia="arial" w:hAnsi="arial" w:cs="arial"/>
            <w:b w:val="0"/>
            <w:i/>
            <w:strike w:val="0"/>
            <w:noProof w:val="0"/>
            <w:color w:val="0077CC"/>
            <w:position w:val="0"/>
            <w:sz w:val="20"/>
            <w:u w:val="single"/>
            <w:vertAlign w:val="baseline"/>
          </w:rPr>
          <w:t>, 524 U.S. 381, 387, 118 S. Ct. 2047, 141 L. Ed. 2d 364 (1998)</w:t>
        </w:r>
      </w:hyperlink>
      <w:r>
        <w:rPr>
          <w:rFonts w:ascii="arial" w:eastAsia="arial" w:hAnsi="arial" w:cs="arial"/>
          <w:b w:val="0"/>
          <w:i w:val="0"/>
          <w:strike w:val="0"/>
          <w:noProof w:val="0"/>
          <w:color w:val="000000"/>
          <w:position w:val="0"/>
          <w:sz w:val="20"/>
          <w:u w:val="none"/>
          <w:vertAlign w:val="baseline"/>
        </w:rPr>
        <w:t xml:space="preserve">; </w:t>
      </w:r>
      <w:hyperlink r:id="rId38" w:history="1">
        <w:r>
          <w:rPr>
            <w:rFonts w:ascii="arial" w:eastAsia="arial" w:hAnsi="arial" w:cs="arial"/>
            <w:b w:val="0"/>
            <w:i/>
            <w:strike w:val="0"/>
            <w:noProof w:val="0"/>
            <w:color w:val="0077CC"/>
            <w:position w:val="0"/>
            <w:sz w:val="20"/>
            <w:u w:val="single"/>
            <w:vertAlign w:val="baseline"/>
          </w:rPr>
          <w:t>28 U.S.C. § 1367</w:t>
        </w:r>
      </w:hyperlink>
      <w:r>
        <w:rPr>
          <w:rFonts w:ascii="arial" w:eastAsia="arial" w:hAnsi="arial" w:cs="arial"/>
          <w:b w:val="0"/>
          <w:i w:val="0"/>
          <w:strike w:val="0"/>
          <w:noProof w:val="0"/>
          <w:color w:val="000000"/>
          <w:position w:val="0"/>
          <w:sz w:val="20"/>
          <w:u w:val="none"/>
          <w:vertAlign w:val="baseline"/>
        </w:rPr>
        <w:t xml:space="preserve">. However, federal courts are permitted to decline supplemental jurisdiction pursuant to </w:t>
      </w:r>
      <w:hyperlink r:id="rId38"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if "the district court has dismissed all claims over which it has original jurisdiction." Here, as noted above, the plaintiff's federal claims are subject to dismissal. Thus, this court should decline to exercise supplemental jurisdiction over the plaintiff's state law claims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under </w:t>
      </w:r>
      <w:hyperlink r:id="rId38" w:history="1">
        <w:r>
          <w:rPr>
            <w:rFonts w:ascii="arial" w:eastAsia="arial" w:hAnsi="arial" w:cs="arial"/>
            <w:b w:val="0"/>
            <w:i/>
            <w:strike w:val="0"/>
            <w:noProof w:val="0"/>
            <w:color w:val="0077CC"/>
            <w:position w:val="0"/>
            <w:sz w:val="20"/>
            <w:u w:val="single"/>
            <w:vertAlign w:val="baseline"/>
          </w:rPr>
          <w:t>28 U.S.C. § 1367(c)(3)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39" w:history="1">
        <w:r>
          <w:rPr>
            <w:rFonts w:ascii="arial" w:eastAsia="arial" w:hAnsi="arial" w:cs="arial"/>
            <w:b w:val="0"/>
            <w:i/>
            <w:strike w:val="0"/>
            <w:noProof w:val="0"/>
            <w:color w:val="0077CC"/>
            <w:position w:val="0"/>
            <w:sz w:val="20"/>
            <w:u w:val="single"/>
            <w:vertAlign w:val="baseline"/>
          </w:rPr>
          <w:t>Lovern v. Edwards</w:t>
        </w:r>
      </w:hyperlink>
      <w:hyperlink r:id="rId39" w:history="1">
        <w:r>
          <w:rPr>
            <w:rFonts w:ascii="arial" w:eastAsia="arial" w:hAnsi="arial" w:cs="arial"/>
            <w:b w:val="0"/>
            <w:i/>
            <w:strike w:val="0"/>
            <w:noProof w:val="0"/>
            <w:color w:val="0077CC"/>
            <w:position w:val="0"/>
            <w:sz w:val="20"/>
            <w:u w:val="single"/>
            <w:vertAlign w:val="baseline"/>
          </w:rPr>
          <w:t>, 190 F.3d 648, 655 (4th Cir. 1999)</w:t>
        </w:r>
      </w:hyperlink>
      <w:r>
        <w:rPr>
          <w:rFonts w:ascii="arial" w:eastAsia="arial" w:hAnsi="arial" w:cs="arial"/>
          <w:b w:val="0"/>
          <w:i w:val="0"/>
          <w:strike w:val="0"/>
          <w:noProof w:val="0"/>
          <w:color w:val="000000"/>
          <w:position w:val="0"/>
          <w:sz w:val="20"/>
          <w:u w:val="none"/>
          <w:vertAlign w:val="baseline"/>
        </w:rPr>
        <w:t xml:space="preserve"> ("[T]he Constitution does not contemplate the federal judiciary deciding issues of state law among non-diverse litigants.").</w:t>
      </w:r>
    </w:p>
    <w:p>
      <w:pPr>
        <w:keepNext w:val="0"/>
        <w:spacing w:before="240" w:after="0" w:line="260" w:lineRule="atLeast"/>
        <w:ind w:left="0" w:right="0" w:firstLine="0"/>
        <w:jc w:val="both"/>
      </w:pPr>
      <w:bookmarkStart w:id="33" w:name="Bookmark_para_15"/>
      <w:bookmarkEnd w:id="33"/>
      <w:r>
        <w:rPr>
          <w:rFonts w:ascii="arial" w:eastAsia="arial" w:hAnsi="arial" w:cs="arial"/>
          <w:b w:val="0"/>
          <w:i w:val="0"/>
          <w:strike w:val="0"/>
          <w:noProof w:val="0"/>
          <w:color w:val="000000"/>
          <w:position w:val="0"/>
          <w:sz w:val="20"/>
          <w:u w:val="none"/>
          <w:vertAlign w:val="baseline"/>
        </w:rPr>
        <w:t xml:space="preserve">In addition to the foregoing, the plaintiff's SCTCA claims are also subject to dismissal because under the SCTCA, the state and its agencies only consent to suit in South Carolina state courts — not to actions originally brought in a federal court or in a court of another state. </w:t>
      </w:r>
      <w:bookmarkStart w:id="34" w:name="Bookmark_I69YYW1K2N1PMS0030000400"/>
      <w:bookmarkEnd w:id="34"/>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0" w:history="1">
        <w:r>
          <w:rPr>
            <w:rFonts w:ascii="arial" w:eastAsia="arial" w:hAnsi="arial" w:cs="arial"/>
            <w:b w:val="0"/>
            <w:i/>
            <w:strike w:val="0"/>
            <w:noProof w:val="0"/>
            <w:color w:val="0077CC"/>
            <w:position w:val="0"/>
            <w:sz w:val="20"/>
            <w:u w:val="single"/>
            <w:vertAlign w:val="baseline"/>
          </w:rPr>
          <w:t>S.C. Code § 15-78-20(e)</w:t>
        </w:r>
      </w:hyperlink>
      <w:r>
        <w:rPr>
          <w:rFonts w:ascii="arial" w:eastAsia="arial" w:hAnsi="arial" w:cs="arial"/>
          <w:b w:val="0"/>
          <w:i w:val="0"/>
          <w:strike w:val="0"/>
          <w:noProof w:val="0"/>
          <w:color w:val="000000"/>
          <w:position w:val="0"/>
          <w:sz w:val="20"/>
          <w:u w:val="none"/>
          <w:vertAlign w:val="baseline"/>
        </w:rPr>
        <w:t xml:space="preserve">. As such, the plaintiff's SCTCA claims cannot be brought originally in this court and must be dismissed. </w:t>
      </w:r>
      <w:r>
        <w:rPr>
          <w:rFonts w:ascii="arial" w:eastAsia="arial" w:hAnsi="arial" w:cs="arial"/>
          <w:b w:val="0"/>
          <w:i/>
          <w:strike w:val="0"/>
          <w:noProof w:val="0"/>
          <w:color w:val="000000"/>
          <w:position w:val="0"/>
          <w:sz w:val="20"/>
          <w:u w:val="none"/>
          <w:vertAlign w:val="baseline"/>
        </w:rPr>
        <w:t xml:space="preserve">See, e.g., </w:t>
      </w:r>
      <w:bookmarkStart w:id="35" w:name="Bookmark_I69YYW1K2N1PMS0020000400"/>
      <w:bookmarkEnd w:id="35"/>
      <w:hyperlink r:id="rId41" w:history="1">
        <w:r>
          <w:rPr>
            <w:rFonts w:ascii="arial" w:eastAsia="arial" w:hAnsi="arial" w:cs="arial"/>
            <w:b w:val="0"/>
            <w:i/>
            <w:strike w:val="0"/>
            <w:noProof w:val="0"/>
            <w:color w:val="0077CC"/>
            <w:position w:val="0"/>
            <w:sz w:val="20"/>
            <w:u w:val="single"/>
            <w:vertAlign w:val="baseline"/>
          </w:rPr>
          <w:t>Gaskins v. South Carolina</w:t>
        </w:r>
      </w:hyperlink>
      <w:hyperlink r:id="rId41" w:history="1">
        <w:r>
          <w:rPr>
            <w:rFonts w:ascii="arial" w:eastAsia="arial" w:hAnsi="arial" w:cs="arial"/>
            <w:b w:val="0"/>
            <w:i/>
            <w:strike w:val="0"/>
            <w:noProof w:val="0"/>
            <w:color w:val="0077CC"/>
            <w:position w:val="0"/>
            <w:sz w:val="20"/>
            <w:u w:val="single"/>
            <w:vertAlign w:val="baseline"/>
          </w:rPr>
          <w:t>, C/A No. 8:15-4456-JMC-JDA, 2016 U.S. Dist. LEXIS 76655, 2016 WL 8677201, at *3 (D.S.C. Jan. 8, 2016)</w:t>
        </w:r>
      </w:hyperlink>
      <w:r>
        <w:rPr>
          <w:rFonts w:ascii="arial" w:eastAsia="arial" w:hAnsi="arial" w:cs="arial"/>
          <w:b w:val="0"/>
          <w:i w:val="0"/>
          <w:strike w:val="0"/>
          <w:noProof w:val="0"/>
          <w:color w:val="000000"/>
          <w:position w:val="0"/>
          <w:sz w:val="20"/>
          <w:u w:val="none"/>
          <w:vertAlign w:val="baseline"/>
        </w:rPr>
        <w:t xml:space="preserve"> (observing that a claim sought to be filed initially in federal court under the SCTCA "is not permitted in this federal court because of the </w:t>
      </w:r>
      <w:hyperlink r:id="rId42" w:history="1">
        <w:r>
          <w:rPr>
            <w:rFonts w:ascii="arial" w:eastAsia="arial" w:hAnsi="arial" w:cs="arial"/>
            <w:b w:val="0"/>
            <w:i/>
            <w:strike w:val="0"/>
            <w:noProof w:val="0"/>
            <w:color w:val="0077CC"/>
            <w:position w:val="0"/>
            <w:sz w:val="20"/>
            <w:u w:val="single"/>
            <w:vertAlign w:val="baseline"/>
          </w:rPr>
          <w:t>Eleventh Amendment</w:t>
        </w:r>
      </w:hyperlink>
      <w:r>
        <w:rPr>
          <w:rFonts w:ascii="arial" w:eastAsia="arial" w:hAnsi="arial" w:cs="arial"/>
          <w:b w:val="0"/>
          <w:i w:val="0"/>
          <w:strike w:val="0"/>
          <w:noProof w:val="0"/>
          <w:color w:val="000000"/>
          <w:position w:val="0"/>
          <w:sz w:val="20"/>
          <w:u w:val="none"/>
          <w:vertAlign w:val="baseline"/>
        </w:rPr>
        <w:t xml:space="preserve">," which grants the state of South Carolina and its agencies immunity from suit in federal court), </w:t>
      </w:r>
      <w:r>
        <w:rPr>
          <w:rFonts w:ascii="arial" w:eastAsia="arial" w:hAnsi="arial" w:cs="arial"/>
          <w:b w:val="0"/>
          <w:i/>
          <w:strike w:val="0"/>
          <w:noProof w:val="0"/>
          <w:color w:val="000000"/>
          <w:position w:val="0"/>
          <w:sz w:val="20"/>
          <w:u w:val="none"/>
          <w:vertAlign w:val="baseline"/>
        </w:rPr>
        <w:t>R&amp;R adopted by</w:t>
      </w:r>
      <w:r>
        <w:rPr>
          <w:rFonts w:ascii="arial" w:eastAsia="arial" w:hAnsi="arial" w:cs="arial"/>
          <w:b w:val="0"/>
          <w:i w:val="0"/>
          <w:strike w:val="0"/>
          <w:noProof w:val="0"/>
          <w:color w:val="000000"/>
          <w:position w:val="0"/>
          <w:sz w:val="20"/>
          <w:u w:val="none"/>
          <w:vertAlign w:val="baseline"/>
        </w:rPr>
        <w:t xml:space="preserve"> </w:t>
      </w:r>
      <w:bookmarkStart w:id="36" w:name="Bookmark_I69C9RBJ2N1R870030000400"/>
      <w:bookmarkEnd w:id="36"/>
      <w:hyperlink r:id="rId43" w:history="1">
        <w:r>
          <w:rPr>
            <w:rFonts w:ascii="arial" w:eastAsia="arial" w:hAnsi="arial" w:cs="arial"/>
            <w:b w:val="0"/>
            <w:i/>
            <w:strike w:val="0"/>
            <w:noProof w:val="0"/>
            <w:color w:val="0077CC"/>
            <w:position w:val="0"/>
            <w:sz w:val="20"/>
            <w:u w:val="single"/>
            <w:vertAlign w:val="baseline"/>
          </w:rPr>
          <w:t>2016 U.S. Dist. LEXIS 75787, 2016 WL 3207855 (D.S.C. June 10, 2016)</w:t>
        </w:r>
      </w:hyperlink>
      <w:r>
        <w:rPr>
          <w:rFonts w:ascii="arial" w:eastAsia="arial" w:hAnsi="arial" w:cs="arial"/>
          <w:b w:val="0"/>
          <w:i w:val="0"/>
          <w:strike w:val="0"/>
          <w:noProof w:val="0"/>
          <w:color w:val="000000"/>
          <w:position w:val="0"/>
          <w:sz w:val="20"/>
          <w:u w:val="none"/>
          <w:vertAlign w:val="baseline"/>
        </w:rPr>
        <w:t>. As such, the plaintiff's claims under the SCTCA are subject to dismissal.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w:t>
      </w:r>
    </w:p>
    <w:p>
      <w:pPr>
        <w:keepNext w:val="0"/>
        <w:spacing w:before="200" w:after="0" w:line="260" w:lineRule="atLeast"/>
        <w:ind w:left="0" w:right="0" w:firstLine="0"/>
        <w:jc w:val="both"/>
      </w:pPr>
      <w:bookmarkStart w:id="37" w:name="Bookmark_para_16"/>
      <w:bookmarkEnd w:id="37"/>
      <w:r>
        <w:rPr>
          <w:rFonts w:ascii="arial" w:eastAsia="arial" w:hAnsi="arial" w:cs="arial"/>
          <w:b w:val="0"/>
          <w:i w:val="0"/>
          <w:strike w:val="0"/>
          <w:noProof w:val="0"/>
          <w:color w:val="000000"/>
          <w:position w:val="0"/>
          <w:sz w:val="20"/>
          <w:u w:val="none"/>
          <w:vertAlign w:val="baseline"/>
        </w:rPr>
        <w:t>The undersigned is of the opinion that the plaintiff cannot cure the defects identified above by amending his amended complaint. Therefore, the undersigned recommends that the district court dismiss this action without leave to amend, and without issuance and service of process.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hyperlink r:id="rId44" w:history="1">
        <w:r>
          <w:rPr>
            <w:rFonts w:ascii="arial" w:eastAsia="arial" w:hAnsi="arial" w:cs="arial"/>
            <w:b w:val="0"/>
            <w:i/>
            <w:strike w:val="0"/>
            <w:noProof w:val="0"/>
            <w:color w:val="0077CC"/>
            <w:position w:val="0"/>
            <w:sz w:val="20"/>
            <w:u w:val="single"/>
            <w:vertAlign w:val="baseline"/>
          </w:rPr>
          <w:t>Britt v. DeJoy</w:t>
        </w:r>
      </w:hyperlink>
      <w:hyperlink r:id="rId44" w:history="1">
        <w:r>
          <w:rPr>
            <w:rFonts w:ascii="arial" w:eastAsia="arial" w:hAnsi="arial" w:cs="arial"/>
            <w:b w:val="0"/>
            <w:i/>
            <w:strike w:val="0"/>
            <w:noProof w:val="0"/>
            <w:color w:val="0077CC"/>
            <w:position w:val="0"/>
            <w:sz w:val="20"/>
            <w:u w:val="single"/>
            <w:vertAlign w:val="baseline"/>
          </w:rPr>
          <w:t>, 49 F.4th 790 (4th Cir. 2022)</w:t>
        </w:r>
      </w:hyperlink>
      <w:r>
        <w:rPr>
          <w:rFonts w:ascii="arial" w:eastAsia="arial" w:hAnsi="arial" w:cs="arial"/>
          <w:b w:val="0"/>
          <w:i w:val="0"/>
          <w:strike w:val="0"/>
          <w:noProof w:val="0"/>
          <w:color w:val="000000"/>
          <w:position w:val="0"/>
          <w:sz w:val="20"/>
          <w:u w:val="none"/>
          <w:vertAlign w:val="baseline"/>
        </w:rPr>
        <w:t xml:space="preserve"> (published) (noting that "when 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district court dismisses a complaint or all claims without providing leave to amend . . . the order dismissing the complaint is final and appealable"). </w:t>
      </w:r>
      <w:r>
        <w:rPr>
          <w:rFonts w:ascii="arial" w:eastAsia="arial" w:hAnsi="arial" w:cs="arial"/>
          <w:b/>
          <w:i w:val="0"/>
          <w:strike w:val="0"/>
          <w:noProof w:val="0"/>
          <w:color w:val="000000"/>
          <w:position w:val="0"/>
          <w:sz w:val="20"/>
          <w:u w:val="none"/>
          <w:vertAlign w:val="baseline"/>
        </w:rPr>
        <w:t>The attention of the parties is directed to the important notice on the next page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 w:name="Bookmark_para_17"/>
      <w:bookmarkEnd w:id="39"/>
      <w:r>
        <w:rPr>
          <w:rFonts w:ascii="arial" w:eastAsia="arial" w:hAnsi="arial" w:cs="arial"/>
          <w:b/>
          <w:i w:val="0"/>
          <w:strike w:val="0"/>
          <w:noProof w:val="0"/>
          <w:color w:val="000000"/>
          <w:position w:val="0"/>
          <w:sz w:val="20"/>
          <w:u w:val="none"/>
          <w:vertAlign w:val="baseline"/>
        </w:rPr>
        <w:t>IT IS SO RECOMMENDED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/s/ Kevin F. McDonald</w:t>
      </w:r>
    </w:p>
    <w:p>
      <w:pPr>
        <w:keepNext w:val="0"/>
        <w:spacing w:before="200" w:after="0" w:line="260" w:lineRule="atLeast"/>
        <w:ind w:left="0" w:right="0" w:firstLine="0"/>
        <w:jc w:val="both"/>
      </w:pPr>
      <w:bookmarkStart w:id="41" w:name="Bookmark_para_19"/>
      <w:bookmarkEnd w:id="41"/>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00" w:after="0" w:line="260" w:lineRule="atLeast"/>
        <w:ind w:left="0" w:right="0" w:firstLine="0"/>
        <w:jc w:val="both"/>
      </w:pPr>
      <w:bookmarkStart w:id="42" w:name="Bookmark_para_20"/>
      <w:bookmarkEnd w:id="42"/>
      <w:r>
        <w:rPr>
          <w:rFonts w:ascii="arial" w:eastAsia="arial" w:hAnsi="arial" w:cs="arial"/>
          <w:b w:val="0"/>
          <w:i w:val="0"/>
          <w:strike w:val="0"/>
          <w:noProof w:val="0"/>
          <w:color w:val="000000"/>
          <w:position w:val="0"/>
          <w:sz w:val="20"/>
          <w:u w:val="none"/>
          <w:vertAlign w:val="baseline"/>
        </w:rPr>
        <w:t>August 17, 2023</w:t>
      </w:r>
    </w:p>
    <w:p>
      <w:pPr>
        <w:keepNext w:val="0"/>
        <w:spacing w:before="200" w:after="0" w:line="260" w:lineRule="atLeast"/>
        <w:ind w:left="0" w:right="0" w:firstLine="0"/>
        <w:jc w:val="both"/>
      </w:pPr>
      <w:bookmarkStart w:id="43" w:name="Bookmark_para_21"/>
      <w:bookmarkEnd w:id="43"/>
      <w:r>
        <w:rPr>
          <w:rFonts w:ascii="arial" w:eastAsia="arial" w:hAnsi="arial" w:cs="arial"/>
          <w:b w:val="0"/>
          <w:i w:val="0"/>
          <w:strike w:val="0"/>
          <w:noProof w:val="0"/>
          <w:color w:val="000000"/>
          <w:position w:val="0"/>
          <w:sz w:val="20"/>
          <w:u w:val="none"/>
          <w:vertAlign w:val="baseline"/>
        </w:rPr>
        <w:t>Greenville, South Carolina</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 w:name="Bookmark_fnpara_1"/>
      <w:bookmarkEnd w:id="2"/>
      <w:r>
        <w:rPr>
          <w:rFonts w:ascii="arial" w:eastAsia="arial" w:hAnsi="arial" w:cs="arial"/>
          <w:b w:val="0"/>
          <w:i w:val="0"/>
          <w:strike w:val="0"/>
          <w:noProof w:val="0"/>
          <w:color w:val="000000"/>
          <w:position w:val="0"/>
          <w:sz w:val="18"/>
          <w:u w:val="none"/>
          <w:vertAlign w:val="baseline"/>
        </w:rPr>
        <w:t>This caption has been updated to reflect the current parties to this action, as set forth in the plaintiff's amended complaint (doc. 13).</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8" w:name="Bookmark_fnpara_2"/>
      <w:bookmarkEnd w:id="38"/>
      <w:r>
        <w:rPr>
          <w:rFonts w:ascii="arial" w:eastAsia="arial" w:hAnsi="arial" w:cs="arial"/>
          <w:b w:val="0"/>
          <w:i w:val="0"/>
          <w:strike w:val="0"/>
          <w:noProof w:val="0"/>
          <w:color w:val="000000"/>
          <w:position w:val="0"/>
          <w:sz w:val="18"/>
          <w:u w:val="none"/>
          <w:vertAlign w:val="baseline"/>
        </w:rPr>
        <w:t xml:space="preserve">The plaintiff is warned that if the United States District Judge assigned to this matter adopts this report and recommendation, the dismissal of this action for failure to state a claim could later be deemed a strike under the three-strikes rule. </w:t>
      </w:r>
      <w:r>
        <w:rPr>
          <w:rFonts w:ascii="arial" w:eastAsia="arial" w:hAnsi="arial" w:cs="arial"/>
          <w:b w:val="0"/>
          <w:i/>
          <w:strike w:val="0"/>
          <w:noProof w:val="0"/>
          <w:color w:val="000000"/>
          <w:position w:val="0"/>
          <w:sz w:val="18"/>
          <w:u w:val="none"/>
          <w:vertAlign w:val="baseline"/>
        </w:rPr>
        <w:t xml:space="preserve">See </w:t>
      </w:r>
      <w:hyperlink r:id="rId1" w:history="1">
        <w:r>
          <w:rPr>
            <w:rFonts w:ascii="arial" w:eastAsia="arial" w:hAnsi="arial" w:cs="arial"/>
            <w:b w:val="0"/>
            <w:i/>
            <w:strike w:val="0"/>
            <w:noProof w:val="0"/>
            <w:color w:val="0077CC"/>
            <w:position w:val="0"/>
            <w:sz w:val="18"/>
            <w:u w:val="single"/>
            <w:vertAlign w:val="baseline"/>
          </w:rPr>
          <w:t>Pitts v. South Carolina</w:t>
        </w:r>
      </w:hyperlink>
      <w:hyperlink r:id="rId1" w:history="1">
        <w:r>
          <w:rPr>
            <w:rFonts w:ascii="arial" w:eastAsia="arial" w:hAnsi="arial" w:cs="arial"/>
            <w:b w:val="0"/>
            <w:i/>
            <w:strike w:val="0"/>
            <w:noProof w:val="0"/>
            <w:color w:val="0077CC"/>
            <w:position w:val="0"/>
            <w:sz w:val="18"/>
            <w:u w:val="single"/>
            <w:vertAlign w:val="baseline"/>
          </w:rPr>
          <w:t>, 65 F.4th 141 (4th Cir. 2023)</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Gantt v. S.C. Dep't of Corr., 2023 U.S. Dist. LEXIS 179157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9T-J9R1-JKPJ-G338-00000-00&amp;context=1519360" TargetMode="External" /><Relationship Id="rId11" Type="http://schemas.openxmlformats.org/officeDocument/2006/relationships/hyperlink" Target="https://advance.lexis.com/api/document?collection=statutes-legislation&amp;id=urn:contentItem:8SHT-0712-D6RV-H526-00000-00&amp;context=1519360" TargetMode="External" /><Relationship Id="rId12" Type="http://schemas.openxmlformats.org/officeDocument/2006/relationships/hyperlink" Target="https://advance.lexis.com/api/document?collection=statutes-legislation&amp;id=urn:contentItem:8SG9-5HW2-D6RV-H0BK-00000-00&amp;context=1519360" TargetMode="External" /><Relationship Id="rId13" Type="http://schemas.openxmlformats.org/officeDocument/2006/relationships/hyperlink" Target="https://advance.lexis.com/api/document?collection=statutes-legislation&amp;id=urn:contentItem:8T9R-T502-8T6X-7323-00000-00&amp;context=1519360" TargetMode="External" /><Relationship Id="rId14" Type="http://schemas.openxmlformats.org/officeDocument/2006/relationships/hyperlink" Target="https://advance.lexis.com/api/document?collection=statutes-legislation&amp;id=urn:contentItem:8SG9-5HW2-D6RV-H0RK-00000-00&amp;context=1519360" TargetMode="External" /><Relationship Id="rId15" Type="http://schemas.openxmlformats.org/officeDocument/2006/relationships/hyperlink" Target="https://advance.lexis.com/api/document?collection=statutes-legislation&amp;id=urn:contentItem:8SG9-5HW2-D6RV-H0RM-00000-00&amp;context=1519360" TargetMode="External" /><Relationship Id="rId16" Type="http://schemas.openxmlformats.org/officeDocument/2006/relationships/hyperlink" Target="https://advance.lexis.com/api/document?collection=cases&amp;id=urn:contentItem:4NWM-S330-004B-Y00V-00000-00&amp;context=1519360" TargetMode="External" /><Relationship Id="rId17" Type="http://schemas.openxmlformats.org/officeDocument/2006/relationships/hyperlink" Target="https://advance.lexis.com/api/document?collection=cases&amp;id=urn:contentItem:3S4X-5SG0-003B-51W3-00000-00&amp;context=1519360" TargetMode="External" /><Relationship Id="rId18" Type="http://schemas.openxmlformats.org/officeDocument/2006/relationships/hyperlink" Target="https://advance.lexis.com/api/document?collection=statutes-legislation&amp;id=urn:contentItem:8SHT-0712-D6RV-H531-00000-00&amp;context=1519360" TargetMode="External" /><Relationship Id="rId19" Type="http://schemas.openxmlformats.org/officeDocument/2006/relationships/hyperlink" Target="https://advance.lexis.com/api/document?collection=cases&amp;id=urn:contentItem:4MW8-VPD0-004C-101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V50-RH61-JCJ5-23N6-00000-00&amp;context=1519360" TargetMode="External" /><Relationship Id="rId21" Type="http://schemas.openxmlformats.org/officeDocument/2006/relationships/hyperlink" Target="https://advance.lexis.com/api/document?collection=cases&amp;id=urn:contentItem:457B-RJR0-004B-Y05M-00000-00&amp;context=1519360" TargetMode="External" /><Relationship Id="rId22" Type="http://schemas.openxmlformats.org/officeDocument/2006/relationships/hyperlink" Target="https://advance.lexis.com/api/document?collection=cases&amp;id=urn:contentItem:4K7M-VFH0-004B-Y03S-00000-00&amp;context=1519360" TargetMode="External" /><Relationship Id="rId23" Type="http://schemas.openxmlformats.org/officeDocument/2006/relationships/hyperlink" Target="https://advance.lexis.com/api/document?collection=cases&amp;id=urn:contentItem:3S41-BSG0-003B-R3MS-00000-00&amp;context=1519360" TargetMode="External" /><Relationship Id="rId24" Type="http://schemas.openxmlformats.org/officeDocument/2006/relationships/hyperlink" Target="https://advance.lexis.com/api/document?collection=cases&amp;id=urn:contentItem:3S4X-8110-003B-S11X-00000-00&amp;context=1519360" TargetMode="External" /><Relationship Id="rId25" Type="http://schemas.openxmlformats.org/officeDocument/2006/relationships/hyperlink" Target="https://advance.lexis.com/api/document?collection=cases&amp;id=urn:contentItem:559V-40F1-F04K-F2T8-00000-00&amp;context=1519360" TargetMode="External" /><Relationship Id="rId26" Type="http://schemas.openxmlformats.org/officeDocument/2006/relationships/hyperlink" Target="https://advance.lexis.com/api/document?collection=cases&amp;id=urn:contentItem:3S4X-F000-003B-4384-00000-00&amp;context=1519360" TargetMode="External" /><Relationship Id="rId27" Type="http://schemas.openxmlformats.org/officeDocument/2006/relationships/hyperlink" Target="https://advance.lexis.com/api/document?collection=cases&amp;id=urn:contentItem:3S4X-H6F0-003B-P2T4-00000-00&amp;context=1519360" TargetMode="External" /><Relationship Id="rId28" Type="http://schemas.openxmlformats.org/officeDocument/2006/relationships/hyperlink" Target="https://advance.lexis.com/api/document?collection=cases&amp;id=urn:contentItem:3S65-KS10-003B-R0N5-00000-00&amp;context=1519360" TargetMode="External" /><Relationship Id="rId29" Type="http://schemas.openxmlformats.org/officeDocument/2006/relationships/hyperlink" Target="https://advance.lexis.com/api/document?collection=cases&amp;id=urn:contentItem:3S65-K480-003B-R3BR-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WKY-2H01-FGJR-2421-00000-00&amp;context=1519360" TargetMode="External" /><Relationship Id="rId31" Type="http://schemas.openxmlformats.org/officeDocument/2006/relationships/hyperlink" Target="https://advance.lexis.com/api/document?collection=cases&amp;id=urn:contentItem:55TP-T2T1-F04F-8215-00000-00&amp;context=1519360" TargetMode="External" /><Relationship Id="rId32" Type="http://schemas.openxmlformats.org/officeDocument/2006/relationships/hyperlink" Target="https://advance.lexis.com/api/document?collection=cases&amp;id=urn:contentItem:4W9Y-4KS0-TXFX-1325-00000-00&amp;context=1519360" TargetMode="External" /><Relationship Id="rId33" Type="http://schemas.openxmlformats.org/officeDocument/2006/relationships/hyperlink" Target="https://advance.lexis.com/api/document?collection=cases&amp;id=urn:contentItem:534J-M731-652J-W0N8-00000-00&amp;context=1519360" TargetMode="External" /><Relationship Id="rId34" Type="http://schemas.openxmlformats.org/officeDocument/2006/relationships/hyperlink" Target="https://advance.lexis.com/api/document?collection=cases&amp;id=urn:contentItem:3S4N-9FB0-006F-P0XD-00000-00&amp;context=1519360" TargetMode="External" /><Relationship Id="rId35" Type="http://schemas.openxmlformats.org/officeDocument/2006/relationships/hyperlink" Target="https://advance.lexis.com/api/document?collection=cases&amp;id=urn:contentItem:64J3-C721-DY33-B2FV-00000-00&amp;context=1519360" TargetMode="External" /><Relationship Id="rId36" Type="http://schemas.openxmlformats.org/officeDocument/2006/relationships/hyperlink" Target="https://advance.lexis.com/api/document?collection=cases&amp;id=urn:contentItem:64HX-3VW1-JP9P-G475-00000-00&amp;context=1519360" TargetMode="External" /><Relationship Id="rId37" Type="http://schemas.openxmlformats.org/officeDocument/2006/relationships/hyperlink" Target="https://advance.lexis.com/api/document?collection=cases&amp;id=urn:contentItem:3TGV-N230-002K-6001-00000-00&amp;context=1519360" TargetMode="External" /><Relationship Id="rId38" Type="http://schemas.openxmlformats.org/officeDocument/2006/relationships/hyperlink" Target="https://advance.lexis.com/api/document?collection=statutes-legislation&amp;id=urn:contentItem:8SG9-5HW2-D6RV-H0HC-00000-00&amp;context=1519360" TargetMode="External" /><Relationship Id="rId39" Type="http://schemas.openxmlformats.org/officeDocument/2006/relationships/hyperlink" Target="https://advance.lexis.com/api/document?collection=cases&amp;id=urn:contentItem:3X9N-RBP0-0038-X18F-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K1J-NG21-DYB7-S1WG-00000-00&amp;context=1519360" TargetMode="External" /><Relationship Id="rId41" Type="http://schemas.openxmlformats.org/officeDocument/2006/relationships/hyperlink" Target="https://advance.lexis.com/api/document?collection=cases&amp;id=urn:contentItem:5K0W-Y6N1-F04F-80TS-00000-00&amp;context=1519360" TargetMode="External" /><Relationship Id="rId42" Type="http://schemas.openxmlformats.org/officeDocument/2006/relationships/hyperlink" Target="https://advance.lexis.com/api/document?collection=statutes-legislation&amp;id=urn:contentItem:8T9R-T582-D6RV-H386-00000-00&amp;context=1519360" TargetMode="External" /><Relationship Id="rId43" Type="http://schemas.openxmlformats.org/officeDocument/2006/relationships/hyperlink" Target="https://advance.lexis.com/api/document?collection=cases&amp;id=urn:contentItem:5K04-RTF1-F04F-80SK-00000-00&amp;context=1519360" TargetMode="External" /><Relationship Id="rId44" Type="http://schemas.openxmlformats.org/officeDocument/2006/relationships/hyperlink" Target="https://advance.lexis.com/api/document?collection=cases&amp;id=urn:contentItem:66H6-TNV1-JNJT-B53H-00000-00&amp;context=1519360"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B1-YTP1-F361-M31V-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0T-K3H1-JP9P-G2R9-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Gantt v. S.C. Dep't of Corr., 2023 U.S. Dist. LEXIS 179157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vt:lpwstr>
  </property>
  <property fmtid="{D5CDD505-2E9C-101B-9397-08002B2CF9AE}" pid="3" name="LADocCount">
    <vt:lpwstr>1</vt:lpwstr>
  </property>
  <property fmtid="{D5CDD505-2E9C-101B-9397-08002B2CF9AE}" pid="4" name="LADocumentID:40">
    <vt:lpwstr>Doc::urn:hlct:5|contextualFeaturePermID::1519360</vt:lpwstr>
  </property>
  <property fmtid="{D5CDD505-2E9C-101B-9397-08002B2CF9AE}" pid="5" name="UserPermID">
    <vt:lpwstr>urn:user:PA186186280</vt:lpwstr>
  </property>
</Properties>
</file>