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Matter of Dixon v. Annucci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Appellate Division, Third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Decided; August 10,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535946</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219 A.D.3d 1030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192 N.Y.S.3d 807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App. Div. LEXIS 4250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04244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5108740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In the Matter of Brandon Dixon, Petitioner, v Anthony J. Annucci, as Acting Commissioner of Corrections and Community Supervision, et al., Respondents.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Leave to appeal denied by </w:t>
      </w:r>
      <w:hyperlink r:id="rId9" w:history="1">
        <w:r>
          <w:rPr>
            <w:rFonts w:ascii="arial" w:eastAsia="arial" w:hAnsi="arial" w:cs="arial"/>
            <w:b w:val="0"/>
            <w:i/>
            <w:strike w:val="0"/>
            <w:noProof w:val="0"/>
            <w:color w:val="0077CC"/>
            <w:position w:val="0"/>
            <w:sz w:val="20"/>
            <w:u w:val="single"/>
            <w:vertAlign w:val="baseline"/>
          </w:rPr>
          <w:t>People v. Fernandez, 2023 N.Y. LEXIS 1942 (N.Y., Oct.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misbehavior, confidential, disciplinary, contraband, possessing,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confirm</w:t>
      </w:r>
    </w:p>
    <w:p>
      <w:pPr>
        <w:keepNext/>
        <w:spacing w:before="240" w:after="0" w:line="340" w:lineRule="atLeast"/>
        <w:ind w:left="0" w:right="0" w:firstLine="0"/>
        <w:jc w:val="left"/>
      </w:pPr>
      <w:bookmarkStart w:id="4" w:name="Headnotes/Summary"/>
      <w:bookmarkEnd w:id="4"/>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5" w:name="Headnotes"/>
      <w:bookmarkEnd w:id="5"/>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6" w:name="Bookmark_hnpara_1"/>
      <w:bookmarkEnd w:id="6"/>
      <w:r>
        <w:rPr>
          <w:rFonts w:ascii="arial" w:eastAsia="arial" w:hAnsi="arial" w:cs="arial"/>
          <w:b/>
          <w:i w:val="0"/>
          <w:strike w:val="0"/>
          <w:noProof w:val="0"/>
          <w:color w:val="000000"/>
          <w:position w:val="0"/>
          <w:sz w:val="20"/>
          <w:u w:val="none"/>
          <w:vertAlign w:val="baseline"/>
        </w:rPr>
        <w:t xml:space="preserve">Prisons and Prisoners — Discipline of Inmates — Soliciting,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and Distributing Drugs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Dixon, Malone, petitioner,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Letitia James, Attorney General, Albany (Kate H. Nepveu of counsel), for respondents.</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Egan Jr., J.P., Clark, Ceresia, Fisher and McShan, JJ. Egan Jr., J.P., Clark, Ceresia, Fisher and McShan, JJ., concur.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1"/>
      <w:bookmarkEnd w:id="10"/>
      <w:r>
        <w:rPr>
          <w:rFonts w:ascii="arial" w:eastAsia="arial" w:hAnsi="arial" w:cs="arial"/>
          <w:b/>
          <w:i w:val="0"/>
          <w:strike w:val="0"/>
          <w:noProof w:val="0"/>
          <w:color w:val="000000"/>
          <w:position w:val="0"/>
          <w:sz w:val="20"/>
          <w:u w:val="none"/>
          <w:vertAlign w:val="baseline"/>
        </w:rPr>
        <w:t> [*1031] </w:t>
      </w:r>
      <w:r>
        <w:rPr>
          <w:rFonts w:ascii="arial" w:eastAsia="arial" w:hAnsi="arial" w:cs="arial"/>
          <w:b/>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Proceeding pursuant to CPLR article 78 (transferred to this Court by order of the Supreme Court, entered in Albany County) to review a determination of respondent Acting Commissioner of Corrections and Community Supervision finding petitioner guilty of violating certain prison disciplinary rules.</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Following an investigation that included the monitoring of telephone conversations and the transfer of large sums of money to petitioner, an incarcerated individual, facility staff concluded that, on multiple occasions, petitioner used a smartphone peer-to-peer payment application (CashApp) to profit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the facility using the inmate mail system. As a result, petitioner was charged in a misbehavior report with soliciting,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possessing contraband and distributing drugs. Following a tier III disciplinary hearing, petitioner was found not guilty of possessing contraband and found guilty of the remaining charges. Upon administrative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review, the determination was affirmed, and this CPLR article 78 proceeding ensued.</w:t>
      </w:r>
    </w:p>
    <w:p>
      <w:pPr>
        <w:keepNext w:val="0"/>
        <w:spacing w:before="240" w:after="0" w:line="260" w:lineRule="atLeast"/>
        <w:ind w:left="0" w:right="0" w:firstLine="0"/>
        <w:jc w:val="both"/>
      </w:pPr>
      <w:bookmarkStart w:id="12" w:name="Bookmark_para_3"/>
      <w:bookmarkEnd w:id="12"/>
      <w:bookmarkStart w:id="13" w:name="Bookmark_I68XHFX72SF7P70020000400"/>
      <w:bookmarkEnd w:id="13"/>
      <w:bookmarkStart w:id="14" w:name="Bookmark_I68XHFX82SF7P90030000400"/>
      <w:bookmarkEnd w:id="14"/>
      <w:r>
        <w:rPr>
          <w:rFonts w:ascii="arial" w:eastAsia="arial" w:hAnsi="arial" w:cs="arial"/>
          <w:b w:val="0"/>
          <w:i w:val="0"/>
          <w:strike w:val="0"/>
          <w:noProof w:val="0"/>
          <w:color w:val="000000"/>
          <w:position w:val="0"/>
          <w:sz w:val="20"/>
          <w:u w:val="none"/>
          <w:vertAlign w:val="baseline"/>
        </w:rPr>
        <w:t xml:space="preserve">We confirm. </w:t>
      </w:r>
      <w:bookmarkStart w:id="15" w:name="Bookmark_I68XHFX82SF7P90050000400"/>
      <w:bookmarkEnd w:id="15"/>
      <w:r>
        <w:rPr>
          <w:rFonts w:ascii="arial" w:eastAsia="arial" w:hAnsi="arial" w:cs="arial"/>
          <w:b w:val="0"/>
          <w:i w:val="0"/>
          <w:strike w:val="0"/>
          <w:noProof w:val="0"/>
          <w:color w:val="000000"/>
          <w:position w:val="0"/>
          <w:sz w:val="20"/>
          <w:u w:val="none"/>
          <w:vertAlign w:val="baseline"/>
        </w:rPr>
        <w:t>The misbehavior report, the testimony of its author and the detailed confidential testimony and documentary information provide substantial evidence supporting the finding of guilt (</w:t>
      </w:r>
      <w:r>
        <w:rPr>
          <w:rFonts w:ascii="arial" w:eastAsia="arial" w:hAnsi="arial" w:cs="arial"/>
          <w:b w:val="0"/>
          <w:i/>
          <w:strike w:val="0"/>
          <w:noProof w:val="0"/>
          <w:color w:val="000000"/>
          <w:position w:val="0"/>
          <w:sz w:val="20"/>
          <w:u w:val="none"/>
          <w:vertAlign w:val="baseline"/>
        </w:rPr>
        <w:t xml:space="preserve">see </w:t>
      </w:r>
      <w:bookmarkStart w:id="16" w:name="Bookmark_I68XHFX72SF7P70010000400"/>
      <w:bookmarkEnd w:id="16"/>
      <w:hyperlink r:id="rId10" w:history="1">
        <w:r>
          <w:rPr>
            <w:rFonts w:ascii="arial" w:eastAsia="arial" w:hAnsi="arial" w:cs="arial"/>
            <w:b w:val="0"/>
            <w:i/>
            <w:strike w:val="0"/>
            <w:noProof w:val="0"/>
            <w:color w:val="0077CC"/>
            <w:position w:val="0"/>
            <w:sz w:val="20"/>
            <w:u w:val="single"/>
            <w:vertAlign w:val="baseline"/>
          </w:rPr>
          <w:t>Matter of Wald v Annucci</w:t>
        </w:r>
      </w:hyperlink>
      <w:hyperlink r:id="rId10" w:history="1">
        <w:r>
          <w:rPr>
            <w:rFonts w:ascii="arial" w:eastAsia="arial" w:hAnsi="arial" w:cs="arial"/>
            <w:b w:val="0"/>
            <w:i/>
            <w:strike w:val="0"/>
            <w:noProof w:val="0"/>
            <w:color w:val="0077CC"/>
            <w:position w:val="0"/>
            <w:sz w:val="20"/>
            <w:u w:val="single"/>
            <w:vertAlign w:val="baseline"/>
          </w:rPr>
          <w:t>, 210 AD3d 1173, 1173, 175 N.Y.S.3d 916 [3d Dept 2022]</w:t>
        </w:r>
      </w:hyperlink>
      <w:r>
        <w:rPr>
          <w:rFonts w:ascii="arial" w:eastAsia="arial" w:hAnsi="arial" w:cs="arial"/>
          <w:b w:val="0"/>
          <w:i w:val="0"/>
          <w:strike w:val="0"/>
          <w:noProof w:val="0"/>
          <w:color w:val="000000"/>
          <w:position w:val="0"/>
          <w:sz w:val="20"/>
          <w:u w:val="none"/>
          <w:vertAlign w:val="baseline"/>
        </w:rPr>
        <w:t xml:space="preserve">; </w:t>
      </w:r>
      <w:bookmarkStart w:id="17" w:name="Bookmark_I68XHFX72SF7P70030000400"/>
      <w:bookmarkEnd w:id="17"/>
      <w:hyperlink r:id="rId11" w:history="1">
        <w:r>
          <w:rPr>
            <w:rFonts w:ascii="arial" w:eastAsia="arial" w:hAnsi="arial" w:cs="arial"/>
            <w:b w:val="0"/>
            <w:i/>
            <w:strike w:val="0"/>
            <w:noProof w:val="0"/>
            <w:color w:val="0077CC"/>
            <w:position w:val="0"/>
            <w:sz w:val="20"/>
            <w:u w:val="single"/>
            <w:vertAlign w:val="baseline"/>
          </w:rPr>
          <w:t>Matter of Rivera v Annucci</w:t>
        </w:r>
      </w:hyperlink>
      <w:hyperlink r:id="rId11" w:history="1">
        <w:r>
          <w:rPr>
            <w:rFonts w:ascii="arial" w:eastAsia="arial" w:hAnsi="arial" w:cs="arial"/>
            <w:b w:val="0"/>
            <w:i/>
            <w:strike w:val="0"/>
            <w:noProof w:val="0"/>
            <w:color w:val="0077CC"/>
            <w:position w:val="0"/>
            <w:sz w:val="20"/>
            <w:u w:val="single"/>
            <w:vertAlign w:val="baseline"/>
          </w:rPr>
          <w:t>, 203 AD3d 1371, 1371, 160 N.Y.S.3d 926 [3d Dept 2022]</w:t>
        </w:r>
      </w:hyperlink>
      <w:r>
        <w:rPr>
          <w:rFonts w:ascii="arial" w:eastAsia="arial" w:hAnsi="arial" w:cs="arial"/>
          <w:b w:val="0"/>
          <w:i w:val="0"/>
          <w:strike w:val="0"/>
          <w:noProof w:val="0"/>
          <w:color w:val="000000"/>
          <w:position w:val="0"/>
          <w:sz w:val="20"/>
          <w:u w:val="none"/>
          <w:vertAlign w:val="baseline"/>
        </w:rPr>
        <w:t xml:space="preserve">; </w:t>
      </w:r>
      <w:bookmarkStart w:id="18" w:name="Bookmark_I68XHFX72SF7P70050000400"/>
      <w:bookmarkEnd w:id="18"/>
      <w:hyperlink r:id="rId12" w:history="1">
        <w:r>
          <w:rPr>
            <w:rFonts w:ascii="arial" w:eastAsia="arial" w:hAnsi="arial" w:cs="arial"/>
            <w:b w:val="0"/>
            <w:i/>
            <w:strike w:val="0"/>
            <w:noProof w:val="0"/>
            <w:color w:val="0077CC"/>
            <w:position w:val="0"/>
            <w:sz w:val="20"/>
            <w:u w:val="single"/>
            <w:vertAlign w:val="baseline"/>
          </w:rPr>
          <w:t>Matter of Holmes v Annucci</w:t>
        </w:r>
      </w:hyperlink>
      <w:hyperlink r:id="rId12" w:history="1">
        <w:r>
          <w:rPr>
            <w:rFonts w:ascii="arial" w:eastAsia="arial" w:hAnsi="arial" w:cs="arial"/>
            <w:b w:val="0"/>
            <w:i/>
            <w:strike w:val="0"/>
            <w:noProof w:val="0"/>
            <w:color w:val="0077CC"/>
            <w:position w:val="0"/>
            <w:sz w:val="20"/>
            <w:u w:val="single"/>
            <w:vertAlign w:val="baseline"/>
          </w:rPr>
          <w:t>, 153 AD3d 1004, 1005, 56 N.Y.S.3d 900 [3d Dept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7 NYCRR 270.3 [b]</w:t>
        </w:r>
      </w:hyperlink>
      <w:r>
        <w:rPr>
          <w:rFonts w:ascii="arial" w:eastAsia="arial" w:hAnsi="arial" w:cs="arial"/>
          <w:b w:val="0"/>
          <w:i w:val="0"/>
          <w:strike w:val="0"/>
          <w:noProof w:val="0"/>
          <w:color w:val="000000"/>
          <w:position w:val="0"/>
          <w:sz w:val="20"/>
          <w:u w:val="none"/>
          <w:vertAlign w:val="baseline"/>
        </w:rPr>
        <w:t xml:space="preserve">). </w:t>
      </w:r>
      <w:bookmarkStart w:id="19" w:name="Bookmark_I68XHFX82N1R540020000400"/>
      <w:bookmarkEnd w:id="19"/>
      <w:r>
        <w:rPr>
          <w:rFonts w:ascii="arial" w:eastAsia="arial" w:hAnsi="arial" w:cs="arial"/>
          <w:b w:val="0"/>
          <w:i w:val="0"/>
          <w:strike w:val="0"/>
          <w:noProof w:val="0"/>
          <w:color w:val="000000"/>
          <w:position w:val="0"/>
          <w:sz w:val="20"/>
          <w:u w:val="none"/>
          <w:vertAlign w:val="baseline"/>
        </w:rPr>
        <w:t>Although petitioner denied any involvement in the at-issue conduct, such claims presented credibility issues for the Hearing Officer to resolve (</w:t>
      </w:r>
      <w:r>
        <w:rPr>
          <w:rFonts w:ascii="arial" w:eastAsia="arial" w:hAnsi="arial" w:cs="arial"/>
          <w:b w:val="0"/>
          <w:i/>
          <w:strike w:val="0"/>
          <w:noProof w:val="0"/>
          <w:color w:val="000000"/>
          <w:position w:val="0"/>
          <w:sz w:val="20"/>
          <w:u w:val="none"/>
          <w:vertAlign w:val="baseline"/>
        </w:rPr>
        <w:t xml:space="preserve">see </w:t>
      </w:r>
      <w:bookmarkStart w:id="20" w:name="Bookmark_I68XHFX82SF7P90020000400"/>
      <w:bookmarkEnd w:id="20"/>
      <w:hyperlink r:id="rId10" w:history="1">
        <w:r>
          <w:rPr>
            <w:rFonts w:ascii="arial" w:eastAsia="arial" w:hAnsi="arial" w:cs="arial"/>
            <w:b w:val="0"/>
            <w:i/>
            <w:strike w:val="0"/>
            <w:noProof w:val="0"/>
            <w:color w:val="0077CC"/>
            <w:position w:val="0"/>
            <w:sz w:val="20"/>
            <w:u w:val="single"/>
            <w:vertAlign w:val="baseline"/>
          </w:rPr>
          <w:t>Matter of Wald v Annucci</w:t>
        </w:r>
      </w:hyperlink>
      <w:hyperlink r:id="rId10" w:history="1">
        <w:r>
          <w:rPr>
            <w:rFonts w:ascii="arial" w:eastAsia="arial" w:hAnsi="arial" w:cs="arial"/>
            <w:b w:val="0"/>
            <w:i/>
            <w:strike w:val="0"/>
            <w:noProof w:val="0"/>
            <w:color w:val="0077CC"/>
            <w:position w:val="0"/>
            <w:sz w:val="20"/>
            <w:u w:val="single"/>
            <w:vertAlign w:val="baseline"/>
          </w:rPr>
          <w:t>, 210 AD3d at 1173</w:t>
        </w:r>
      </w:hyperlink>
      <w:r>
        <w:rPr>
          <w:rFonts w:ascii="arial" w:eastAsia="arial" w:hAnsi="arial" w:cs="arial"/>
          <w:b w:val="0"/>
          <w:i w:val="0"/>
          <w:strike w:val="0"/>
          <w:noProof w:val="0"/>
          <w:color w:val="000000"/>
          <w:position w:val="0"/>
          <w:sz w:val="20"/>
          <w:u w:val="none"/>
          <w:vertAlign w:val="baseline"/>
        </w:rPr>
        <w:t xml:space="preserve">). </w:t>
      </w:r>
      <w:bookmarkStart w:id="21" w:name="Bookmark_I68XHFX82N1R540020000400_2"/>
      <w:bookmarkEnd w:id="21"/>
      <w:bookmarkStart w:id="22" w:name="Bookmark_I68XHFX82SF7P90050000400_2"/>
      <w:bookmarkEnd w:id="22"/>
      <w:r>
        <w:rPr>
          <w:rFonts w:ascii="arial" w:eastAsia="arial" w:hAnsi="arial" w:cs="arial"/>
          <w:b w:val="0"/>
          <w:i w:val="0"/>
          <w:strike w:val="0"/>
          <w:noProof w:val="0"/>
          <w:color w:val="000000"/>
          <w:position w:val="0"/>
          <w:sz w:val="20"/>
          <w:u w:val="none"/>
          <w:vertAlign w:val="baseline"/>
        </w:rPr>
        <w:t>Further, the confidential hearing testimony, which was elicited by the Hearing Officer from the employee who authored the misbehavior report and conducted the investigation, was sufficiently detailed for an independent assessment of the reliability of the confidential information (</w:t>
      </w:r>
      <w:r>
        <w:rPr>
          <w:rFonts w:ascii="arial" w:eastAsia="arial" w:hAnsi="arial" w:cs="arial"/>
          <w:b w:val="0"/>
          <w:i/>
          <w:strike w:val="0"/>
          <w:noProof w:val="0"/>
          <w:color w:val="000000"/>
          <w:position w:val="0"/>
          <w:sz w:val="20"/>
          <w:u w:val="none"/>
          <w:vertAlign w:val="baseline"/>
        </w:rPr>
        <w:t xml:space="preserve">see </w:t>
      </w:r>
      <w:bookmarkStart w:id="23" w:name="Bookmark_I68XHFX82SF7P90040000400"/>
      <w:bookmarkEnd w:id="23"/>
      <w:hyperlink r:id="rId14" w:history="1">
        <w:r>
          <w:rPr>
            <w:rFonts w:ascii="arial" w:eastAsia="arial" w:hAnsi="arial" w:cs="arial"/>
            <w:b w:val="0"/>
            <w:i/>
            <w:strike w:val="0"/>
            <w:noProof w:val="0"/>
            <w:color w:val="0077CC"/>
            <w:position w:val="0"/>
            <w:sz w:val="20"/>
            <w:u w:val="single"/>
            <w:vertAlign w:val="baseline"/>
          </w:rPr>
          <w:t>Matter of Killimayer v Annucci</w:t>
        </w:r>
      </w:hyperlink>
      <w:hyperlink r:id="rId14" w:history="1">
        <w:r>
          <w:rPr>
            <w:rFonts w:ascii="arial" w:eastAsia="arial" w:hAnsi="arial" w:cs="arial"/>
            <w:b w:val="0"/>
            <w:i/>
            <w:strike w:val="0"/>
            <w:noProof w:val="0"/>
            <w:color w:val="0077CC"/>
            <w:position w:val="0"/>
            <w:sz w:val="20"/>
            <w:u w:val="single"/>
            <w:vertAlign w:val="baseline"/>
          </w:rPr>
          <w:t>, 199 AD3d 1151, 1151, 156 N.Y.S.3d 586 [3d Dept 2021]</w:t>
        </w:r>
      </w:hyperlink>
      <w:r>
        <w:rPr>
          <w:rFonts w:ascii="arial" w:eastAsia="arial" w:hAnsi="arial" w:cs="arial"/>
          <w:b w:val="0"/>
          <w:i w:val="0"/>
          <w:strike w:val="0"/>
          <w:noProof w:val="0"/>
          <w:color w:val="000000"/>
          <w:position w:val="0"/>
          <w:sz w:val="20"/>
          <w:u w:val="none"/>
          <w:vertAlign w:val="baseline"/>
        </w:rPr>
        <w:t>). Petitioner's remaining contentions, including his procedural claim that the misbehavior report was untimely (</w:t>
      </w:r>
      <w:r>
        <w:rPr>
          <w:rFonts w:ascii="arial" w:eastAsia="arial" w:hAnsi="arial" w:cs="arial"/>
          <w:b w:val="0"/>
          <w:i/>
          <w:strike w:val="0"/>
          <w:noProof w:val="0"/>
          <w:color w:val="000000"/>
          <w:position w:val="0"/>
          <w:sz w:val="20"/>
          <w:u w:val="none"/>
          <w:vertAlign w:val="baseline"/>
        </w:rPr>
        <w:t xml:space="preserve">see </w:t>
      </w:r>
      <w:bookmarkStart w:id="24" w:name="Bookmark_I68XHFX82N1R540010000400"/>
      <w:bookmarkEnd w:id="24"/>
      <w:hyperlink r:id="rId15" w:history="1">
        <w:r>
          <w:rPr>
            <w:rFonts w:ascii="arial" w:eastAsia="arial" w:hAnsi="arial" w:cs="arial"/>
            <w:b w:val="0"/>
            <w:i/>
            <w:strike w:val="0"/>
            <w:noProof w:val="0"/>
            <w:color w:val="0077CC"/>
            <w:position w:val="0"/>
            <w:sz w:val="20"/>
            <w:u w:val="single"/>
            <w:vertAlign w:val="baseline"/>
          </w:rPr>
          <w:t>Matter of Bachiller v Annucci</w:t>
        </w:r>
      </w:hyperlink>
      <w:hyperlink r:id="rId15" w:history="1">
        <w:r>
          <w:rPr>
            <w:rFonts w:ascii="arial" w:eastAsia="arial" w:hAnsi="arial" w:cs="arial"/>
            <w:b w:val="0"/>
            <w:i/>
            <w:strike w:val="0"/>
            <w:noProof w:val="0"/>
            <w:color w:val="0077CC"/>
            <w:position w:val="0"/>
            <w:sz w:val="20"/>
            <w:u w:val="single"/>
            <w:vertAlign w:val="baseline"/>
          </w:rPr>
          <w:t>, 166 AD3d 1186, 1187, 89 N.Y.S.3d 335 [3d Dept 2018]</w:t>
        </w:r>
      </w:hyperlink>
      <w:r>
        <w:rPr>
          <w:rFonts w:ascii="arial" w:eastAsia="arial" w:hAnsi="arial" w:cs="arial"/>
          <w:b w:val="0"/>
          <w:i w:val="0"/>
          <w:strike w:val="0"/>
          <w:noProof w:val="0"/>
          <w:color w:val="000000"/>
          <w:position w:val="0"/>
          <w:sz w:val="20"/>
          <w:u w:val="none"/>
          <w:vertAlign w:val="baseline"/>
        </w:rPr>
        <w:t>), have been considered and found to be without merit.</w:t>
      </w:r>
    </w:p>
    <w:p>
      <w:pPr>
        <w:keepNext w:val="0"/>
        <w:spacing w:before="20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Egan Jr., J.P., Clark, Ceresia, Fisher and McShan, JJ., concur.</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ADJUDGED that the determination is confirmed, without costs, and petition dismissed.</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Matter of Dixon v. Annucci, 219 A.D.3d 1030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6SF-PFH1-F4GK-M45K-00000-00&amp;context=1519360" TargetMode="External" /><Relationship Id="rId11" Type="http://schemas.openxmlformats.org/officeDocument/2006/relationships/hyperlink" Target="https://advance.lexis.com/api/document?collection=cases&amp;id=urn:contentItem:64YP-S5K1-F57G-S45G-00000-00&amp;context=1519360" TargetMode="External" /><Relationship Id="rId12" Type="http://schemas.openxmlformats.org/officeDocument/2006/relationships/hyperlink" Target="https://advance.lexis.com/api/document?collection=cases&amp;id=urn:contentItem:5P5F-DF31-F04J-74H7-00000-00&amp;context=1519360" TargetMode="External" /><Relationship Id="rId13" Type="http://schemas.openxmlformats.org/officeDocument/2006/relationships/hyperlink" Target="https://advance.lexis.com/api/document?collection=administrative-codes&amp;id=urn:contentItem:64MY-3BH1-FFMK-M2RF-00009-00&amp;context=1519360" TargetMode="External" /><Relationship Id="rId14" Type="http://schemas.openxmlformats.org/officeDocument/2006/relationships/hyperlink" Target="https://advance.lexis.com/api/document?collection=cases&amp;id=urn:contentItem:6423-XY51-K0BB-S2VH-00000-00&amp;context=1519360" TargetMode="External" /><Relationship Id="rId15" Type="http://schemas.openxmlformats.org/officeDocument/2006/relationships/hyperlink" Target="https://advance.lexis.com/api/document?collection=cases&amp;id=urn:contentItem:5TP0-3X01-JSRM-61YN-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X5-6NS1-F2F4-G24H-00000-00&amp;context=1519360" TargetMode="External" /><Relationship Id="rId9" Type="http://schemas.openxmlformats.org/officeDocument/2006/relationships/hyperlink" Target="https://advance.lexis.com/api/document?collection=cases&amp;id=urn:contentItem:69RN-3GT1-JXNB-62M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of Dixon v. Annucci, 219 A.D.3d 1030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urn:user:PA186186280</vt:lpwstr>
  </property>
</Properties>
</file>