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Pataro v. Castellón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Decided; March 24,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22-20866-CV-WILLIAMS</w:t>
      </w:r>
    </w:p>
    <w:p>
      <w:pPr>
        <w:keepNext w:val="0"/>
        <w:spacing w:after="0" w:line="240" w:lineRule="atLeast"/>
        <w:ind w:right="0"/>
        <w:jc w:val="both"/>
      </w:pPr>
      <w:bookmarkStart w:id="0" w:name="Bookmark_7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105640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4014793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ELLEN PATARO, Plaintiff, v. HÉCTOR D. CASTELLÓN,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Magistrate's recommendation at </w:t>
      </w:r>
      <w:hyperlink r:id="rId10" w:history="1">
        <w:r>
          <w:rPr>
            <w:rFonts w:ascii="arial" w:eastAsia="arial" w:hAnsi="arial" w:cs="arial"/>
            <w:b w:val="0"/>
            <w:i/>
            <w:strike w:val="0"/>
            <w:noProof w:val="0"/>
            <w:color w:val="0077CC"/>
            <w:position w:val="0"/>
            <w:sz w:val="20"/>
            <w:u w:val="single"/>
            <w:vertAlign w:val="baseline"/>
          </w:rPr>
          <w:t>Pataro v. Castelln, 2023 U.S. Dist. LEXIS 81090, 2023 WL 4025877 (S.D. Fla., May 8,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Pataro v. Castelln, 2023 U.S. Dist. LEXIS 82961, 2023 WL 4014740 (S.D. Fla., May 10,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Dismissed by, Without prejudice </w:t>
      </w:r>
      <w:hyperlink r:id="rId12" w:history="1">
        <w:r>
          <w:rPr>
            <w:rFonts w:ascii="arial" w:eastAsia="arial" w:hAnsi="arial" w:cs="arial"/>
            <w:b w:val="0"/>
            <w:i/>
            <w:strike w:val="0"/>
            <w:noProof w:val="0"/>
            <w:color w:val="0077CC"/>
            <w:position w:val="0"/>
            <w:sz w:val="20"/>
            <w:u w:val="single"/>
            <w:vertAlign w:val="baseline"/>
          </w:rPr>
          <w:t>Pataro v. Castelln, 2023 U.S. Dist. LEXIS 203871 (S.D. Fla., Nov. 14,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Pataro v. Pataro, 192 So. 3d 62, 2015 Fla. App. LEXIS 9627 (Fla. Dist. Ct. App. 3d Dist., June 16, 2015)</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amended complaint, allegations, shotgun, Counts, pleadings, cause of action, violations, asserts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Ellen Pataro, Plaintiff: Gabriela M Ruiz, LEAD ATTORNEY, Marcus Johnson Green, Kobre &amp; Kim LLP, Miami, FL; Andrew C Lourie, LEAD ATTORNEY, Kobre &amp; Kim LLP,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Hector O. Castellon, Hector D. Castellon, Jacqueline Castellon, Defendants: Simon Ferro, LEAD ATTORNEY, Lewis Tein, Coconut Grove,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Fernandez &amp; Associates LLC, Sabrina Fernandez, Miami FL 33173, Pablo Fernandez, Sabrina Fernandez, 8724 SW 72nd ST, Sabrina Fernandez, Ste 373, Material Witness: Luis Mena, Mena Law Firm, Coral Gables, FL.</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KATHLEEN M. WILLIAMS,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KATHLEEN M. WILLIAMS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is before the Court on the Motion to Dismiss (DE 13) ("</w:t>
      </w:r>
      <w:r>
        <w:rPr>
          <w:rFonts w:ascii="arial" w:eastAsia="arial" w:hAnsi="arial" w:cs="arial"/>
          <w:b/>
          <w:i/>
          <w:strike w:val="0"/>
          <w:noProof w:val="0"/>
          <w:color w:val="000000"/>
          <w:position w:val="0"/>
          <w:sz w:val="20"/>
          <w:u w:val="none"/>
          <w:vertAlign w:val="baseline"/>
        </w:rPr>
        <w:t>Motion</w:t>
      </w:r>
      <w:r>
        <w:rPr>
          <w:rFonts w:ascii="arial" w:eastAsia="arial" w:hAnsi="arial" w:cs="arial"/>
          <w:b w:val="0"/>
          <w:i w:val="0"/>
          <w:strike w:val="0"/>
          <w:noProof w:val="0"/>
          <w:color w:val="000000"/>
          <w:position w:val="0"/>
          <w:sz w:val="20"/>
          <w:u w:val="none"/>
          <w:vertAlign w:val="baseline"/>
        </w:rPr>
        <w:t>") filed by Defendants Héctor D. Castellón, Héctor O. Castellón, and Jacqueline Castellón (collectively, "</w:t>
      </w:r>
      <w:r>
        <w:rPr>
          <w:rFonts w:ascii="arial" w:eastAsia="arial" w:hAnsi="arial" w:cs="arial"/>
          <w:b/>
          <w:i/>
          <w:strike w:val="0"/>
          <w:noProof w:val="0"/>
          <w:color w:val="000000"/>
          <w:position w:val="0"/>
          <w:sz w:val="20"/>
          <w:u w:val="none"/>
          <w:vertAlign w:val="baseline"/>
        </w:rPr>
        <w:t>Defendants</w:t>
      </w:r>
      <w:r>
        <w:rPr>
          <w:rFonts w:ascii="arial" w:eastAsia="arial" w:hAnsi="arial" w:cs="arial"/>
          <w:b w:val="0"/>
          <w:i w:val="0"/>
          <w:strike w:val="0"/>
          <w:noProof w:val="0"/>
          <w:color w:val="000000"/>
          <w:position w:val="0"/>
          <w:sz w:val="20"/>
          <w:u w:val="none"/>
          <w:vertAlign w:val="baseline"/>
        </w:rPr>
        <w:t>"), to which Plaintiff Ellen Pataro ("</w:t>
      </w:r>
      <w:r>
        <w:rPr>
          <w:rFonts w:ascii="arial" w:eastAsia="arial" w:hAnsi="arial" w:cs="arial"/>
          <w:b/>
          <w:i/>
          <w:strike w:val="0"/>
          <w:noProof w:val="0"/>
          <w:color w:val="000000"/>
          <w:position w:val="0"/>
          <w:sz w:val="20"/>
          <w:u w:val="none"/>
          <w:vertAlign w:val="baseline"/>
        </w:rPr>
        <w:t>Plaintiff</w:t>
      </w:r>
      <w:r>
        <w:rPr>
          <w:rFonts w:ascii="arial" w:eastAsia="arial" w:hAnsi="arial" w:cs="arial"/>
          <w:b w:val="0"/>
          <w:i w:val="0"/>
          <w:strike w:val="0"/>
          <w:noProof w:val="0"/>
          <w:color w:val="000000"/>
          <w:position w:val="0"/>
          <w:sz w:val="20"/>
          <w:u w:val="none"/>
          <w:vertAlign w:val="baseline"/>
        </w:rPr>
        <w:t>") filed a Response (DE 14) ("</w:t>
      </w:r>
      <w:r>
        <w:rPr>
          <w:rFonts w:ascii="arial" w:eastAsia="arial" w:hAnsi="arial" w:cs="arial"/>
          <w:b/>
          <w:i/>
          <w:strike w:val="0"/>
          <w:noProof w:val="0"/>
          <w:color w:val="000000"/>
          <w:position w:val="0"/>
          <w:sz w:val="20"/>
          <w:u w:val="none"/>
          <w:vertAlign w:val="baseline"/>
        </w:rPr>
        <w:t>Response</w:t>
      </w:r>
      <w:r>
        <w:rPr>
          <w:rFonts w:ascii="arial" w:eastAsia="arial" w:hAnsi="arial" w:cs="arial"/>
          <w:b w:val="0"/>
          <w:i w:val="0"/>
          <w:strike w:val="0"/>
          <w:noProof w:val="0"/>
          <w:color w:val="000000"/>
          <w:position w:val="0"/>
          <w:sz w:val="20"/>
          <w:u w:val="none"/>
          <w:vertAlign w:val="baseline"/>
        </w:rPr>
        <w:t>") and Defendants filed a Reply (DE 15) ("</w:t>
      </w:r>
      <w:r>
        <w:rPr>
          <w:rFonts w:ascii="arial" w:eastAsia="arial" w:hAnsi="arial" w:cs="arial"/>
          <w:b/>
          <w:i/>
          <w:strike w:val="0"/>
          <w:noProof w:val="0"/>
          <w:color w:val="000000"/>
          <w:position w:val="0"/>
          <w:sz w:val="20"/>
          <w:u w:val="none"/>
          <w:vertAlign w:val="baseline"/>
        </w:rPr>
        <w:t>Reply</w:t>
      </w:r>
      <w:r>
        <w:rPr>
          <w:rFonts w:ascii="arial" w:eastAsia="arial" w:hAnsi="arial" w:cs="arial"/>
          <w:b w:val="0"/>
          <w:i w:val="0"/>
          <w:strike w:val="0"/>
          <w:noProof w:val="0"/>
          <w:color w:val="000000"/>
          <w:position w:val="0"/>
          <w:sz w:val="20"/>
          <w:u w:val="none"/>
          <w:vertAlign w:val="baseline"/>
        </w:rPr>
        <w:t xml:space="preserve">"). For the reasons set forth below, Defendants' Motion (DE 13)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the First Amended Complaint (DE 8)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Plaintiff brings suit against Defendants based on an alleged "conspiracy involving money laundering, unlicensed money transmitting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businesses and wire fraud" in addition to the purported "laundering [of] proceeds from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billions of dollars in Venezuelan gold, using numerous . . . companies under their control . . . to acquire or control real estate development projects and other enterprises." (DE 8 at 1.) While not named as a Defendant in this case, Plaintiff's ex-husband Mario Pataro ("</w:t>
      </w:r>
      <w:r>
        <w:rPr>
          <w:rFonts w:ascii="arial" w:eastAsia="arial" w:hAnsi="arial" w:cs="arial"/>
          <w:b/>
          <w:i/>
          <w:strike w:val="0"/>
          <w:noProof w:val="0"/>
          <w:color w:val="000000"/>
          <w:position w:val="0"/>
          <w:sz w:val="20"/>
          <w:u w:val="none"/>
          <w:vertAlign w:val="baseline"/>
        </w:rPr>
        <w:t>Mr. Pataro</w:t>
      </w:r>
      <w:r>
        <w:rPr>
          <w:rFonts w:ascii="arial" w:eastAsia="arial" w:hAnsi="arial" w:cs="arial"/>
          <w:b w:val="0"/>
          <w:i w:val="0"/>
          <w:strike w:val="0"/>
          <w:noProof w:val="0"/>
          <w:color w:val="000000"/>
          <w:position w:val="0"/>
          <w:sz w:val="20"/>
          <w:u w:val="none"/>
          <w:vertAlign w:val="baseline"/>
        </w:rPr>
        <w:t>") is a key character in Plaintiff's narrative, as are many other non-parties including companies such as Fernandez &amp; Associates Investments, LLC.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 Beginning with Plaintiff's and Mr. Pataro's divorce, this sprawling action is centered on Plaintiff's purported attempts to collect an approximate "$50 million civil money judgment against [Mr. Pataro]" who Plaintiff asserts "is a long-time associate" of Defendants.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 19.) This long-running dispute also involves Plaintiff's and Mr. Pataro's child and Mr. Pataro's stepchild, although Plaintiff does not name those children (adults) as Parties to this lawsuit.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The Court briefly discusses the facts relevant to resolving the instant Motion as set forth in the First Amended Complaint, starting at the origins of this matter: Plaintiff's and Mr.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Pataro's divorce. After approximately nineteen (19) years of marriage, Mr. Pataro sued for divorce in state court and in 2009, Mr. Pataro and Plaintiff entered into a settlement agreement to distribute marital assets.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 Sometime thereafter, Plaintiff discovered a business owned by Mr. Pataro that was not disclosed during the divorce proceedings and Plaintiff then moved to set aside the settlement agreement.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set forth in the First Amended Complaint, the state court held Mr. Pataro in contempt of court and issued writs of bodily attachment for his arrest.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September 2017, Mr. Pataro, allegedly assisted by Defendant Héctor O. Castellón, fled the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Consequently, in 2018, the state court set aside the settlement agreement to distribute marital assets and entered a money judgment in favor of Plaintiff against Mr. Pataro in the amount of $49,524,834 plus post-judgment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Mr. Pataro has not made any payments toward that judgment.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Defendants' alleged roles in this matter begin in 2017.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asserts that Defendants used their purported "money laundering, money transmitting and wire fraud operations to fraudulently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misrepresent and conceal" Mr. Pataro's assets from Plaintiff.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First Amended Complaint also alleges that Defendants used a system of companies to make "misrepresented" payments to individuals other than Plaintiff, for example: $26,005 to the University of Miami to pay the tuition of Marina Pataro, Plaintiff and Mr. Pataro's daughter; $55,000 to Marina Pataro to pay for a new BMW convertible car; the proceeds of gold sales to acquire "two luxury condominiums in Miami on Brickell Avenue, the RISE Property and the SLS Property" for Marina Pataro and Rachele Angiolini, Mr. Pataro's stepdaughter.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20-23.) The First Amended Complaint includes several sections which purportedly outline Defendants' roles in gold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money laundering, real estate investment, wire fraud, and unlicensed money transmitting ventures, which Plaintiff asserts amounts to violations of the </w:t>
      </w:r>
      <w:hyperlink r:id="rId14" w:history="1">
        <w:r>
          <w:rPr>
            <w:rFonts w:ascii="arial" w:eastAsia="arial" w:hAnsi="arial" w:cs="arial"/>
            <w:b w:val="0"/>
            <w:i/>
            <w:strike w:val="0"/>
            <w:noProof w:val="0"/>
            <w:color w:val="0077CC"/>
            <w:position w:val="0"/>
            <w:sz w:val="20"/>
            <w:u w:val="single"/>
            <w:vertAlign w:val="baseline"/>
          </w:rPr>
          <w:t>Racketeer Influenced and Corrupt Organizations Act, 18 U.S.C. § 1962</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none"/>
          <w:vertAlign w:val="baseline"/>
        </w:rPr>
        <w:t>RICO</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10-18.) Although Plaintiff alleges Mr. Pataro, Marina Pataro, Rachele Angiolini, and various properties or goods such as cars or condominiums are involved in this case, Plaintiff does not include her ex-husband, daughter, or Mr. Pataro's stepdaughter as Parties.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Moreover, 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argued by Defendants, Plaintiff "has never sued her daughter claiming that she is the recipient of a fraudulent transfer or otherwise sought to take possession of the vehicle." (DE 13 at 3 n.2.)</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The First Amended Complaint brings five (5) Counts against all Defendants: Counts I through III (the "</w:t>
      </w:r>
      <w:r>
        <w:rPr>
          <w:rFonts w:ascii="arial" w:eastAsia="arial" w:hAnsi="arial" w:cs="arial"/>
          <w:b/>
          <w:i/>
          <w:strike w:val="0"/>
          <w:noProof w:val="0"/>
          <w:color w:val="000000"/>
          <w:position w:val="0"/>
          <w:sz w:val="20"/>
          <w:u w:val="none"/>
          <w:vertAlign w:val="baseline"/>
        </w:rPr>
        <w:t>RICO Counts</w:t>
      </w:r>
      <w:r>
        <w:rPr>
          <w:rFonts w:ascii="arial" w:eastAsia="arial" w:hAnsi="arial" w:cs="arial"/>
          <w:b w:val="0"/>
          <w:i w:val="0"/>
          <w:strike w:val="0"/>
          <w:noProof w:val="0"/>
          <w:color w:val="000000"/>
          <w:position w:val="0"/>
          <w:sz w:val="20"/>
          <w:u w:val="none"/>
          <w:vertAlign w:val="baseline"/>
        </w:rPr>
        <w:t xml:space="preserve">"), comprised of claims for violations of </w:t>
      </w:r>
      <w:hyperlink r:id="rId14"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(Count I), violations of </w:t>
      </w:r>
      <w:hyperlink r:id="rId14" w:history="1">
        <w:r>
          <w:rPr>
            <w:rFonts w:ascii="arial" w:eastAsia="arial" w:hAnsi="arial" w:cs="arial"/>
            <w:b w:val="0"/>
            <w:i/>
            <w:strike w:val="0"/>
            <w:noProof w:val="0"/>
            <w:color w:val="0077CC"/>
            <w:position w:val="0"/>
            <w:sz w:val="20"/>
            <w:u w:val="single"/>
            <w:vertAlign w:val="baseline"/>
          </w:rPr>
          <w:t>18 U.S.C. § 1962(b)</w:t>
        </w:r>
      </w:hyperlink>
      <w:r>
        <w:rPr>
          <w:rFonts w:ascii="arial" w:eastAsia="arial" w:hAnsi="arial" w:cs="arial"/>
          <w:b w:val="0"/>
          <w:i w:val="0"/>
          <w:strike w:val="0"/>
          <w:noProof w:val="0"/>
          <w:color w:val="000000"/>
          <w:position w:val="0"/>
          <w:sz w:val="20"/>
          <w:u w:val="none"/>
          <w:vertAlign w:val="baseline"/>
        </w:rPr>
        <w:t xml:space="preserve"> (Count II), and violations of </w:t>
      </w:r>
      <w:hyperlink r:id="rId14"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(Count III); and claims of fraud (Count IV) and conspiracy to defraud (Count V). (DE 8 at 24-32.) In response, Defendants filed the instant Motion. (DE 13.) In the Motion, Defendants argue that: (1) the First Amended Complaint should be dismissed in its entirety as a shotgun pleading; (2) the RICO Counts should be dismissed for failure to state a claim because Plaintiff lacks standing, the RICO Counts fail to meet the heightened pleading requirement, the alleged predicate RICO violations are not the proximate cause of Plaintiff's alleged injury, and Plaintiff fails to establish a pattern of racketeering activity; (3) the First Amended Complaint fails to state a cause of action for the fraud-based claims, Counts IV and V; and (4) the conspiracy to defraud claim, Count V, fails as a matter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9-20.) For the reasons discussed below, the Court grants Defendants' Motion.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To survive a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a plaintiff must plead sufficient facts to state a claim that is "plausible on its face." </w:t>
      </w:r>
      <w:hyperlink r:id="rId15" w:history="1">
        <w:r>
          <w:rPr>
            <w:rFonts w:ascii="arial" w:eastAsia="arial" w:hAnsi="arial" w:cs="arial"/>
            <w:b w:val="0"/>
            <w:i/>
            <w:strike w:val="0"/>
            <w:noProof w:val="0"/>
            <w:color w:val="0077CC"/>
            <w:position w:val="0"/>
            <w:sz w:val="20"/>
            <w:u w:val="single"/>
            <w:vertAlign w:val="baseline"/>
          </w:rPr>
          <w:t>Ashcroft v. Iqbal</w:t>
        </w:r>
      </w:hyperlink>
      <w:hyperlink r:id="rId15"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Bell Atlantic Corp. v. Twombly</w:t>
        </w:r>
      </w:hyperlink>
      <w:hyperlink r:id="rId16"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The Court's consideration is limited to the allegations presented.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GSW, Inc. v. Long Cnty.</w:t>
        </w:r>
      </w:hyperlink>
      <w:hyperlink r:id="rId17" w:history="1">
        <w:r>
          <w:rPr>
            <w:rFonts w:ascii="arial" w:eastAsia="arial" w:hAnsi="arial" w:cs="arial"/>
            <w:b w:val="0"/>
            <w:i/>
            <w:strike w:val="0"/>
            <w:noProof w:val="0"/>
            <w:color w:val="0077CC"/>
            <w:position w:val="0"/>
            <w:sz w:val="20"/>
            <w:u w:val="single"/>
            <w:vertAlign w:val="baseline"/>
          </w:rPr>
          <w:t>, 999 F.2d 1508, 1510 (11th Cir. 1993)</w:t>
        </w:r>
      </w:hyperlink>
      <w:r>
        <w:rPr>
          <w:rFonts w:ascii="arial" w:eastAsia="arial" w:hAnsi="arial" w:cs="arial"/>
          <w:b w:val="0"/>
          <w:i w:val="0"/>
          <w:strike w:val="0"/>
          <w:noProof w:val="0"/>
          <w:color w:val="000000"/>
          <w:position w:val="0"/>
          <w:sz w:val="20"/>
          <w:u w:val="none"/>
          <w:vertAlign w:val="baseline"/>
        </w:rPr>
        <w:t xml:space="preserve">. All factual allegations are accepted as true and all reasonable inferences are drawn in the plaintiff's favor. </w:t>
      </w:r>
      <w:r>
        <w:rPr>
          <w:rFonts w:ascii="arial" w:eastAsia="arial" w:hAnsi="arial" w:cs="arial"/>
          <w:b w:val="0"/>
          <w:i/>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 xml:space="preserve">Speaker v. U.S. Dep't of Health &amp; </w:t>
        </w:r>
      </w:hyperlink>
      <w:hyperlink r:id="rId18" w:history="1">
        <w:r>
          <w:rPr>
            <w:rFonts w:ascii="arial" w:eastAsia="arial" w:hAnsi="arial" w:cs="arial"/>
            <w:b/>
            <w:i/>
            <w:strike w:val="0"/>
            <w:noProof w:val="0"/>
            <w:color w:val="0077CC"/>
            <w:position w:val="0"/>
            <w:sz w:val="20"/>
            <w:u w:val="single"/>
            <w:vertAlign w:val="baseline"/>
          </w:rPr>
          <w:t>Human</w:t>
        </w:r>
      </w:hyperlink>
      <w:hyperlink r:id="rId18" w:history="1">
        <w:r>
          <w:rPr>
            <w:rFonts w:ascii="arial" w:eastAsia="arial" w:hAnsi="arial" w:cs="arial"/>
            <w:b w:val="0"/>
            <w:i/>
            <w:strike w:val="0"/>
            <w:noProof w:val="0"/>
            <w:color w:val="0077CC"/>
            <w:position w:val="0"/>
            <w:sz w:val="20"/>
            <w:u w:val="single"/>
            <w:vertAlign w:val="baseline"/>
          </w:rPr>
          <w:t xml:space="preserve"> Servs. Ctrs. for Disease Control &amp; Prevention</w:t>
        </w:r>
      </w:hyperlink>
      <w:hyperlink r:id="rId18" w:history="1">
        <w:r>
          <w:rPr>
            <w:rFonts w:ascii="arial" w:eastAsia="arial" w:hAnsi="arial" w:cs="arial"/>
            <w:b w:val="0"/>
            <w:i/>
            <w:strike w:val="0"/>
            <w:noProof w:val="0"/>
            <w:color w:val="0077CC"/>
            <w:position w:val="0"/>
            <w:sz w:val="20"/>
            <w:u w:val="single"/>
            <w:vertAlign w:val="baseline"/>
          </w:rPr>
          <w:t>, 623 F.3d 1371, 1379 (11th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19" w:history="1">
        <w:r>
          <w:rPr>
            <w:rFonts w:ascii="arial" w:eastAsia="arial" w:hAnsi="arial" w:cs="arial"/>
            <w:b w:val="0"/>
            <w:i/>
            <w:strike w:val="0"/>
            <w:noProof w:val="0"/>
            <w:color w:val="0077CC"/>
            <w:position w:val="0"/>
            <w:sz w:val="20"/>
            <w:u w:val="single"/>
            <w:vertAlign w:val="baseline"/>
          </w:rPr>
          <w:t>Roberts v. Fla. Power &amp; Light Co.</w:t>
        </w:r>
      </w:hyperlink>
      <w:hyperlink r:id="rId19" w:history="1">
        <w:r>
          <w:rPr>
            <w:rFonts w:ascii="arial" w:eastAsia="arial" w:hAnsi="arial" w:cs="arial"/>
            <w:b w:val="0"/>
            <w:i/>
            <w:strike w:val="0"/>
            <w:noProof w:val="0"/>
            <w:color w:val="0077CC"/>
            <w:position w:val="0"/>
            <w:sz w:val="20"/>
            <w:u w:val="single"/>
            <w:vertAlign w:val="baseline"/>
          </w:rPr>
          <w:t>, 146 F.3d 1305, 1307 (11th Cir. 1998)</w:t>
        </w:r>
      </w:hyperlink>
      <w:r>
        <w:rPr>
          <w:rFonts w:ascii="arial" w:eastAsia="arial" w:hAnsi="arial" w:cs="arial"/>
          <w:b w:val="0"/>
          <w:i w:val="0"/>
          <w:strike w:val="0"/>
          <w:noProof w:val="0"/>
          <w:color w:val="000000"/>
          <w:position w:val="0"/>
          <w:sz w:val="20"/>
          <w:u w:val="none"/>
          <w:vertAlign w:val="baseline"/>
        </w:rPr>
        <w:t xml:space="preserve">. Nevertheless, while a plaintiff need not provide "detailed factual allegations," the allegations must consist of more than "a formulaic recitation of the elements of a cause of action." </w:t>
      </w:r>
      <w:hyperlink r:id="rId16" w:history="1">
        <w:r>
          <w:rPr>
            <w:rFonts w:ascii="arial" w:eastAsia="arial" w:hAnsi="arial" w:cs="arial"/>
            <w:b w:val="0"/>
            <w:i/>
            <w:strike w:val="0"/>
            <w:noProof w:val="0"/>
            <w:color w:val="0077CC"/>
            <w:position w:val="0"/>
            <w:sz w:val="20"/>
            <w:u w:val="single"/>
            <w:vertAlign w:val="baseline"/>
          </w:rPr>
          <w:t>Twombly</w:t>
        </w:r>
      </w:hyperlink>
      <w:hyperlink r:id="rId16"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(internal citations, quotations omitted). "[C]onclusory allegations, unwarranted factual deductions or legal conclusions masquerading as facts will not prevent dismissal.'" </w:t>
      </w:r>
      <w:hyperlink r:id="rId20" w:history="1">
        <w:r>
          <w:rPr>
            <w:rFonts w:ascii="arial" w:eastAsia="arial" w:hAnsi="arial" w:cs="arial"/>
            <w:b w:val="0"/>
            <w:i/>
            <w:strike w:val="0"/>
            <w:noProof w:val="0"/>
            <w:color w:val="0077CC"/>
            <w:position w:val="0"/>
            <w:sz w:val="20"/>
            <w:u w:val="single"/>
            <w:vertAlign w:val="baseline"/>
          </w:rPr>
          <w:t>Davila v. Delta Air Lines, Inc.</w:t>
        </w:r>
      </w:hyperlink>
      <w:hyperlink r:id="rId20" w:history="1">
        <w:r>
          <w:rPr>
            <w:rFonts w:ascii="arial" w:eastAsia="arial" w:hAnsi="arial" w:cs="arial"/>
            <w:b w:val="0"/>
            <w:i/>
            <w:strike w:val="0"/>
            <w:noProof w:val="0"/>
            <w:color w:val="0077CC"/>
            <w:position w:val="0"/>
            <w:sz w:val="20"/>
            <w:u w:val="single"/>
            <w:vertAlign w:val="baseline"/>
          </w:rPr>
          <w:t>, 326 F.3d 1183, 1185 (11th Cir. 2003)</w:t>
        </w:r>
      </w:hyperlink>
      <w:r>
        <w:rPr>
          <w:rFonts w:ascii="arial" w:eastAsia="arial" w:hAnsi="arial" w:cs="arial"/>
          <w:b w:val="0"/>
          <w:i w:val="0"/>
          <w:strike w:val="0"/>
          <w:noProof w:val="0"/>
          <w:color w:val="000000"/>
          <w:position w:val="0"/>
          <w:sz w:val="20"/>
          <w:u w:val="none"/>
          <w:vertAlign w:val="baseline"/>
        </w:rPr>
        <w:t xml:space="preserve">. The "[f]actual allegations must be enough to raise a right of relief above the speculative level." </w:t>
      </w:r>
      <w:hyperlink r:id="rId21" w:history="1">
        <w:r>
          <w:rPr>
            <w:rFonts w:ascii="arial" w:eastAsia="arial" w:hAnsi="arial" w:cs="arial"/>
            <w:b w:val="0"/>
            <w:i/>
            <w:strike w:val="0"/>
            <w:noProof w:val="0"/>
            <w:color w:val="0077CC"/>
            <w:position w:val="0"/>
            <w:sz w:val="20"/>
            <w:u w:val="single"/>
            <w:vertAlign w:val="baseline"/>
          </w:rPr>
          <w:t>Watts v. Fla. Int'l Univ.</w:t>
        </w:r>
      </w:hyperlink>
      <w:hyperlink r:id="rId21" w:history="1">
        <w:r>
          <w:rPr>
            <w:rFonts w:ascii="arial" w:eastAsia="arial" w:hAnsi="arial" w:cs="arial"/>
            <w:b w:val="0"/>
            <w:i/>
            <w:strike w:val="0"/>
            <w:noProof w:val="0"/>
            <w:color w:val="0077CC"/>
            <w:position w:val="0"/>
            <w:sz w:val="20"/>
            <w:u w:val="single"/>
            <w:vertAlign w:val="baseline"/>
          </w:rPr>
          <w:t>, 495 F.3d 1289, 1295 (11th Cir. 2007)</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Twombly</w:t>
        </w:r>
      </w:hyperlink>
      <w:hyperlink r:id="rId16" w:history="1">
        <w:r>
          <w:rPr>
            <w:rFonts w:ascii="arial" w:eastAsia="arial" w:hAnsi="arial" w:cs="arial"/>
            <w:b w:val="0"/>
            <w:i/>
            <w:strike w:val="0"/>
            <w:noProof w:val="0"/>
            <w:color w:val="0077CC"/>
            <w:position w:val="0"/>
            <w:sz w:val="20"/>
            <w:u w:val="single"/>
            <w:vertAlign w:val="baseline"/>
          </w:rPr>
          <w:t>, 550 U.S. at 545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In addition to the requirements of </w:t>
      </w:r>
      <w:r>
        <w:rPr>
          <w:rFonts w:ascii="arial" w:eastAsia="arial" w:hAnsi="arial" w:cs="arial"/>
          <w:b w:val="0"/>
          <w:i/>
          <w:strike w:val="0"/>
          <w:noProof w:val="0"/>
          <w:color w:val="000000"/>
          <w:position w:val="0"/>
          <w:sz w:val="20"/>
          <w:u w:val="none"/>
          <w:vertAlign w:val="baseline"/>
        </w:rPr>
        <w:t>Twombly, Iqbal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Rule 12(b)</w:t>
      </w:r>
      <w:r>
        <w:rPr>
          <w:rFonts w:ascii="arial" w:eastAsia="arial" w:hAnsi="arial" w:cs="arial"/>
          <w:b w:val="0"/>
          <w:i w:val="0"/>
          <w:strike w:val="0"/>
          <w:noProof w:val="0"/>
          <w:color w:val="000000"/>
          <w:position w:val="0"/>
          <w:sz w:val="20"/>
          <w:u w:val="none"/>
          <w:vertAlign w:val="baseline"/>
        </w:rPr>
        <w:t xml:space="preserve">, causes of action sounding in fraud are subject to the heightened pleading standards of </w:t>
      </w:r>
      <w:hyperlink r:id="rId22" w:history="1">
        <w:r>
          <w:rPr>
            <w:rFonts w:ascii="arial" w:eastAsia="arial" w:hAnsi="arial" w:cs="arial"/>
            <w:b w:val="0"/>
            <w:i/>
            <w:strike w:val="0"/>
            <w:noProof w:val="0"/>
            <w:color w:val="0077CC"/>
            <w:position w:val="0"/>
            <w:sz w:val="20"/>
            <w:u w:val="single"/>
            <w:vertAlign w:val="baseline"/>
          </w:rPr>
          <w:t>Federal Rule of Civil Procedure 9(b)</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vertAlign w:val="baseline"/>
          </w:rPr>
          <w:t>Ambrosia Coal &amp; Constr. Co. v. Pages Morales</w:t>
        </w:r>
      </w:hyperlink>
      <w:hyperlink r:id="rId23" w:history="1">
        <w:r>
          <w:rPr>
            <w:rFonts w:ascii="arial" w:eastAsia="arial" w:hAnsi="arial" w:cs="arial"/>
            <w:b w:val="0"/>
            <w:i/>
            <w:strike w:val="0"/>
            <w:noProof w:val="0"/>
            <w:color w:val="0077CC"/>
            <w:position w:val="0"/>
            <w:sz w:val="20"/>
            <w:u w:val="single"/>
            <w:vertAlign w:val="baseline"/>
          </w:rPr>
          <w:t>, 482 F.3d 1309, 1316 (11th Cir. 2007)</w:t>
        </w:r>
      </w:hyperlink>
      <w:r>
        <w:rPr>
          <w:rFonts w:ascii="arial" w:eastAsia="arial" w:hAnsi="arial" w:cs="arial"/>
          <w:b w:val="0"/>
          <w:i w:val="0"/>
          <w:strike w:val="0"/>
          <w:noProof w:val="0"/>
          <w:color w:val="000000"/>
          <w:position w:val="0"/>
          <w:sz w:val="20"/>
          <w:u w:val="none"/>
          <w:vertAlign w:val="baseline"/>
        </w:rPr>
        <w:t>. That rule provides that "[i]n alleging of fraud or mistake, a party must state with particularity the circumstances constituting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fraud or mistake" but that "[m]alice, intent, knowledge, and other conditions of a person's mind may be alleged generally." </w:t>
      </w:r>
      <w:hyperlink r:id="rId22" w:history="1">
        <w:r>
          <w:rPr>
            <w:rFonts w:ascii="arial" w:eastAsia="arial" w:hAnsi="arial" w:cs="arial"/>
            <w:b w:val="0"/>
            <w:i/>
            <w:strike w:val="0"/>
            <w:noProof w:val="0"/>
            <w:color w:val="0077CC"/>
            <w:position w:val="0"/>
            <w:sz w:val="20"/>
            <w:u w:val="single"/>
            <w:vertAlign w:val="baseline"/>
          </w:rPr>
          <w:t>Fed. R. Civ. P. 9(b)</w:t>
        </w:r>
      </w:hyperlink>
      <w:r>
        <w:rPr>
          <w:rFonts w:ascii="arial" w:eastAsia="arial" w:hAnsi="arial" w:cs="arial"/>
          <w:b w:val="0"/>
          <w:i w:val="0"/>
          <w:strike w:val="0"/>
          <w:noProof w:val="0"/>
          <w:color w:val="000000"/>
          <w:position w:val="0"/>
          <w:sz w:val="20"/>
          <w:u w:val="none"/>
          <w:vertAlign w:val="baseline"/>
        </w:rPr>
        <w:t xml:space="preserve">. Consequently, "[t]o satisfy the </w:t>
      </w:r>
      <w:hyperlink r:id="rId22" w:history="1">
        <w:r>
          <w:rPr>
            <w:rFonts w:ascii="arial" w:eastAsia="arial" w:hAnsi="arial" w:cs="arial"/>
            <w:b w:val="0"/>
            <w:i/>
            <w:strike w:val="0"/>
            <w:noProof w:val="0"/>
            <w:color w:val="0077CC"/>
            <w:position w:val="0"/>
            <w:sz w:val="20"/>
            <w:u w:val="single"/>
            <w:vertAlign w:val="baseline"/>
          </w:rPr>
          <w:t>Rule 9(b)</w:t>
        </w:r>
      </w:hyperlink>
      <w:r>
        <w:rPr>
          <w:rFonts w:ascii="arial" w:eastAsia="arial" w:hAnsi="arial" w:cs="arial"/>
          <w:b w:val="0"/>
          <w:i w:val="0"/>
          <w:strike w:val="0"/>
          <w:noProof w:val="0"/>
          <w:color w:val="000000"/>
          <w:position w:val="0"/>
          <w:sz w:val="20"/>
          <w:u w:val="none"/>
          <w:vertAlign w:val="baseline"/>
        </w:rPr>
        <w:t xml:space="preserve"> standard, [fraud claims] must allege: (1) the precise statements, documents, or misrepresentations made; (2) the time and place of and person responsible for the statement; (3) the content and manner in which the statements misled the Plaintiffs; and (4) what the Defendants gained by the alleged fraud." </w:t>
      </w:r>
      <w:hyperlink r:id="rId23" w:history="1">
        <w:r>
          <w:rPr>
            <w:rFonts w:ascii="arial" w:eastAsia="arial" w:hAnsi="arial" w:cs="arial"/>
            <w:b w:val="0"/>
            <w:i/>
            <w:strike w:val="0"/>
            <w:noProof w:val="0"/>
            <w:color w:val="0077CC"/>
            <w:position w:val="0"/>
            <w:sz w:val="20"/>
            <w:u w:val="single"/>
            <w:vertAlign w:val="baseline"/>
          </w:rPr>
          <w:t>Ambrosia Coal</w:t>
        </w:r>
      </w:hyperlink>
      <w:hyperlink r:id="rId23" w:history="1">
        <w:r>
          <w:rPr>
            <w:rFonts w:ascii="arial" w:eastAsia="arial" w:hAnsi="arial" w:cs="arial"/>
            <w:b w:val="0"/>
            <w:i/>
            <w:strike w:val="0"/>
            <w:noProof w:val="0"/>
            <w:color w:val="0077CC"/>
            <w:position w:val="0"/>
            <w:sz w:val="20"/>
            <w:u w:val="single"/>
            <w:vertAlign w:val="baseline"/>
          </w:rPr>
          <w:t>, 482 F.3d at 1316-17</w:t>
        </w:r>
      </w:hyperlink>
      <w:r>
        <w:rPr>
          <w:rFonts w:ascii="arial" w:eastAsia="arial" w:hAnsi="arial" w:cs="arial"/>
          <w:b w:val="0"/>
          <w:i w:val="0"/>
          <w:strike w:val="0"/>
          <w:noProof w:val="0"/>
          <w:color w:val="000000"/>
          <w:position w:val="0"/>
          <w:sz w:val="20"/>
          <w:u w:val="none"/>
          <w:vertAlign w:val="baseline"/>
        </w:rPr>
        <w:t xml:space="preserve"> (citing </w:t>
      </w:r>
      <w:hyperlink r:id="rId24" w:history="1">
        <w:r>
          <w:rPr>
            <w:rFonts w:ascii="arial" w:eastAsia="arial" w:hAnsi="arial" w:cs="arial"/>
            <w:b w:val="0"/>
            <w:i/>
            <w:strike w:val="0"/>
            <w:noProof w:val="0"/>
            <w:color w:val="0077CC"/>
            <w:position w:val="0"/>
            <w:sz w:val="20"/>
            <w:u w:val="single"/>
            <w:vertAlign w:val="baseline"/>
          </w:rPr>
          <w:t>Brooks v. Blue Cross &amp; Blue Shield</w:t>
        </w:r>
      </w:hyperlink>
      <w:hyperlink r:id="rId24" w:history="1">
        <w:r>
          <w:rPr>
            <w:rFonts w:ascii="arial" w:eastAsia="arial" w:hAnsi="arial" w:cs="arial"/>
            <w:b w:val="0"/>
            <w:i/>
            <w:strike w:val="0"/>
            <w:noProof w:val="0"/>
            <w:color w:val="0077CC"/>
            <w:position w:val="0"/>
            <w:sz w:val="20"/>
            <w:u w:val="single"/>
            <w:vertAlign w:val="baseline"/>
          </w:rPr>
          <w:t>, 116 F.3d 1364, 1380-81 (11th Cir. 1997)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Upon review of the Motion and the record in this matter, the Court finds that the First Amended Complaint is an impermissible shotgun pleading and therefore must be dismissed. While provocative, Plaintiff's allegations fail to set forth sufficient factual predicate for the relief requested. Because the Court dismisses the First Amended Complaint in its entirety as a shotgun pleading, the Court declines to address the other substantive arguments raised in the Motion.</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22" w:name="Bookmark_para_9"/>
      <w:bookmarkEnd w:id="22"/>
      <w:r>
        <w:rPr>
          <w:rFonts w:ascii="arial" w:eastAsia="arial" w:hAnsi="arial" w:cs="arial"/>
          <w:b w:val="0"/>
          <w:i w:val="0"/>
          <w:strike w:val="0"/>
          <w:noProof w:val="0"/>
          <w:color w:val="000000"/>
          <w:position w:val="0"/>
          <w:sz w:val="20"/>
          <w:u w:val="none"/>
          <w:vertAlign w:val="baseline"/>
        </w:rPr>
        <w:t xml:space="preserve">The First Amended Complaint is a prohibited shotgun pleading and fails to comply with federal pleading requirements, as set forth in </w:t>
      </w:r>
      <w:hyperlink r:id="rId25" w:history="1">
        <w:r>
          <w:rPr>
            <w:rFonts w:ascii="arial" w:eastAsia="arial" w:hAnsi="arial" w:cs="arial"/>
            <w:b w:val="0"/>
            <w:i/>
            <w:strike w:val="0"/>
            <w:noProof w:val="0"/>
            <w:color w:val="0077CC"/>
            <w:position w:val="0"/>
            <w:sz w:val="20"/>
            <w:u w:val="single"/>
            <w:vertAlign w:val="baseline"/>
          </w:rPr>
          <w:t>Federal Rules of Civil Procedure 8</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10</w: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and "</w:t>
      </w:r>
      <w:hyperlink r:id="rId26" w:history="1">
        <w:r>
          <w:rPr>
            <w:rFonts w:ascii="arial" w:eastAsia="arial" w:hAnsi="arial" w:cs="arial"/>
            <w:b/>
            <w:i/>
            <w:strike w:val="0"/>
            <w:noProof w:val="0"/>
            <w:color w:val="0077CC"/>
            <w:position w:val="0"/>
            <w:sz w:val="20"/>
            <w:u w:val="single"/>
            <w:vertAlign w:val="baseline"/>
          </w:rPr>
          <w:t>Rule 10</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Anderson v. Dist. Bd. of Trustees of Cent. Fla. Cmty. Coll.</w:t>
        </w:r>
      </w:hyperlink>
      <w:hyperlink r:id="rId27" w:history="1">
        <w:r>
          <w:rPr>
            <w:rFonts w:ascii="arial" w:eastAsia="arial" w:hAnsi="arial" w:cs="arial"/>
            <w:b w:val="0"/>
            <w:i/>
            <w:strike w:val="0"/>
            <w:noProof w:val="0"/>
            <w:color w:val="0077CC"/>
            <w:position w:val="0"/>
            <w:sz w:val="20"/>
            <w:u w:val="single"/>
            <w:vertAlign w:val="baseline"/>
          </w:rPr>
          <w:t>, 77 F.3d 364,366 (11th Cir. 1996)</w:t>
        </w:r>
      </w:hyperlink>
      <w:r>
        <w:rPr>
          <w:rFonts w:ascii="arial" w:eastAsia="arial" w:hAnsi="arial" w:cs="arial"/>
          <w:b w:val="0"/>
          <w:i w:val="0"/>
          <w:strike w:val="0"/>
          <w:noProof w:val="0"/>
          <w:color w:val="000000"/>
          <w:position w:val="0"/>
          <w:sz w:val="20"/>
          <w:u w:val="none"/>
          <w:vertAlign w:val="baseline"/>
        </w:rPr>
        <w:t xml:space="preserve">. Relevant to this case, </w:t>
      </w:r>
      <w:hyperlink r:id="rId25" w:history="1">
        <w:r>
          <w:rPr>
            <w:rFonts w:ascii="arial" w:eastAsia="arial" w:hAnsi="arial" w:cs="arial"/>
            <w:b w:val="0"/>
            <w:i/>
            <w:strike w:val="0"/>
            <w:noProof w:val="0"/>
            <w:color w:val="0077CC"/>
            <w:position w:val="0"/>
            <w:sz w:val="20"/>
            <w:u w:val="single"/>
            <w:vertAlign w:val="baseline"/>
          </w:rPr>
          <w:t>Rule 8(a)(2)</w:t>
        </w:r>
      </w:hyperlink>
      <w:r>
        <w:rPr>
          <w:rFonts w:ascii="arial" w:eastAsia="arial" w:hAnsi="arial" w:cs="arial"/>
          <w:b w:val="0"/>
          <w:i w:val="0"/>
          <w:strike w:val="0"/>
          <w:noProof w:val="0"/>
          <w:color w:val="000000"/>
          <w:position w:val="0"/>
          <w:sz w:val="20"/>
          <w:u w:val="none"/>
          <w:vertAlign w:val="baseline"/>
        </w:rPr>
        <w:t xml:space="preserve"> requires litigants to include "a short and plain statement of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claim showing that the pleader is entitled to relief" in a complaint. </w:t>
      </w:r>
      <w:hyperlink r:id="rId25"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Further, a complaint must "state its claims . . . in numbered paragraphs, each limited as far as practicable to a single set of circumstances" pursuant to </w:t>
      </w:r>
      <w:hyperlink r:id="rId26" w:history="1">
        <w:r>
          <w:rPr>
            <w:rFonts w:ascii="arial" w:eastAsia="arial" w:hAnsi="arial" w:cs="arial"/>
            <w:b w:val="0"/>
            <w:i/>
            <w:strike w:val="0"/>
            <w:noProof w:val="0"/>
            <w:color w:val="0077CC"/>
            <w:position w:val="0"/>
            <w:sz w:val="20"/>
            <w:u w:val="single"/>
            <w:vertAlign w:val="baseline"/>
          </w:rPr>
          <w:t>Rule 10(b)</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Fed. R. Civ. P. 10(b)</w:t>
        </w:r>
      </w:hyperlink>
      <w:r>
        <w:rPr>
          <w:rFonts w:ascii="arial" w:eastAsia="arial" w:hAnsi="arial" w:cs="arial"/>
          <w:b w:val="0"/>
          <w:i w:val="0"/>
          <w:strike w:val="0"/>
          <w:noProof w:val="0"/>
          <w:color w:val="000000"/>
          <w:position w:val="0"/>
          <w:sz w:val="20"/>
          <w:u w:val="none"/>
          <w:vertAlign w:val="baseline"/>
        </w:rPr>
        <w:t xml:space="preserve">. The requirement of "a short and plain statement of the claim" allows defending parties to identify the claims against them and answer with responsive pleadings.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Barmapov v. Amuial</w:t>
        </w:r>
      </w:hyperlink>
      <w:hyperlink r:id="rId28" w:history="1">
        <w:r>
          <w:rPr>
            <w:rFonts w:ascii="arial" w:eastAsia="arial" w:hAnsi="arial" w:cs="arial"/>
            <w:b w:val="0"/>
            <w:i/>
            <w:strike w:val="0"/>
            <w:noProof w:val="0"/>
            <w:color w:val="0077CC"/>
            <w:position w:val="0"/>
            <w:sz w:val="20"/>
            <w:u w:val="single"/>
            <w:vertAlign w:val="baseline"/>
          </w:rPr>
          <w:t>, 986 F.3d 1321, 1324 (11th Cir 2021)</w:t>
        </w:r>
      </w:hyperlink>
      <w:r>
        <w:rPr>
          <w:rFonts w:ascii="arial" w:eastAsia="arial" w:hAnsi="arial" w:cs="arial"/>
          <w:b w:val="0"/>
          <w:i w:val="0"/>
          <w:strike w:val="0"/>
          <w:noProof w:val="0"/>
          <w:color w:val="000000"/>
          <w:position w:val="0"/>
          <w:sz w:val="20"/>
          <w:u w:val="none"/>
          <w:vertAlign w:val="baseline"/>
        </w:rPr>
        <w:t xml:space="preserve"> (noting that rules of procedure "require the pleader to present his claims discretely and succinctly, so that his adversary can discern what he is claiming and frame a responsive pleading.") (citing </w:t>
      </w:r>
      <w:hyperlink r:id="rId29" w:history="1">
        <w:r>
          <w:rPr>
            <w:rFonts w:ascii="arial" w:eastAsia="arial" w:hAnsi="arial" w:cs="arial"/>
            <w:b w:val="0"/>
            <w:i/>
            <w:strike w:val="0"/>
            <w:noProof w:val="0"/>
            <w:color w:val="0077CC"/>
            <w:position w:val="0"/>
            <w:sz w:val="20"/>
            <w:u w:val="single"/>
            <w:vertAlign w:val="baseline"/>
          </w:rPr>
          <w:t>Weiland v. Palm Beach Cnty. Sheriff's Off.</w:t>
        </w:r>
      </w:hyperlink>
      <w:hyperlink r:id="rId29" w:history="1">
        <w:r>
          <w:rPr>
            <w:rFonts w:ascii="arial" w:eastAsia="arial" w:hAnsi="arial" w:cs="arial"/>
            <w:b w:val="0"/>
            <w:i/>
            <w:strike w:val="0"/>
            <w:noProof w:val="0"/>
            <w:color w:val="0077CC"/>
            <w:position w:val="0"/>
            <w:sz w:val="20"/>
            <w:u w:val="single"/>
            <w:vertAlign w:val="baseline"/>
          </w:rPr>
          <w:t>, 792 F.3d 1313, 1320 (11th Cir. 2015)</w:t>
        </w:r>
      </w:hyperlink>
      <w:r>
        <w:rPr>
          <w:rFonts w:ascii="arial" w:eastAsia="arial" w:hAnsi="arial" w:cs="arial"/>
          <w:b w:val="0"/>
          <w:i w:val="0"/>
          <w:strike w:val="0"/>
          <w:noProof w:val="0"/>
          <w:color w:val="000000"/>
          <w:position w:val="0"/>
          <w:sz w:val="20"/>
          <w:u w:val="none"/>
          <w:vertAlign w:val="baseline"/>
        </w:rPr>
        <w:t xml:space="preserve"> (citations omitted)).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4" w:name="Bookmark_para_10"/>
      <w:bookmarkEnd w:id="24"/>
      <w:bookmarkStart w:id="25" w:name="Bookmark_I68HF0DT2D6N7B0030000400"/>
      <w:bookmarkEnd w:id="25"/>
      <w:r>
        <w:rPr>
          <w:rFonts w:ascii="arial" w:eastAsia="arial" w:hAnsi="arial" w:cs="arial"/>
          <w:b w:val="0"/>
          <w:i w:val="0"/>
          <w:strike w:val="0"/>
          <w:noProof w:val="0"/>
          <w:color w:val="000000"/>
          <w:position w:val="0"/>
          <w:sz w:val="20"/>
          <w:u w:val="none"/>
          <w:vertAlign w:val="baseline"/>
        </w:rPr>
        <w:t xml:space="preserve">Pleadings in which it is "virtually impossible to know which allegations of fact are intended to support which claim(s) for relief" are disparagingly referred to as "shotgun pleadings." </w:t>
      </w:r>
      <w:bookmarkStart w:id="26" w:name="Bookmark_I68HF0DT2D6N7B0020000400"/>
      <w:bookmarkEnd w:id="26"/>
      <w:hyperlink r:id="rId27" w:history="1">
        <w:r>
          <w:rPr>
            <w:rFonts w:ascii="arial" w:eastAsia="arial" w:hAnsi="arial" w:cs="arial"/>
            <w:b w:val="0"/>
            <w:i/>
            <w:strike w:val="0"/>
            <w:noProof w:val="0"/>
            <w:color w:val="0077CC"/>
            <w:position w:val="0"/>
            <w:sz w:val="20"/>
            <w:u w:val="single"/>
            <w:vertAlign w:val="baseline"/>
          </w:rPr>
          <w:t>Anderson v. Dist. Bd. of Trustees of Cent. Fla. Cnty. Coll.</w:t>
        </w:r>
      </w:hyperlink>
      <w:hyperlink r:id="rId27" w:history="1">
        <w:r>
          <w:rPr>
            <w:rFonts w:ascii="arial" w:eastAsia="arial" w:hAnsi="arial" w:cs="arial"/>
            <w:b w:val="0"/>
            <w:i/>
            <w:strike w:val="0"/>
            <w:noProof w:val="0"/>
            <w:color w:val="0077CC"/>
            <w:position w:val="0"/>
            <w:sz w:val="20"/>
            <w:u w:val="single"/>
            <w:vertAlign w:val="baseline"/>
          </w:rPr>
          <w:t>, 77 F.3d 364, 366 (11th Cir. 1996)</w:t>
        </w:r>
      </w:hyperlink>
      <w:r>
        <w:rPr>
          <w:rFonts w:ascii="arial" w:eastAsia="arial" w:hAnsi="arial" w:cs="arial"/>
          <w:b w:val="0"/>
          <w:i w:val="0"/>
          <w:strike w:val="0"/>
          <w:noProof w:val="0"/>
          <w:color w:val="000000"/>
          <w:position w:val="0"/>
          <w:sz w:val="20"/>
          <w:u w:val="none"/>
          <w:vertAlign w:val="baseline"/>
        </w:rPr>
        <w:t xml:space="preserve">; </w:t>
      </w:r>
      <w:bookmarkStart w:id="27" w:name="Bookmark_I6980HY22N1RK80030000400"/>
      <w:bookmarkEnd w:id="27"/>
      <w:hyperlink r:id="rId30" w:history="1">
        <w:r>
          <w:rPr>
            <w:rFonts w:ascii="arial" w:eastAsia="arial" w:hAnsi="arial" w:cs="arial"/>
            <w:b w:val="0"/>
            <w:i/>
            <w:strike w:val="0"/>
            <w:noProof w:val="0"/>
            <w:color w:val="0077CC"/>
            <w:position w:val="0"/>
            <w:sz w:val="20"/>
            <w:u w:val="single"/>
            <w:vertAlign w:val="baseline"/>
          </w:rPr>
          <w:t>P&amp;M Corp. Fin., LLC v. L. Offs. of David J. Stern, P.A.</w:t>
        </w:r>
      </w:hyperlink>
      <w:hyperlink r:id="rId30" w:history="1">
        <w:r>
          <w:rPr>
            <w:rFonts w:ascii="arial" w:eastAsia="arial" w:hAnsi="arial" w:cs="arial"/>
            <w:b w:val="0"/>
            <w:i/>
            <w:strike w:val="0"/>
            <w:noProof w:val="0"/>
            <w:color w:val="0077CC"/>
            <w:position w:val="0"/>
            <w:sz w:val="20"/>
            <w:u w:val="single"/>
            <w:vertAlign w:val="baseline"/>
          </w:rPr>
          <w:t>, 2016 U.S. Dist. LEXIS 34028, 2016 WL 1045826, at *2 (S.D. Fla. Mar. 16, 2016)</w:t>
        </w:r>
      </w:hyperlink>
      <w:r>
        <w:rPr>
          <w:rFonts w:ascii="arial" w:eastAsia="arial" w:hAnsi="arial" w:cs="arial"/>
          <w:b w:val="0"/>
          <w:i w:val="0"/>
          <w:strike w:val="0"/>
          <w:noProof w:val="0"/>
          <w:color w:val="000000"/>
          <w:position w:val="0"/>
          <w:sz w:val="20"/>
          <w:u w:val="none"/>
          <w:vertAlign w:val="baseline"/>
        </w:rPr>
        <w:t xml:space="preserve"> (shotgun pleadings force a court "to sift through the facts presented and decide for itself which are material to the particular claims asserted."). Such pleadings may be dismissed pursuant to </w:t>
      </w:r>
      <w:hyperlink r:id="rId25" w:history="1">
        <w:r>
          <w:rPr>
            <w:rFonts w:ascii="arial" w:eastAsia="arial" w:hAnsi="arial" w:cs="arial"/>
            <w:b w:val="0"/>
            <w:i/>
            <w:strike w:val="0"/>
            <w:noProof w:val="0"/>
            <w:color w:val="0077CC"/>
            <w:position w:val="0"/>
            <w:sz w:val="20"/>
            <w:u w:val="single"/>
            <w:vertAlign w:val="baseline"/>
          </w:rPr>
          <w:t>Rules 8(a)</w:t>
        </w:r>
      </w:hyperlink>
      <w:r>
        <w:rPr>
          <w:rFonts w:ascii="arial" w:eastAsia="arial" w:hAnsi="arial" w:cs="arial"/>
          <w:b w:val="0"/>
          <w:i w:val="0"/>
          <w:strike w:val="0"/>
          <w:noProof w:val="0"/>
          <w:color w:val="000000"/>
          <w:position w:val="0"/>
          <w:sz w:val="20"/>
          <w:u w:val="none"/>
          <w:vertAlign w:val="baseline"/>
        </w:rPr>
        <w:t xml:space="preserve"> or </w:t>
      </w:r>
      <w:hyperlink r:id="rId26" w:history="1">
        <w:r>
          <w:rPr>
            <w:rFonts w:ascii="arial" w:eastAsia="arial" w:hAnsi="arial" w:cs="arial"/>
            <w:b w:val="0"/>
            <w:i/>
            <w:strike w:val="0"/>
            <w:noProof w:val="0"/>
            <w:color w:val="0077CC"/>
            <w:position w:val="0"/>
            <w:sz w:val="20"/>
            <w:u w:val="single"/>
            <w:vertAlign w:val="baseline"/>
          </w:rPr>
          <w:t>10(b)</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Weiland</w:t>
        </w:r>
      </w:hyperlink>
      <w:hyperlink r:id="rId29" w:history="1">
        <w:r>
          <w:rPr>
            <w:rFonts w:ascii="arial" w:eastAsia="arial" w:hAnsi="arial" w:cs="arial"/>
            <w:b w:val="0"/>
            <w:i/>
            <w:strike w:val="0"/>
            <w:noProof w:val="0"/>
            <w:color w:val="0077CC"/>
            <w:position w:val="0"/>
            <w:sz w:val="20"/>
            <w:u w:val="single"/>
            <w:vertAlign w:val="baseline"/>
          </w:rPr>
          <w:t>, 792 F.3d at 1325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The Eleventh Circuit recognizes four (4) types of shotgun pleadings: (1) "a complaint containing multiple counts where each count adopts the allegations of all preceding counts, causing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each successive count to carry all that came before and the last count to be a combination of the entire complaint"; (2) a complaint that is "replete with conclusory, vague, and immaterial facts not obviously connected to any particular cause of action"; (3) a complaint "that commits the sin of not separating into a different count each cause of action or claim for relief"; and (4) a complaint which asserts "multiple claims against multiple defendants without specifying which of the defendants are responsible for which acts or omissions, or which of the defendants the claim is brought against."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1321-23</w:t>
        </w:r>
      </w:hyperlink>
      <w:r>
        <w:rPr>
          <w:rFonts w:ascii="arial" w:eastAsia="arial" w:hAnsi="arial" w:cs="arial"/>
          <w:b w:val="0"/>
          <w:i w:val="0"/>
          <w:strike w:val="0"/>
          <w:noProof w:val="0"/>
          <w:color w:val="000000"/>
          <w:position w:val="0"/>
          <w:sz w:val="20"/>
          <w:u w:val="none"/>
          <w:vertAlign w:val="baseline"/>
        </w:rPr>
        <w:t xml:space="preserve">. "The unifying characteristic of all types of shotgun pleadings is that they fail to one degree or another, and in one way or another, to give the defendants adequate notice of the claims against them and the grounds upon which each claim rests."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1323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 xml:space="preserve">The First Amended Complaint constitutes at least two (2) of the four (4) types of impermissible shotgun pleadings recognized by the Eleventh Circuit. </w:t>
      </w:r>
      <w:hyperlink r:id="rId29" w:history="1">
        <w:r>
          <w:rPr>
            <w:rFonts w:ascii="arial" w:eastAsia="arial" w:hAnsi="arial" w:cs="arial"/>
            <w:b w:val="0"/>
            <w:i/>
            <w:strike w:val="0"/>
            <w:noProof w:val="0"/>
            <w:color w:val="0077CC"/>
            <w:position w:val="0"/>
            <w:sz w:val="20"/>
            <w:u w:val="single"/>
            <w:vertAlign w:val="baseline"/>
          </w:rPr>
          <w:t>Weiland</w:t>
        </w:r>
      </w:hyperlink>
      <w:hyperlink r:id="rId29" w:history="1">
        <w:r>
          <w:rPr>
            <w:rFonts w:ascii="arial" w:eastAsia="arial" w:hAnsi="arial" w:cs="arial"/>
            <w:b w:val="0"/>
            <w:i/>
            <w:strike w:val="0"/>
            <w:noProof w:val="0"/>
            <w:color w:val="0077CC"/>
            <w:position w:val="0"/>
            <w:sz w:val="20"/>
            <w:u w:val="single"/>
            <w:vertAlign w:val="baseline"/>
          </w:rPr>
          <w:t>, 792 F.3d at 1321-23</w:t>
        </w:r>
      </w:hyperlink>
      <w:r>
        <w:rPr>
          <w:rFonts w:ascii="arial" w:eastAsia="arial" w:hAnsi="arial" w:cs="arial"/>
          <w:b w:val="0"/>
          <w:i w:val="0"/>
          <w:strike w:val="0"/>
          <w:noProof w:val="0"/>
          <w:color w:val="000000"/>
          <w:position w:val="0"/>
          <w:sz w:val="20"/>
          <w:u w:val="none"/>
          <w:vertAlign w:val="baseline"/>
        </w:rPr>
        <w:t>. First, the pleading contains "counts where each count adopts the allegations of all preceding counts, causing each successive count to carry all that came before and the last count to be a combination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the entire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 8 at 24, 29-31). Next, the First Amended Complaint commits the sin of asserting "multiple claims against multiple defendants without specifying which of the defendants are responsible for which acts or omissions, or which of the defendants the claim is brought against." </w:t>
      </w:r>
      <w:hyperlink r:id="rId29" w:history="1">
        <w:r>
          <w:rPr>
            <w:rFonts w:ascii="arial" w:eastAsia="arial" w:hAnsi="arial" w:cs="arial"/>
            <w:b w:val="0"/>
            <w:i/>
            <w:strike w:val="0"/>
            <w:noProof w:val="0"/>
            <w:color w:val="0077CC"/>
            <w:position w:val="0"/>
            <w:sz w:val="20"/>
            <w:u w:val="single"/>
            <w:vertAlign w:val="baseline"/>
          </w:rPr>
          <w:t>Weiland</w:t>
        </w:r>
      </w:hyperlink>
      <w:hyperlink r:id="rId29" w:history="1">
        <w:r>
          <w:rPr>
            <w:rFonts w:ascii="arial" w:eastAsia="arial" w:hAnsi="arial" w:cs="arial"/>
            <w:b w:val="0"/>
            <w:i/>
            <w:strike w:val="0"/>
            <w:noProof w:val="0"/>
            <w:color w:val="0077CC"/>
            <w:position w:val="0"/>
            <w:sz w:val="20"/>
            <w:u w:val="single"/>
            <w:vertAlign w:val="baseline"/>
          </w:rPr>
          <w:t>, 792 F.3d at 1321-23</w:t>
        </w:r>
      </w:hyperlink>
      <w:r>
        <w:rPr>
          <w:rFonts w:ascii="arial" w:eastAsia="arial" w:hAnsi="arial" w:cs="arial"/>
          <w:b w:val="0"/>
          <w:i w:val="0"/>
          <w:strike w:val="0"/>
          <w:noProof w:val="0"/>
          <w:color w:val="000000"/>
          <w:position w:val="0"/>
          <w:sz w:val="20"/>
          <w:u w:val="none"/>
          <w:vertAlign w:val="baseline"/>
        </w:rPr>
        <w:t>; (DE 8 at 24-31.) Although there are instances where Plaintiff alleges broad actions taken by a single Defendant in an expansive period—"[f]or example, Héctor [O. Castellón] testified that he traveled between Miami and Venezuela frequently and met with Mario Pataro in Panama as recently as 2019"—Plaintiff does not differentiate between Defendants in any claim.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DE 8 at 27,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24-31.) Consequently, the First Amended Complaint must be dismissed as an impermissible shotgun pleading. Plaintiff may cure these deficiencies through the filing of a second amended complaint that complies with the requirements set forth in this Order. However, Plaintiff is cautioned that failure to comply with the standards set forth in </w:t>
      </w:r>
      <w:hyperlink r:id="rId25" w:history="1">
        <w:r>
          <w:rPr>
            <w:rFonts w:ascii="arial" w:eastAsia="arial" w:hAnsi="arial" w:cs="arial"/>
            <w:b w:val="0"/>
            <w:i/>
            <w:strike w:val="0"/>
            <w:noProof w:val="0"/>
            <w:color w:val="0077CC"/>
            <w:position w:val="0"/>
            <w:sz w:val="20"/>
            <w:u w:val="single"/>
            <w:vertAlign w:val="baseline"/>
          </w:rPr>
          <w:t>Rule 8(a)</w:t>
        </w:r>
      </w:hyperlink>
      <w:r>
        <w:rPr>
          <w:rFonts w:ascii="arial" w:eastAsia="arial" w:hAnsi="arial" w:cs="arial"/>
          <w:b w:val="0"/>
          <w:i w:val="0"/>
          <w:strike w:val="0"/>
          <w:noProof w:val="0"/>
          <w:color w:val="000000"/>
          <w:position w:val="0"/>
          <w:sz w:val="20"/>
          <w:u w:val="none"/>
          <w:vertAlign w:val="baseline"/>
        </w:rPr>
        <w:t xml:space="preserve"> and </w:t>
      </w:r>
      <w:hyperlink r:id="rId26" w:history="1">
        <w:r>
          <w:rPr>
            <w:rFonts w:ascii="arial" w:eastAsia="arial" w:hAnsi="arial" w:cs="arial"/>
            <w:b w:val="0"/>
            <w:i/>
            <w:strike w:val="0"/>
            <w:noProof w:val="0"/>
            <w:color w:val="0077CC"/>
            <w:position w:val="0"/>
            <w:sz w:val="20"/>
            <w:u w:val="single"/>
            <w:vertAlign w:val="baseline"/>
          </w:rPr>
          <w:t>Rule 10(b)</w:t>
        </w:r>
      </w:hyperlink>
      <w:r>
        <w:rPr>
          <w:rFonts w:ascii="arial" w:eastAsia="arial" w:hAnsi="arial" w:cs="arial"/>
          <w:b w:val="0"/>
          <w:i w:val="0"/>
          <w:strike w:val="0"/>
          <w:noProof w:val="0"/>
          <w:color w:val="000000"/>
          <w:position w:val="0"/>
          <w:sz w:val="20"/>
          <w:u w:val="none"/>
          <w:vertAlign w:val="baseline"/>
        </w:rPr>
        <w:t xml:space="preserve"> may result in dismissal of this action </w:t>
      </w:r>
      <w:r>
        <w:rPr>
          <w:rFonts w:ascii="arial" w:eastAsia="arial" w:hAnsi="arial" w:cs="arial"/>
          <w:b w:val="0"/>
          <w:i/>
          <w:strike w:val="0"/>
          <w:noProof w:val="0"/>
          <w:color w:val="000000"/>
          <w:position w:val="0"/>
          <w:sz w:val="20"/>
          <w:u w:val="none"/>
          <w:vertAlign w:val="baseline"/>
        </w:rPr>
        <w:t>with prejudice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 xml:space="preserve">For the reasons discussed above,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40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1. Defendants' Motion (DE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13)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 xml:space="preserve">2. The First Amended Complaint (DE 8)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3. Plaintiff may file a "</w:t>
      </w:r>
      <w:r>
        <w:rPr>
          <w:rFonts w:ascii="arial" w:eastAsia="arial" w:hAnsi="arial" w:cs="arial"/>
          <w:b/>
          <w:i w:val="0"/>
          <w:strike w:val="0"/>
          <w:noProof w:val="0"/>
          <w:color w:val="000000"/>
          <w:position w:val="0"/>
          <w:sz w:val="20"/>
          <w:u w:val="none"/>
          <w:vertAlign w:val="baseline"/>
        </w:rPr>
        <w:t>Second Amended Complaint</w:t>
      </w:r>
      <w:r>
        <w:rPr>
          <w:rFonts w:ascii="arial" w:eastAsia="arial" w:hAnsi="arial" w:cs="arial"/>
          <w:b w:val="0"/>
          <w:i w:val="0"/>
          <w:strike w:val="0"/>
          <w:noProof w:val="0"/>
          <w:color w:val="000000"/>
          <w:position w:val="0"/>
          <w:sz w:val="20"/>
          <w:u w:val="none"/>
          <w:vertAlign w:val="baseline"/>
        </w:rPr>
        <w:t xml:space="preserve">" that remedies the defects identified by this Order in the First Amended Complaint on or before </w:t>
      </w:r>
      <w:r>
        <w:rPr>
          <w:rFonts w:ascii="arial" w:eastAsia="arial" w:hAnsi="arial" w:cs="arial"/>
          <w:b/>
          <w:i w:val="0"/>
          <w:strike w:val="0"/>
          <w:noProof w:val="0"/>
          <w:color w:val="000000"/>
          <w:position w:val="0"/>
          <w:sz w:val="20"/>
          <w:u w:val="single"/>
          <w:vertAlign w:val="baseline"/>
        </w:rPr>
        <w:t>APRIL 7, 2023</w:t>
      </w:r>
      <w:r>
        <w:rPr>
          <w:rFonts w:ascii="arial" w:eastAsia="arial" w:hAnsi="arial" w:cs="arial"/>
          <w:b w:val="0"/>
          <w:i w:val="0"/>
          <w:strike w:val="0"/>
          <w:noProof w:val="0"/>
          <w:color w:val="000000"/>
          <w:position w:val="0"/>
          <w:sz w:val="20"/>
          <w:u w:val="none"/>
          <w:vertAlign w:val="baseline"/>
        </w:rPr>
        <w:t xml:space="preserve">. Failure to file a Second Amended Complaint that complies with this Order may result in dismissal of this matter </w:t>
      </w:r>
      <w:r>
        <w:rPr>
          <w:rFonts w:ascii="arial" w:eastAsia="arial" w:hAnsi="arial" w:cs="arial"/>
          <w:b w:val="0"/>
          <w:i/>
          <w:strike w:val="0"/>
          <w:noProof w:val="0"/>
          <w:color w:val="000000"/>
          <w:position w:val="0"/>
          <w:sz w:val="20"/>
          <w:u w:val="none"/>
          <w:vertAlign w:val="baseline"/>
        </w:rPr>
        <w:t>with prejudice</w:t>
      </w:r>
      <w:r>
        <w:rPr>
          <w:rFonts w:ascii="arial" w:eastAsia="arial" w:hAnsi="arial" w:cs="arial"/>
          <w:b w:val="0"/>
          <w:i w:val="0"/>
          <w:strike w:val="0"/>
          <w:noProof w:val="0"/>
          <w:color w:val="000000"/>
          <w:position w:val="0"/>
          <w:sz w:val="20"/>
          <w:u w:val="none"/>
          <w:vertAlign w:val="baseline"/>
        </w:rPr>
        <w:t xml:space="preserve"> and closure of this case.</w:t>
      </w:r>
    </w:p>
    <w:p>
      <w:pPr>
        <w:keepNext w:val="0"/>
        <w:spacing w:before="200" w:after="0" w:line="260" w:lineRule="atLeast"/>
        <w:ind w:left="0" w:right="0" w:firstLine="0"/>
        <w:jc w:val="both"/>
      </w:pPr>
      <w:bookmarkStart w:id="34" w:name="Bookmark_para_17"/>
      <w:bookmarkEnd w:id="34"/>
      <w:r>
        <w:rPr>
          <w:rFonts w:ascii="arial" w:eastAsia="arial" w:hAnsi="arial" w:cs="arial"/>
          <w:b/>
          <w:i w:val="0"/>
          <w:strike w:val="0"/>
          <w:noProof w:val="0"/>
          <w:color w:val="000000"/>
          <w:position w:val="0"/>
          <w:sz w:val="20"/>
          <w:u w:val="none"/>
          <w:vertAlign w:val="baseline"/>
        </w:rPr>
        <w:t>DONE AND ORDERED</w:t>
      </w:r>
      <w:r>
        <w:rPr>
          <w:rFonts w:ascii="arial" w:eastAsia="arial" w:hAnsi="arial" w:cs="arial"/>
          <w:b w:val="0"/>
          <w:i w:val="0"/>
          <w:strike w:val="0"/>
          <w:noProof w:val="0"/>
          <w:color w:val="000000"/>
          <w:position w:val="0"/>
          <w:sz w:val="20"/>
          <w:u w:val="none"/>
          <w:vertAlign w:val="baseline"/>
        </w:rPr>
        <w:t xml:space="preserve"> in Chambers in Miami, Florida, this 24th day of March, 2023.</w:t>
      </w:r>
    </w:p>
    <w:p>
      <w:pPr>
        <w:keepNext w:val="0"/>
        <w:spacing w:before="20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/s/ Kathleen M. Williams</w:t>
      </w:r>
    </w:p>
    <w:p>
      <w:pPr>
        <w:keepNext w:val="0"/>
        <w:spacing w:before="200" w:after="0" w:line="260" w:lineRule="atLeast"/>
        <w:ind w:left="0" w:right="0" w:firstLine="0"/>
        <w:jc w:val="both"/>
      </w:pPr>
      <w:bookmarkStart w:id="36" w:name="Bookmark_para_19"/>
      <w:bookmarkEnd w:id="36"/>
      <w:r>
        <w:rPr>
          <w:rFonts w:ascii="arial" w:eastAsia="arial" w:hAnsi="arial" w:cs="arial"/>
          <w:b w:val="0"/>
          <w:i w:val="0"/>
          <w:strike w:val="0"/>
          <w:noProof w:val="0"/>
          <w:color w:val="000000"/>
          <w:position w:val="0"/>
          <w:sz w:val="20"/>
          <w:u w:val="none"/>
          <w:vertAlign w:val="baseline"/>
        </w:rPr>
        <w:t>KATHLEEN M. WILLIAMS</w:t>
      </w:r>
    </w:p>
    <w:p>
      <w:pPr>
        <w:keepNext w:val="0"/>
        <w:spacing w:before="200" w:after="0" w:line="260" w:lineRule="atLeast"/>
        <w:ind w:left="0" w:right="0" w:firstLine="0"/>
        <w:jc w:val="both"/>
      </w:pPr>
      <w:bookmarkStart w:id="37" w:name="Bookmark_para_20"/>
      <w:bookmarkEnd w:id="37"/>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7" w:name="Bookmark_fnpara_1"/>
      <w:bookmarkEnd w:id="17"/>
      <w:r>
        <w:rPr>
          <w:rFonts w:ascii="arial" w:eastAsia="arial" w:hAnsi="arial" w:cs="arial"/>
          <w:b w:val="0"/>
          <w:i w:val="0"/>
          <w:strike w:val="0"/>
          <w:noProof w:val="0"/>
          <w:color w:val="000000"/>
          <w:position w:val="0"/>
          <w:sz w:val="18"/>
          <w:u w:val="none"/>
          <w:vertAlign w:val="baseline"/>
        </w:rPr>
        <w:t xml:space="preserve">Although the Court dismisses the First Amended Complaint as a shotgun pleading, a preliminary peek at the merits of Defendants' arguments indicates that Plaintiff has likely failed to state a claim as to any of the RICO Counts, and has fallen well short of the heightened </w:t>
      </w:r>
      <w:hyperlink r:id="rId1" w:history="1">
        <w:r>
          <w:rPr>
            <w:rFonts w:ascii="arial" w:eastAsia="arial" w:hAnsi="arial" w:cs="arial"/>
            <w:b w:val="0"/>
            <w:i/>
            <w:strike w:val="0"/>
            <w:noProof w:val="0"/>
            <w:color w:val="0077CC"/>
            <w:position w:val="0"/>
            <w:sz w:val="18"/>
            <w:u w:val="single"/>
            <w:vertAlign w:val="baseline"/>
          </w:rPr>
          <w:t>Rule 9(b)</w:t>
        </w:r>
      </w:hyperlink>
      <w:r>
        <w:rPr>
          <w:rFonts w:ascii="arial" w:eastAsia="arial" w:hAnsi="arial" w:cs="arial"/>
          <w:b w:val="0"/>
          <w:i w:val="0"/>
          <w:strike w:val="0"/>
          <w:noProof w:val="0"/>
          <w:color w:val="000000"/>
          <w:position w:val="0"/>
          <w:sz w:val="18"/>
          <w:u w:val="none"/>
          <w:vertAlign w:val="baseline"/>
        </w:rPr>
        <w:t xml:space="preserve"> pleading standard as to Counts IV and V.</w:t>
      </w:r>
    </w:p>
    <w:p>
      <w:pPr>
        <w:keepNext w:val="0"/>
        <w:spacing w:before="240" w:after="0" w:line="240" w:lineRule="atLeast"/>
        <w:ind w:left="0" w:right="0" w:firstLine="0"/>
        <w:jc w:val="both"/>
      </w:pPr>
      <w:bookmarkStart w:id="18" w:name="Bookmark_fnpara_2"/>
      <w:bookmarkEnd w:id="18"/>
      <w:r>
        <w:rPr>
          <w:rFonts w:ascii="arial" w:eastAsia="arial" w:hAnsi="arial" w:cs="arial"/>
          <w:b w:val="0"/>
          <w:i w:val="0"/>
          <w:strike w:val="0"/>
          <w:noProof w:val="0"/>
          <w:color w:val="000000"/>
          <w:position w:val="0"/>
          <w:sz w:val="18"/>
          <w:u w:val="none"/>
          <w:vertAlign w:val="baseline"/>
        </w:rPr>
        <w:t xml:space="preserve">To sufficiently plead a RICO claim, a plaintiff must plead (1) that the defendant (2) through the commission of two or more acts (3) constituting a "pattern" (4) of "racketeering activity" (5) directly or indirectly invests in, or maintains an interest in, or participates in (6) an "enterprise" (7) the activities of which affect interstate or foreign commerce. </w:t>
      </w:r>
      <w:hyperlink r:id="rId2" w:history="1">
        <w:r>
          <w:rPr>
            <w:rFonts w:ascii="arial" w:eastAsia="arial" w:hAnsi="arial" w:cs="arial"/>
            <w:b w:val="0"/>
            <w:i/>
            <w:strike w:val="0"/>
            <w:noProof w:val="0"/>
            <w:color w:val="0077CC"/>
            <w:position w:val="0"/>
            <w:sz w:val="18"/>
            <w:u w:val="single"/>
            <w:vertAlign w:val="baseline"/>
          </w:rPr>
          <w:t>McCulloch v. PNC Bank Inc.</w:t>
        </w:r>
      </w:hyperlink>
      <w:hyperlink r:id="rId2" w:history="1">
        <w:r>
          <w:rPr>
            <w:rFonts w:ascii="arial" w:eastAsia="arial" w:hAnsi="arial" w:cs="arial"/>
            <w:b w:val="0"/>
            <w:i/>
            <w:strike w:val="0"/>
            <w:noProof w:val="0"/>
            <w:color w:val="0077CC"/>
            <w:position w:val="0"/>
            <w:sz w:val="18"/>
            <w:u w:val="single"/>
            <w:vertAlign w:val="baseline"/>
          </w:rPr>
          <w:t>, 298 F.3d 1217, 1225 (11th Cir. 2002)</w:t>
        </w:r>
      </w:hyperlink>
      <w:r>
        <w:rPr>
          <w:rFonts w:ascii="arial" w:eastAsia="arial" w:hAnsi="arial" w:cs="arial"/>
          <w:b w:val="0"/>
          <w:i w:val="0"/>
          <w:strike w:val="0"/>
          <w:noProof w:val="0"/>
          <w:color w:val="000000"/>
          <w:position w:val="0"/>
          <w:sz w:val="18"/>
          <w:u w:val="none"/>
          <w:vertAlign w:val="baseline"/>
        </w:rPr>
        <w:t xml:space="preserve"> (citing </w:t>
      </w:r>
      <w:hyperlink r:id="rId3" w:history="1">
        <w:r>
          <w:rPr>
            <w:rFonts w:ascii="arial" w:eastAsia="arial" w:hAnsi="arial" w:cs="arial"/>
            <w:b w:val="0"/>
            <w:i/>
            <w:strike w:val="0"/>
            <w:noProof w:val="0"/>
            <w:color w:val="0077CC"/>
            <w:position w:val="0"/>
            <w:sz w:val="18"/>
            <w:u w:val="single"/>
            <w:vertAlign w:val="baseline"/>
          </w:rPr>
          <w:t>§§ 1962(a)-(c)</w:t>
        </w:r>
      </w:hyperlink>
      <w:r>
        <w:rPr>
          <w:rFonts w:ascii="arial" w:eastAsia="arial" w:hAnsi="arial" w:cs="arial"/>
          <w:b w:val="0"/>
          <w:i w:val="0"/>
          <w:strike w:val="0"/>
          <w:noProof w:val="0"/>
          <w:color w:val="000000"/>
          <w:position w:val="0"/>
          <w:sz w:val="18"/>
          <w:u w:val="none"/>
          <w:vertAlign w:val="baseline"/>
        </w:rPr>
        <w:t xml:space="preserve">). Moreover, because civil RICO actions sound in fraud, a plaintiff must offer heightened specificity in the facts supporting her claim. </w:t>
      </w:r>
      <w:hyperlink r:id="rId4" w:history="1">
        <w:r>
          <w:rPr>
            <w:rFonts w:ascii="arial" w:eastAsia="arial" w:hAnsi="arial" w:cs="arial"/>
            <w:b w:val="0"/>
            <w:i/>
            <w:strike w:val="0"/>
            <w:noProof w:val="0"/>
            <w:color w:val="0077CC"/>
            <w:position w:val="0"/>
            <w:sz w:val="18"/>
            <w:u w:val="single"/>
            <w:vertAlign w:val="baseline"/>
          </w:rPr>
          <w:t>Ambrosia Coal</w:t>
        </w:r>
      </w:hyperlink>
      <w:hyperlink r:id="rId4" w:history="1">
        <w:r>
          <w:rPr>
            <w:rFonts w:ascii="arial" w:eastAsia="arial" w:hAnsi="arial" w:cs="arial"/>
            <w:b w:val="0"/>
            <w:i/>
            <w:strike w:val="0"/>
            <w:noProof w:val="0"/>
            <w:color w:val="0077CC"/>
            <w:position w:val="0"/>
            <w:sz w:val="18"/>
            <w:u w:val="single"/>
            <w:vertAlign w:val="baseline"/>
          </w:rPr>
          <w:t>, 482 F.3d at 1316-17</w:t>
        </w:r>
      </w:hyperlink>
      <w:r>
        <w:rPr>
          <w:rFonts w:ascii="arial" w:eastAsia="arial" w:hAnsi="arial" w:cs="arial"/>
          <w:b w:val="0"/>
          <w:i w:val="0"/>
          <w:strike w:val="0"/>
          <w:noProof w:val="0"/>
          <w:color w:val="000000"/>
          <w:position w:val="0"/>
          <w:sz w:val="18"/>
          <w:u w:val="none"/>
          <w:vertAlign w:val="baseline"/>
        </w:rPr>
        <w:t xml:space="preserve"> (citing </w:t>
      </w:r>
      <w:hyperlink r:id="rId5" w:history="1">
        <w:r>
          <w:rPr>
            <w:rFonts w:ascii="arial" w:eastAsia="arial" w:hAnsi="arial" w:cs="arial"/>
            <w:b w:val="0"/>
            <w:i/>
            <w:strike w:val="0"/>
            <w:noProof w:val="0"/>
            <w:color w:val="0077CC"/>
            <w:position w:val="0"/>
            <w:sz w:val="18"/>
            <w:u w:val="single"/>
            <w:vertAlign w:val="baseline"/>
          </w:rPr>
          <w:t>Brooks</w:t>
        </w:r>
      </w:hyperlink>
      <w:hyperlink r:id="rId5" w:history="1">
        <w:r>
          <w:rPr>
            <w:rFonts w:ascii="arial" w:eastAsia="arial" w:hAnsi="arial" w:cs="arial"/>
            <w:b w:val="0"/>
            <w:i/>
            <w:strike w:val="0"/>
            <w:noProof w:val="0"/>
            <w:color w:val="0077CC"/>
            <w:position w:val="0"/>
            <w:sz w:val="18"/>
            <w:u w:val="single"/>
            <w:vertAlign w:val="baseline"/>
          </w:rPr>
          <w:t>, 116 F.3d at 1380-81</w:t>
        </w:r>
      </w:hyperlink>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Leon v. Cont'l AG</w:t>
        </w:r>
      </w:hyperlink>
      <w:hyperlink r:id="rId6" w:history="1">
        <w:r>
          <w:rPr>
            <w:rFonts w:ascii="arial" w:eastAsia="arial" w:hAnsi="arial" w:cs="arial"/>
            <w:b w:val="0"/>
            <w:i/>
            <w:strike w:val="0"/>
            <w:noProof w:val="0"/>
            <w:color w:val="0077CC"/>
            <w:position w:val="0"/>
            <w:sz w:val="18"/>
            <w:u w:val="single"/>
            <w:vertAlign w:val="baseline"/>
          </w:rPr>
          <w:t>, 301 F. Supp. 3d 1203, 1234 (S.D. Fla. 2017)</w:t>
        </w:r>
      </w:hyperlink>
      <w:r>
        <w:rPr>
          <w:rFonts w:ascii="arial" w:eastAsia="arial" w:hAnsi="arial" w:cs="arial"/>
          <w:b w:val="0"/>
          <w:i w:val="0"/>
          <w:strike w:val="0"/>
          <w:noProof w:val="0"/>
          <w:color w:val="000000"/>
          <w:position w:val="0"/>
          <w:sz w:val="18"/>
          <w:u w:val="none"/>
          <w:vertAlign w:val="baseline"/>
        </w:rPr>
        <w:t xml:space="preserve">. The Eleventh Circuit has held that a plaintiff's "fail[ure] to plead its civil RICO claims against each defendant with the required level of specificity" justifies dismissal. </w:t>
      </w:r>
      <w:hyperlink r:id="rId4" w:history="1">
        <w:r>
          <w:rPr>
            <w:rFonts w:ascii="arial" w:eastAsia="arial" w:hAnsi="arial" w:cs="arial"/>
            <w:b w:val="0"/>
            <w:i/>
            <w:strike w:val="0"/>
            <w:noProof w:val="0"/>
            <w:color w:val="0077CC"/>
            <w:position w:val="0"/>
            <w:sz w:val="18"/>
            <w:u w:val="single"/>
            <w:vertAlign w:val="baseline"/>
          </w:rPr>
          <w:t>Ambrosia Coal</w:t>
        </w:r>
      </w:hyperlink>
      <w:hyperlink r:id="rId4" w:history="1">
        <w:r>
          <w:rPr>
            <w:rFonts w:ascii="arial" w:eastAsia="arial" w:hAnsi="arial" w:cs="arial"/>
            <w:b w:val="0"/>
            <w:i/>
            <w:strike w:val="0"/>
            <w:noProof w:val="0"/>
            <w:color w:val="0077CC"/>
            <w:position w:val="0"/>
            <w:sz w:val="18"/>
            <w:u w:val="single"/>
            <w:vertAlign w:val="baseline"/>
          </w:rPr>
          <w:t>, 482 F.3d at 1317</w:t>
        </w:r>
      </w:hyperlink>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Brooks</w:t>
        </w:r>
      </w:hyperlink>
      <w:hyperlink r:id="rId5" w:history="1">
        <w:r>
          <w:rPr>
            <w:rFonts w:ascii="arial" w:eastAsia="arial" w:hAnsi="arial" w:cs="arial"/>
            <w:b w:val="0"/>
            <w:i/>
            <w:strike w:val="0"/>
            <w:noProof w:val="0"/>
            <w:color w:val="0077CC"/>
            <w:position w:val="0"/>
            <w:sz w:val="18"/>
            <w:u w:val="single"/>
            <w:vertAlign w:val="baseline"/>
          </w:rPr>
          <w:t>, 116 F.3d at 1381</w:t>
        </w:r>
      </w:hyperlink>
      <w:r>
        <w:rPr>
          <w:rFonts w:ascii="arial" w:eastAsia="arial" w:hAnsi="arial" w:cs="arial"/>
          <w:b w:val="0"/>
          <w:i w:val="0"/>
          <w:strike w:val="0"/>
          <w:noProof w:val="0"/>
          <w:color w:val="000000"/>
          <w:position w:val="0"/>
          <w:sz w:val="18"/>
          <w:u w:val="none"/>
          <w:vertAlign w:val="baseline"/>
        </w:rPr>
        <w:t xml:space="preserve"> (affirming the district court's dismissal of civil RICO claims pursuant to </w:t>
      </w:r>
      <w:hyperlink r:id="rId1" w:history="1">
        <w:r>
          <w:rPr>
            <w:rFonts w:ascii="arial" w:eastAsia="arial" w:hAnsi="arial" w:cs="arial"/>
            <w:b w:val="0"/>
            <w:i/>
            <w:strike w:val="0"/>
            <w:noProof w:val="0"/>
            <w:color w:val="0077CC"/>
            <w:position w:val="0"/>
            <w:sz w:val="18"/>
            <w:u w:val="single"/>
            <w:vertAlign w:val="baseline"/>
          </w:rPr>
          <w:t>Rule 9(b)</w:t>
        </w:r>
      </w:hyperlink>
      <w:r>
        <w:rPr>
          <w:rFonts w:ascii="arial" w:eastAsia="arial" w:hAnsi="arial" w:cs="arial"/>
          <w:b w:val="0"/>
          <w:i w:val="0"/>
          <w:strike w:val="0"/>
          <w:noProof w:val="0"/>
          <w:color w:val="000000"/>
          <w:position w:val="0"/>
          <w:sz w:val="18"/>
          <w:u w:val="none"/>
          <w:vertAlign w:val="baseline"/>
        </w:rPr>
        <w:t xml:space="preserve"> where the plaintiff "lumped together all of the Defendants in their allegations of fraud" and the complaint was "devoid of specific allegations with respect to the separate Defendants."). The Court concludes that the First Amended Complaint is an impermissible shotgun pleading and dismisses the pleading without prejudice, but notes that failure to comport with the law for sufficiently stating civil RICO claims could result in dismissal with prejudice.</w:t>
      </w:r>
    </w:p>
    <w:p>
      <w:pPr>
        <w:keepNext w:val="0"/>
        <w:spacing w:before="240" w:after="0" w:line="240" w:lineRule="atLeast"/>
        <w:ind w:left="0" w:right="0" w:firstLine="0"/>
        <w:jc w:val="both"/>
      </w:pPr>
      <w:bookmarkStart w:id="19" w:name="Bookmark_fnpara_3"/>
      <w:bookmarkEnd w:id="19"/>
      <w:r>
        <w:rPr>
          <w:rFonts w:ascii="arial" w:eastAsia="arial" w:hAnsi="arial" w:cs="arial"/>
          <w:b w:val="0"/>
          <w:i w:val="0"/>
          <w:strike w:val="0"/>
          <w:noProof w:val="0"/>
          <w:color w:val="000000"/>
          <w:position w:val="0"/>
          <w:sz w:val="18"/>
          <w:u w:val="none"/>
          <w:vertAlign w:val="baseline"/>
        </w:rPr>
        <w:t xml:space="preserve">Similarly, Counts IV and V likely fail to state claims sounding in fraud pursuant to the heightened </w:t>
      </w:r>
      <w:hyperlink r:id="rId1" w:history="1">
        <w:r>
          <w:rPr>
            <w:rFonts w:ascii="arial" w:eastAsia="arial" w:hAnsi="arial" w:cs="arial"/>
            <w:b w:val="0"/>
            <w:i/>
            <w:strike w:val="0"/>
            <w:noProof w:val="0"/>
            <w:color w:val="0077CC"/>
            <w:position w:val="0"/>
            <w:sz w:val="18"/>
            <w:u w:val="single"/>
            <w:vertAlign w:val="baseline"/>
          </w:rPr>
          <w:t>Rule 9(b)</w:t>
        </w:r>
      </w:hyperlink>
      <w:r>
        <w:rPr>
          <w:rFonts w:ascii="arial" w:eastAsia="arial" w:hAnsi="arial" w:cs="arial"/>
          <w:b w:val="0"/>
          <w:i w:val="0"/>
          <w:strike w:val="0"/>
          <w:noProof w:val="0"/>
          <w:color w:val="000000"/>
          <w:position w:val="0"/>
          <w:sz w:val="18"/>
          <w:u w:val="none"/>
          <w:vertAlign w:val="baseline"/>
        </w:rPr>
        <w:t xml:space="preserve"> standard. Under </w:t>
      </w:r>
      <w:hyperlink r:id="rId1" w:history="1">
        <w:r>
          <w:rPr>
            <w:rFonts w:ascii="arial" w:eastAsia="arial" w:hAnsi="arial" w:cs="arial"/>
            <w:b w:val="0"/>
            <w:i/>
            <w:strike w:val="0"/>
            <w:noProof w:val="0"/>
            <w:color w:val="0077CC"/>
            <w:position w:val="0"/>
            <w:sz w:val="18"/>
            <w:u w:val="single"/>
            <w:vertAlign w:val="baseline"/>
          </w:rPr>
          <w:t>Rule 9(b)</w:t>
        </w:r>
      </w:hyperlink>
      <w:r>
        <w:rPr>
          <w:rFonts w:ascii="arial" w:eastAsia="arial" w:hAnsi="arial" w:cs="arial"/>
          <w:b w:val="0"/>
          <w:i w:val="0"/>
          <w:strike w:val="0"/>
          <w:noProof w:val="0"/>
          <w:color w:val="000000"/>
          <w:position w:val="0"/>
          <w:sz w:val="18"/>
          <w:u w:val="none"/>
          <w:vertAlign w:val="baseline"/>
        </w:rPr>
        <w:t xml:space="preserve">, a plaintiff must allege claims sounding in fraud with precision and specificity. </w:t>
      </w:r>
      <w:bookmarkStart w:id="20" w:name="Bookmark_I6980HY22N1RK80020000400"/>
      <w:bookmarkEnd w:id="20"/>
      <w:hyperlink r:id="rId7" w:history="1">
        <w:r>
          <w:rPr>
            <w:rFonts w:ascii="arial" w:eastAsia="arial" w:hAnsi="arial" w:cs="arial"/>
            <w:b w:val="0"/>
            <w:i/>
            <w:strike w:val="0"/>
            <w:noProof w:val="0"/>
            <w:color w:val="0077CC"/>
            <w:position w:val="0"/>
            <w:sz w:val="18"/>
            <w:u w:val="single"/>
            <w:vertAlign w:val="baseline"/>
          </w:rPr>
          <w:t>Am. Dental Ass'n v. Cigna Corp.</w:t>
        </w:r>
      </w:hyperlink>
      <w:hyperlink r:id="rId7" w:history="1">
        <w:r>
          <w:rPr>
            <w:rFonts w:ascii="arial" w:eastAsia="arial" w:hAnsi="arial" w:cs="arial"/>
            <w:b w:val="0"/>
            <w:i/>
            <w:strike w:val="0"/>
            <w:noProof w:val="0"/>
            <w:color w:val="0077CC"/>
            <w:position w:val="0"/>
            <w:sz w:val="18"/>
            <w:u w:val="single"/>
            <w:vertAlign w:val="baseline"/>
          </w:rPr>
          <w:t>, 605 F.3d 1283, 1291 (11th Cir. 2010)</w:t>
        </w:r>
      </w:hyperlink>
      <w:r>
        <w:rPr>
          <w:rFonts w:ascii="arial" w:eastAsia="arial" w:hAnsi="arial" w:cs="arial"/>
          <w:b w:val="0"/>
          <w:i w:val="0"/>
          <w:strike w:val="0"/>
          <w:noProof w:val="0"/>
          <w:color w:val="000000"/>
          <w:position w:val="0"/>
          <w:sz w:val="18"/>
          <w:u w:val="none"/>
          <w:vertAlign w:val="baseline"/>
        </w:rPr>
        <w:t xml:space="preserve">. Further, allegations of fraud against multiple defendants may not be "lump[ed] together ... a complaint must contain specific allegations with respect to each defendant ...." </w:t>
      </w:r>
      <w:bookmarkStart w:id="21" w:name="Bookmark_I6980HY22N1RK80010000400"/>
      <w:bookmarkEnd w:id="21"/>
      <w:hyperlink r:id="rId8" w:history="1">
        <w:r>
          <w:rPr>
            <w:rFonts w:ascii="arial" w:eastAsia="arial" w:hAnsi="arial" w:cs="arial"/>
            <w:b w:val="0"/>
            <w:i/>
            <w:strike w:val="0"/>
            <w:noProof w:val="0"/>
            <w:color w:val="0077CC"/>
            <w:position w:val="0"/>
            <w:sz w:val="18"/>
            <w:u w:val="single"/>
            <w:vertAlign w:val="baseline"/>
          </w:rPr>
          <w:t>Wyndham Vacation Ownership, Inc. v. US Consumer Att'ys, P.A.</w:t>
        </w:r>
      </w:hyperlink>
      <w:hyperlink r:id="rId8" w:history="1">
        <w:r>
          <w:rPr>
            <w:rFonts w:ascii="arial" w:eastAsia="arial" w:hAnsi="arial" w:cs="arial"/>
            <w:b w:val="0"/>
            <w:i/>
            <w:strike w:val="0"/>
            <w:noProof w:val="0"/>
            <w:color w:val="0077CC"/>
            <w:position w:val="0"/>
            <w:sz w:val="18"/>
            <w:u w:val="single"/>
            <w:vertAlign w:val="baseline"/>
          </w:rPr>
          <w:t>, 2019 U.S. Dist. LEXIS 226576, 2019 WL 7837887, at *5 (S.D. Fla. July 3, 2019)</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3" w:name="Bookmark_fnpara_4"/>
      <w:bookmarkEnd w:id="23"/>
      <w:r>
        <w:rPr>
          <w:rFonts w:ascii="arial" w:eastAsia="arial" w:hAnsi="arial" w:cs="arial"/>
          <w:b w:val="0"/>
          <w:i w:val="0"/>
          <w:strike w:val="0"/>
          <w:noProof w:val="0"/>
          <w:color w:val="000000"/>
          <w:position w:val="0"/>
          <w:sz w:val="18"/>
          <w:u w:val="none"/>
          <w:vertAlign w:val="baseline"/>
        </w:rPr>
        <w:t>Plaintiff argues in her Response that the First Amended Complaint is not a disfavored shotgun pleading because, "as shown by the Castellons' motion to dismiss on several substantive grounds, the Castellons have suffered no confusion about the factual allegations or the nature of the claims against them." (DE 14 at 4.) Plaintiff asserts that, as evidenced by the robust substantive argument in the instant Motion, the "harm to be avoided by" rules regarding shotgun pleadings has been dodged here.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Plaintiff is incorrect, citing no case for the proposition that a defendant may only argue that a pleading is an impermissible shotgun pleading and cannot address the pleading's substantive merits.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Pataro v. Castellón, 2023 U.S. Dist. LEXIS 105640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6G-6BJ1-JTGH-B372-00000-00&amp;context=1519360" TargetMode="External" /><Relationship Id="rId11" Type="http://schemas.openxmlformats.org/officeDocument/2006/relationships/hyperlink" Target="https://advance.lexis.com/api/document?collection=cases&amp;id=urn:contentItem:686X-1MY1-F7ND-G294-00000-00&amp;context=1519360" TargetMode="External" /><Relationship Id="rId12" Type="http://schemas.openxmlformats.org/officeDocument/2006/relationships/hyperlink" Target="https://advance.lexis.com/api/document?collection=cases&amp;id=urn:contentItem:69MT-0G61-JCJ5-250F-00000-00&amp;context=1519360" TargetMode="External" /><Relationship Id="rId13" Type="http://schemas.openxmlformats.org/officeDocument/2006/relationships/hyperlink" Target="https://advance.lexis.com/api/document?collection=cases&amp;id=urn:contentItem:5G97-C9J1-F07X-Y02V-00000-00&amp;context=1519360" TargetMode="External" /><Relationship Id="rId14" Type="http://schemas.openxmlformats.org/officeDocument/2006/relationships/hyperlink" Target="https://advance.lexis.com/api/document?collection=statutes-legislation&amp;id=urn:contentItem:8SG9-5042-D6RV-H0PV-00000-00&amp;context=1519360" TargetMode="External" /><Relationship Id="rId15" Type="http://schemas.openxmlformats.org/officeDocument/2006/relationships/hyperlink" Target="https://advance.lexis.com/api/document?collection=cases&amp;id=urn:contentItem:4W9Y-4KS0-TXFX-1325-00000-00&amp;context=1519360" TargetMode="External" /><Relationship Id="rId16" Type="http://schemas.openxmlformats.org/officeDocument/2006/relationships/hyperlink" Target="https://advance.lexis.com/api/document?collection=cases&amp;id=urn:contentItem:4NSN-8840-004C-002M-00000-00&amp;context=1519360" TargetMode="External" /><Relationship Id="rId17" Type="http://schemas.openxmlformats.org/officeDocument/2006/relationships/hyperlink" Target="https://advance.lexis.com/api/document?collection=cases&amp;id=urn:contentItem:3S4X-D3T0-003B-P4W9-00000-00&amp;context=1519360" TargetMode="External" /><Relationship Id="rId18" Type="http://schemas.openxmlformats.org/officeDocument/2006/relationships/hyperlink" Target="https://advance.lexis.com/api/document?collection=cases&amp;id=urn:contentItem:5197-8341-652R-B000-00000-00&amp;context=1519360" TargetMode="External" /><Relationship Id="rId19" Type="http://schemas.openxmlformats.org/officeDocument/2006/relationships/hyperlink" Target="https://advance.lexis.com/api/document?collection=cases&amp;id=urn:contentItem:3T94-77T0-0038-X4K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895-3050-0038-X011-00000-00&amp;context=1519360" TargetMode="External" /><Relationship Id="rId21" Type="http://schemas.openxmlformats.org/officeDocument/2006/relationships/hyperlink" Target="https://advance.lexis.com/api/document?collection=cases&amp;id=urn:contentItem:4PFG-5J50-TXFX-G3B9-00000-00&amp;context=1519360" TargetMode="External" /><Relationship Id="rId22" Type="http://schemas.openxmlformats.org/officeDocument/2006/relationships/hyperlink" Target="https://advance.lexis.com/api/document?collection=statutes-legislation&amp;id=urn:contentItem:5GYC-1WP1-6N19-F0YN-00000-00&amp;context=1519360" TargetMode="External" /><Relationship Id="rId23" Type="http://schemas.openxmlformats.org/officeDocument/2006/relationships/hyperlink" Target="https://advance.lexis.com/api/document?collection=cases&amp;id=urn:contentItem:4ND8-M0M0-0038-X3F6-00000-00&amp;context=1519360" TargetMode="External" /><Relationship Id="rId24" Type="http://schemas.openxmlformats.org/officeDocument/2006/relationships/hyperlink" Target="https://advance.lexis.com/api/document?collection=cases&amp;id=urn:contentItem:3S4X-J3P0-00B1-D0F2-00000-00&amp;context=1519360" TargetMode="External" /><Relationship Id="rId25" Type="http://schemas.openxmlformats.org/officeDocument/2006/relationships/hyperlink" Target="https://advance.lexis.com/api/document?collection=statutes-legislation&amp;id=urn:contentItem:5GYC-1WP1-6N19-F0YK-00000-00&amp;context=1519360" TargetMode="External" /><Relationship Id="rId26" Type="http://schemas.openxmlformats.org/officeDocument/2006/relationships/hyperlink" Target="https://advance.lexis.com/api/document?collection=statutes-legislation&amp;id=urn:contentItem:5GYC-1WP1-6N19-F0YR-00000-00&amp;context=1519360" TargetMode="External" /><Relationship Id="rId27" Type="http://schemas.openxmlformats.org/officeDocument/2006/relationships/hyperlink" Target="https://advance.lexis.com/api/document?collection=cases&amp;id=urn:contentItem:3S4X-4580-006F-M2GC-00000-00&amp;context=1519360" TargetMode="External" /><Relationship Id="rId28" Type="http://schemas.openxmlformats.org/officeDocument/2006/relationships/hyperlink" Target="https://advance.lexis.com/api/document?collection=cases&amp;id=urn:contentItem:61XF-4M11-F8D9-M194-00000-00&amp;context=1519360" TargetMode="External" /><Relationship Id="rId29" Type="http://schemas.openxmlformats.org/officeDocument/2006/relationships/hyperlink" Target="https://advance.lexis.com/api/document?collection=cases&amp;id=urn:contentItem:5GD1-FP11-F04K-X08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J9X-4PS1-F04D-105D-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3-5ST1-JJK6-S36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1WP1-6N19-F0YN-00000-00&amp;context=1519360" TargetMode="External" /><Relationship Id="rId2" Type="http://schemas.openxmlformats.org/officeDocument/2006/relationships/hyperlink" Target="https://advance.lexis.com/api/document?collection=cases&amp;id=urn:contentItem:469M-XY80-0038-X48W-00000-00&amp;context=1519360" TargetMode="External" /><Relationship Id="rId3" Type="http://schemas.openxmlformats.org/officeDocument/2006/relationships/hyperlink" Target="https://advance.lexis.com/api/document?collection=statutes-legislation&amp;id=urn:contentItem:8SG9-5042-D6RV-H0PV-00000-00&amp;context=1519360" TargetMode="External" /><Relationship Id="rId4" Type="http://schemas.openxmlformats.org/officeDocument/2006/relationships/hyperlink" Target="https://advance.lexis.com/api/document?collection=cases&amp;id=urn:contentItem:4ND8-M0M0-0038-X3F6-00000-00&amp;context=1519360" TargetMode="External" /><Relationship Id="rId5" Type="http://schemas.openxmlformats.org/officeDocument/2006/relationships/hyperlink" Target="https://advance.lexis.com/api/document?collection=cases&amp;id=urn:contentItem:3S4X-J3P0-00B1-D0F2-00000-00&amp;context=1519360" TargetMode="External" /><Relationship Id="rId6" Type="http://schemas.openxmlformats.org/officeDocument/2006/relationships/hyperlink" Target="https://advance.lexis.com/api/document?collection=cases&amp;id=urn:contentItem:5RTH-NCY1-JKHB-62NP-00000-00&amp;context=1519360" TargetMode="External" /><Relationship Id="rId7" Type="http://schemas.openxmlformats.org/officeDocument/2006/relationships/hyperlink" Target="https://advance.lexis.com/api/document?collection=cases&amp;id=urn:contentItem:7YFY-N411-2RHT-2013-00000-00&amp;context=1519360" TargetMode="External" /><Relationship Id="rId8" Type="http://schemas.openxmlformats.org/officeDocument/2006/relationships/hyperlink" Target="https://advance.lexis.com/api/document?collection=cases&amp;id=urn:contentItem:5Y54-97Y1-JJYN-B0B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Pataro v. Castellón, 2023 U.S. Dist. LEXIS 105640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Doc::urn:hlct:5|contextualFeaturePermID::1519360</vt:lpwstr>
  </property>
  <property fmtid="{D5CDD505-2E9C-101B-9397-08002B2CF9AE}" pid="5" name="UserPermID">
    <vt:lpwstr>urn:user:PA186186280</vt:lpwstr>
  </property>
</Properties>
</file>