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Rodriguez Rodas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Delivered; November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04-22-00885-CR</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8781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8103194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Appellant v. Luis Enrique RODRIGUEZ RODAS,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02/05/2024</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County Court, Kinney County, Texas. Trial Court No. 13929CR. Honorable Dennis Powell,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trial court, discriminatory, selective prosecution, criminal trespass, sex, governmental objective, pretrial, border, rights, cases, equal protection claim, intermediate scrutiny, compelling interest, trial court's order, similarly situated, criminal activity, equal protection, present evidence, prima facie case, criminal case, fail to prove, habeas relief, no evidence, classification, achievement, feasibility, cognizable, prosecute, resources</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Where an applicant is the target of selective enforcement based on the constitutionally protected class of sex, it is a violation of equal protection guaranteed by the U.S. Constitution and the Texas Constitution.</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With regard to a federal equal protection claim, the state has to show that the classification serves important governmental objectives and that the discriminatory means employed are substantially related to the achievement of those objectives.</w:t>
      </w:r>
    </w:p>
    <w:p>
      <w:pPr>
        <w:keepNext w:val="0"/>
        <w:spacing w:before="240" w:after="0" w:line="260" w:lineRule="atLeast"/>
        <w:ind w:left="0" w:right="0" w:firstLine="0"/>
        <w:jc w:val="left"/>
      </w:pPr>
      <w:bookmarkStart w:id="15" w:name="Counsel"/>
      <w:bookmarkEnd w:id="1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Appellant: Brent Smith, Anton E. Hackebeil.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Rodriguez Rodas, Luis Enrique, Appellee: William Pavord, Justin Wolbert, Aron L. Israelite.</w:t>
      </w:r>
    </w:p>
    <w:p>
      <w:pPr>
        <w:keepNext w:val="0"/>
        <w:spacing w:before="240" w:after="0" w:line="260" w:lineRule="atLeast"/>
        <w:ind w:left="0" w:right="0" w:firstLine="0"/>
        <w:jc w:val="left"/>
      </w:pPr>
      <w:bookmarkStart w:id="16" w:name="Judges"/>
      <w:bookmarkEnd w:id="1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Liza A. Rodriguez, Justice. Sitting: Luz Elena D. Chapa, Justice, Irene Rios, Justice, Liza A. Rodriguez, Justice.</w:t>
      </w:r>
    </w:p>
    <w:p>
      <w:pPr>
        <w:keepNext w:val="0"/>
        <w:spacing w:before="240" w:after="0" w:line="260" w:lineRule="atLeast"/>
        <w:ind w:left="0" w:right="0" w:firstLine="0"/>
        <w:jc w:val="left"/>
      </w:pPr>
      <w:bookmarkStart w:id="17" w:name="Opinion by"/>
      <w:bookmarkEnd w:id="1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Liza A. Rodriguez</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19" w:name="Bookmark_para_3"/>
      <w:bookmarkEnd w:id="19"/>
      <w:r>
        <w:rPr>
          <w:rFonts w:ascii="arial" w:eastAsia="arial" w:hAnsi="arial" w:cs="arial"/>
          <w:b w:val="0"/>
          <w:i w:val="0"/>
          <w:strike w:val="0"/>
          <w:noProof w:val="0"/>
          <w:color w:val="000000"/>
          <w:position w:val="0"/>
          <w:sz w:val="20"/>
          <w:u w:val="none"/>
          <w:vertAlign w:val="baseline"/>
        </w:rPr>
        <w:t>AFFIRMED</w:t>
      </w:r>
    </w:p>
    <w:p>
      <w:pPr>
        <w:keepNext w:val="0"/>
        <w:spacing w:before="200" w:after="0" w:line="260" w:lineRule="atLeast"/>
        <w:ind w:left="0" w:right="0" w:firstLine="0"/>
        <w:jc w:val="both"/>
      </w:pPr>
      <w:bookmarkStart w:id="20" w:name="Bookmark_para_4"/>
      <w:bookmarkEnd w:id="20"/>
      <w:r>
        <w:rPr>
          <w:rFonts w:ascii="arial" w:eastAsia="arial" w:hAnsi="arial" w:cs="arial"/>
          <w:b w:val="0"/>
          <w:i w:val="0"/>
          <w:strike w:val="0"/>
          <w:noProof w:val="0"/>
          <w:color w:val="000000"/>
          <w:position w:val="0"/>
          <w:sz w:val="20"/>
          <w:u w:val="none"/>
          <w:vertAlign w:val="baseline"/>
        </w:rPr>
        <w:t>The State appeals the trial court's order granting Luis Enrique Rodriguez Rodas's requested habeas relief and dismissing his criminal case with prejudice. We affirm.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 xml:space="preserve">On March 6, 2021, Governor Greg Abbott directed the Texas Department of Public Safety ("DPS") to initiate Operation Lone Star ("OLS") and "devote additional law enforcement resources toward deterring illegal border crossing and protecting [] border communities." He further directed "DPS to use available resources to enforce all applicable federal and state laws to prevent criminal activity along the border, including criminal trespassing,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to assist Texas counties in their efforts to address those criminal activities." As part of OLS,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Rodriguez Rodas, a noncitizen, was arrested for criminal trespass in Kinney County; he filed an application for writ of habeas corpus seeking dismissal of the criminal charge, arguing his rights had been violated under the Constitution's </w:t>
      </w:r>
      <w:hyperlink r:id="rId12"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13"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 Const.</w:t>
        </w:r>
      </w:hyperlink>
      <w:hyperlink r:id="rId12" w:history="1">
        <w:r>
          <w:rPr>
            <w:rFonts w:ascii="arial" w:eastAsia="arial" w:hAnsi="arial" w:cs="arial"/>
            <w:b w:val="0"/>
            <w:i/>
            <w:strike w:val="0"/>
            <w:noProof w:val="0"/>
            <w:color w:val="0077CC"/>
            <w:position w:val="0"/>
            <w:sz w:val="20"/>
            <w:u w:val="single"/>
            <w:vertAlign w:val="baseline"/>
          </w:rPr>
          <w:t xml:space="preserve"> amend. XIV</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Tex. Const.</w:t>
        </w:r>
      </w:hyperlink>
      <w:hyperlink r:id="rId13" w:history="1">
        <w:r>
          <w:rPr>
            <w:rFonts w:ascii="arial" w:eastAsia="arial" w:hAnsi="arial" w:cs="arial"/>
            <w:b w:val="0"/>
            <w:i/>
            <w:strike w:val="0"/>
            <w:noProof w:val="0"/>
            <w:color w:val="0077CC"/>
            <w:position w:val="0"/>
            <w:sz w:val="20"/>
            <w:u w:val="single"/>
            <w:vertAlign w:val="baseline"/>
          </w:rPr>
          <w:t xml:space="preserve"> art. I, § 3a</w:t>
        </w:r>
      </w:hyperlink>
      <w:r>
        <w:rPr>
          <w:rFonts w:ascii="arial" w:eastAsia="arial" w:hAnsi="arial" w:cs="arial"/>
          <w:b w:val="0"/>
          <w:i w:val="0"/>
          <w:strike w:val="0"/>
          <w:noProof w:val="0"/>
          <w:color w:val="000000"/>
          <w:position w:val="0"/>
          <w:sz w:val="20"/>
          <w:u w:val="none"/>
          <w:vertAlign w:val="baseline"/>
        </w:rPr>
        <w:t>. Specifically, Rodriguez Rodas argued the State's selective prosecution of men, and not similarly situated women, for criminal trespass as part of OLS violated his constitutional rights. The trial court granted the writ and set the matter for an evidentiary hearing.</w:t>
      </w:r>
    </w:p>
    <w:p>
      <w:pPr>
        <w:keepNext w:val="0"/>
        <w:spacing w:before="200" w:after="0" w:line="260" w:lineRule="atLeast"/>
        <w:ind w:left="0" w:right="0" w:firstLine="0"/>
        <w:jc w:val="both"/>
      </w:pPr>
      <w:bookmarkStart w:id="22" w:name="Bookmark_para_6"/>
      <w:bookmarkEnd w:id="22"/>
      <w:bookmarkStart w:id="23" w:name="Bookmark_I69RJGV42HM6CY0020000400"/>
      <w:bookmarkEnd w:id="23"/>
      <w:r>
        <w:rPr>
          <w:rFonts w:ascii="arial" w:eastAsia="arial" w:hAnsi="arial" w:cs="arial"/>
          <w:b w:val="0"/>
          <w:i w:val="0"/>
          <w:strike w:val="0"/>
          <w:noProof w:val="0"/>
          <w:color w:val="000000"/>
          <w:position w:val="0"/>
          <w:sz w:val="20"/>
          <w:u w:val="none"/>
          <w:vertAlign w:val="baseline"/>
        </w:rPr>
        <w:t xml:space="preserve">At the hearing, the trial court heard the merits of Rodriguez Rodas's pretrial habeas claim, along with twenty-one other cases, all filed on selective prosecution grounds. We described the evidence presented at this hearing in our recent opinion, </w:t>
      </w:r>
      <w:bookmarkStart w:id="24" w:name="Bookmark_I69RJGV42HM6CY0010000400"/>
      <w:bookmarkEnd w:id="24"/>
      <w:hyperlink r:id="rId14" w:history="1">
        <w:r>
          <w:rPr>
            <w:rFonts w:ascii="arial" w:eastAsia="arial" w:hAnsi="arial" w:cs="arial"/>
            <w:b w:val="0"/>
            <w:i/>
            <w:strike w:val="0"/>
            <w:noProof w:val="0"/>
            <w:color w:val="0077CC"/>
            <w:position w:val="0"/>
            <w:sz w:val="20"/>
            <w:u w:val="single"/>
            <w:vertAlign w:val="baseline"/>
          </w:rPr>
          <w:t>State v. Gomez</w:t>
        </w:r>
      </w:hyperlink>
      <w:hyperlink r:id="rId14" w:history="1">
        <w:r>
          <w:rPr>
            <w:rFonts w:ascii="arial" w:eastAsia="arial" w:hAnsi="arial" w:cs="arial"/>
            <w:b w:val="0"/>
            <w:i/>
            <w:strike w:val="0"/>
            <w:noProof w:val="0"/>
            <w:color w:val="0077CC"/>
            <w:position w:val="0"/>
            <w:sz w:val="20"/>
            <w:u w:val="single"/>
            <w:vertAlign w:val="baseline"/>
          </w:rPr>
          <w:t>, No. 04-22-00872-CR, 2023 Tex. App. LEXIS 8604, 2023 WL 7552682, at * 1-4 (Tex. App.—San Antonio Nov. 15, 2023, no pet. h.)</w:t>
        </w:r>
      </w:hyperlink>
      <w:r>
        <w:rPr>
          <w:rFonts w:ascii="arial" w:eastAsia="arial" w:hAnsi="arial" w:cs="arial"/>
          <w:b w:val="0"/>
          <w:i w:val="0"/>
          <w:strike w:val="0"/>
          <w:noProof w:val="0"/>
          <w:color w:val="000000"/>
          <w:position w:val="0"/>
          <w:sz w:val="20"/>
          <w:u w:val="none"/>
          <w:vertAlign w:val="baseline"/>
        </w:rPr>
        <w:t xml:space="preserve">, as both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xml:space="preserve"> and the instant appeal were heard at the same time. After considering the evidence presented at the hearing, on December 20, 2022, the trial court granted Rodriguez Rodas's requested relief, finding that he had presented a prima facie selective prosecution claim on the basis of equal protection:</w:t>
      </w:r>
    </w:p>
    <w:p>
      <w:pPr>
        <w:keepNext w:val="0"/>
        <w:spacing w:before="200" w:after="0" w:line="260" w:lineRule="atLeast"/>
        <w:ind w:left="400" w:right="0" w:firstLine="0"/>
        <w:jc w:val="both"/>
      </w:pPr>
      <w:bookmarkStart w:id="25" w:name="Bookmark_para_7"/>
      <w:bookmarkEnd w:id="25"/>
      <w:bookmarkStart w:id="26" w:name="Bookmark_I69RJGV42HM6CY0020000400_2"/>
      <w:bookmarkEnd w:id="26"/>
      <w:r>
        <w:rPr>
          <w:rFonts w:ascii="arial" w:eastAsia="arial" w:hAnsi="arial" w:cs="arial"/>
          <w:b w:val="0"/>
          <w:i w:val="0"/>
          <w:strike w:val="0"/>
          <w:noProof w:val="0"/>
          <w:color w:val="000000"/>
          <w:position w:val="0"/>
          <w:sz w:val="20"/>
          <w:u w:val="none"/>
          <w:vertAlign w:val="baseline"/>
        </w:rPr>
        <w:t>Specifically, the Court finds Applicant [Rodriguez Rodas] is a man, and the evidence proves purposeful discrimination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this case. The Applicant was arrested and charged, but would not have been arrested if he were a woman; hence, he was treated differently from similarly situated women, based on sex. </w:t>
      </w:r>
      <w:bookmarkStart w:id="27" w:name="Bookmark_LNHNREFclscc1"/>
      <w:bookmarkEnd w:id="27"/>
      <w:hyperlink r:id="rId1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Hence, the Applicant is the target of selective enforcement based on the constitutionally protected class of sex, in violation of equal protection [as] guaranteed by the U.S. Constitution and the Texas Constitution. Accordingly, the defendant [Rodriguez Rodas] made a prima facie case of sex discrimination. The policy of Operation Lone Star, as it now stands, has a discriminatory effect and is motivated by a discriminatory purpose.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then found the State had not met its burden of justifying the discriminatory treatment:</w:t>
      </w:r>
    </w:p>
    <w:p>
      <w:pPr>
        <w:keepNext w:val="0"/>
        <w:spacing w:before="200" w:after="0" w:line="260" w:lineRule="atLeast"/>
        <w:ind w:left="40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The State, in turn, failed to prove an adequate justification for the discrimination. There was no evidence that the discrimination based on sex served an important governmental objective, and naturally therefore, no evidence to establish that the discrimination was substantially related to achievement of important governmental objectives. Furthermore, the State failed to prove that the State has a compelling interest and there is no other manner to protect that compelling interest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without systematically arresting only men for criminal trespass and releasing all women. The Court does not find the criminal trespass statute to be unconstitutional, but finds the application of that law under Operation Lone Star renders the prosecution under that statute to be unconstitutional as applied to this individual.</w:t>
      </w:r>
    </w:p>
    <w:p>
      <w:pPr>
        <w:keepNext w:val="0"/>
        <w:spacing w:after="0" w:line="260" w:lineRule="atLeast"/>
        <w:ind w:left="40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The Court does not find unconstitutional enforcement at the level of the local prosecutor's office. Prosecution of women is not being summarily declined by the County Attorney's office, but that office is limited to decisions of whether or not to prosecute the cases which the office receives, which are only cases involving accused males. Under the current system, the unconstitutional prosecution is fully implemented at the level of arrest of only male suspects.</w:t>
      </w:r>
    </w:p>
    <w:p>
      <w:pPr>
        <w:keepNext w:val="0"/>
        <w:spacing w:before="200" w:after="0" w:line="260" w:lineRule="atLeast"/>
        <w:ind w:left="40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However, ostensibly Kinney County could have eradicated the discriminatory intent of Operation Lone State by pulling out the county checkbook, and bearing the financial burden of arresting, housing, and prosecuting women, as the County surely does for other crimes. The State failed to produce evidence about the feasibility, or lack of feasibility, of that alternative. If the County had done so there is no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reason to think the arresting officers could have been instructed to not only arrest men, but to also arrest women, when the probable cause existed to do so. But that has not happened.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"order[ed] the criminal prosecution against Applicant be dismissed with prejudice." The State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1" w:name="Bookmark_para_11"/>
      <w:bookmarkEnd w:id="31"/>
      <w:bookmarkStart w:id="32" w:name="Bookmark_I7CT3BBTH6100005CTR00021"/>
      <w:bookmarkEnd w:id="32"/>
      <w:bookmarkStart w:id="33" w:name="Bookmark_I69RJGV42HM6CY0040000400"/>
      <w:bookmarkEnd w:id="33"/>
      <w:bookmarkStart w:id="34" w:name="Bookmark_I69RJGV42SF7V30010000400"/>
      <w:bookmarkEnd w:id="34"/>
      <w:r>
        <w:rPr>
          <w:rFonts w:ascii="arial" w:eastAsia="arial" w:hAnsi="arial" w:cs="arial"/>
          <w:b w:val="0"/>
          <w:i w:val="0"/>
          <w:strike w:val="0"/>
          <w:noProof w:val="0"/>
          <w:color w:val="000000"/>
          <w:position w:val="0"/>
          <w:sz w:val="20"/>
          <w:u w:val="none"/>
          <w:vertAlign w:val="baseline"/>
        </w:rPr>
        <w:t xml:space="preserve">In its brief, the State argues the trial court erred in granting relief on Rodriguez Rodas's selective prosecution equal protection claim for the following three reasons: (1) his pretrial habeas claim is not cognizable; (2) he did not present a prima facie case of selective prosecution on the basis of violation of his equal protection rights; and (3) the State met its burden of showing its policy passes "the strictest of scrutiny." These are the same arguments brought by the State in </w:t>
      </w:r>
      <w:bookmarkStart w:id="35" w:name="Bookmark_I69RJGV42HM6CY0030000400"/>
      <w:bookmarkEnd w:id="35"/>
      <w:hyperlink r:id="rId14" w:history="1">
        <w:r>
          <w:rPr>
            <w:rFonts w:ascii="arial" w:eastAsia="arial" w:hAnsi="arial" w:cs="arial"/>
            <w:b w:val="0"/>
            <w:i/>
            <w:strike w:val="0"/>
            <w:noProof w:val="0"/>
            <w:color w:val="0077CC"/>
            <w:position w:val="0"/>
            <w:sz w:val="20"/>
            <w:u w:val="single"/>
            <w:vertAlign w:val="baseline"/>
          </w:rPr>
          <w:t>Gomez</w:t>
        </w:r>
      </w:hyperlink>
      <w:hyperlink r:id="rId14" w:history="1">
        <w:r>
          <w:rPr>
            <w:rFonts w:ascii="arial" w:eastAsia="arial" w:hAnsi="arial" w:cs="arial"/>
            <w:b w:val="0"/>
            <w:i/>
            <w:strike w:val="0"/>
            <w:noProof w:val="0"/>
            <w:color w:val="0077CC"/>
            <w:position w:val="0"/>
            <w:sz w:val="20"/>
            <w:u w:val="single"/>
            <w:vertAlign w:val="baseline"/>
          </w:rPr>
          <w:t>, 2023 Tex. App. LEXIS 8604, 2023 WL 7552682, at *4</w:t>
        </w:r>
      </w:hyperlink>
      <w:r>
        <w:rPr>
          <w:rFonts w:ascii="arial" w:eastAsia="arial" w:hAnsi="arial" w:cs="arial"/>
          <w:b w:val="0"/>
          <w:i w:val="0"/>
          <w:strike w:val="0"/>
          <w:noProof w:val="0"/>
          <w:color w:val="000000"/>
          <w:position w:val="0"/>
          <w:sz w:val="20"/>
          <w:u w:val="none"/>
          <w:vertAlign w:val="baseline"/>
        </w:rPr>
        <w:t xml:space="preserve">. For the reasons enunciated in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xml:space="preserve">, we hold that Rodriguez Rodas's pretrial habeas claim is cognizable and that he met his burden of showing a prima facie claim for selective prosecution on the basis of gender discrimination. </w:t>
      </w:r>
      <w:bookmarkStart w:id="36" w:name="Bookmark_I69RJGV42SF7V30030000400"/>
      <w:bookmarkEnd w:id="36"/>
      <w:r>
        <w:rPr>
          <w:rFonts w:ascii="arial" w:eastAsia="arial" w:hAnsi="arial" w:cs="arial"/>
          <w:b w:val="0"/>
          <w:i/>
          <w:strike w:val="0"/>
          <w:noProof w:val="0"/>
          <w:color w:val="000000"/>
          <w:position w:val="0"/>
          <w:sz w:val="20"/>
          <w:u w:val="none"/>
          <w:vertAlign w:val="baseline"/>
        </w:rPr>
        <w:t xml:space="preserve">See </w:t>
      </w:r>
      <w:bookmarkStart w:id="37" w:name="Bookmark_I69RJGV42HM6CY0050000400"/>
      <w:bookmarkEnd w:id="37"/>
      <w:hyperlink r:id="rId14" w:history="1">
        <w:r>
          <w:rPr>
            <w:rFonts w:ascii="arial" w:eastAsia="arial" w:hAnsi="arial" w:cs="arial"/>
            <w:b w:val="0"/>
            <w:i/>
            <w:strike w:val="0"/>
            <w:noProof w:val="0"/>
            <w:color w:val="0077CC"/>
            <w:position w:val="0"/>
            <w:sz w:val="20"/>
            <w:u w:val="single"/>
            <w:vertAlign w:val="baseline"/>
          </w:rPr>
          <w:t>2023 Tex. App. LEXIS 8604, [WL] at *4-5</w:t>
        </w:r>
      </w:hyperlink>
      <w:r>
        <w:rPr>
          <w:rFonts w:ascii="arial" w:eastAsia="arial" w:hAnsi="arial" w:cs="arial"/>
          <w:b w:val="0"/>
          <w:i w:val="0"/>
          <w:strike w:val="0"/>
          <w:noProof w:val="0"/>
          <w:color w:val="000000"/>
          <w:position w:val="0"/>
          <w:sz w:val="20"/>
          <w:u w:val="none"/>
          <w:vertAlign w:val="baseline"/>
        </w:rPr>
        <w:t xml:space="preserve">. </w:t>
      </w:r>
      <w:bookmarkStart w:id="38" w:name="Bookmark_I69RJGV42SF7V30030000400_2"/>
      <w:bookmarkEnd w:id="38"/>
      <w:r>
        <w:rPr>
          <w:rFonts w:ascii="arial" w:eastAsia="arial" w:hAnsi="arial" w:cs="arial"/>
          <w:b w:val="0"/>
          <w:i w:val="0"/>
          <w:strike w:val="0"/>
          <w:noProof w:val="0"/>
          <w:color w:val="000000"/>
          <w:position w:val="0"/>
          <w:sz w:val="20"/>
          <w:u w:val="none"/>
          <w:vertAlign w:val="baseline"/>
        </w:rPr>
        <w:t>Thus, the burden shifted to the State to justify its discriminatory conduct under both strict scrutiny (Rodriguez Rodas's state claim) and intermediate scrutiny (Rodriguez</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Rodas's federal claim). </w:t>
      </w:r>
      <w:bookmarkStart w:id="39" w:name="Bookmark_I69RJGV42SF7V30050000400"/>
      <w:bookmarkEnd w:id="39"/>
      <w:r>
        <w:rPr>
          <w:rFonts w:ascii="arial" w:eastAsia="arial" w:hAnsi="arial" w:cs="arial"/>
          <w:b w:val="0"/>
          <w:i/>
          <w:strike w:val="0"/>
          <w:noProof w:val="0"/>
          <w:color w:val="000000"/>
          <w:position w:val="0"/>
          <w:sz w:val="20"/>
          <w:u w:val="none"/>
          <w:vertAlign w:val="baseline"/>
        </w:rPr>
        <w:t xml:space="preserve">See </w:t>
      </w:r>
      <w:bookmarkStart w:id="40" w:name="Bookmark_I69RJGV42SF7V30020000400"/>
      <w:bookmarkEnd w:id="40"/>
      <w:hyperlink r:id="rId17" w:history="1">
        <w:r>
          <w:rPr>
            <w:rFonts w:ascii="arial" w:eastAsia="arial" w:hAnsi="arial" w:cs="arial"/>
            <w:b w:val="0"/>
            <w:i/>
            <w:strike w:val="0"/>
            <w:noProof w:val="0"/>
            <w:color w:val="0077CC"/>
            <w:position w:val="0"/>
            <w:sz w:val="20"/>
            <w:u w:val="single"/>
            <w:vertAlign w:val="baseline"/>
          </w:rPr>
          <w:t>Ex parte Aparicio</w:t>
        </w:r>
      </w:hyperlink>
      <w:hyperlink r:id="rId17" w:history="1">
        <w:r>
          <w:rPr>
            <w:rFonts w:ascii="arial" w:eastAsia="arial" w:hAnsi="arial" w:cs="arial"/>
            <w:b w:val="0"/>
            <w:i/>
            <w:strike w:val="0"/>
            <w:noProof w:val="0"/>
            <w:color w:val="0077CC"/>
            <w:position w:val="0"/>
            <w:sz w:val="20"/>
            <w:u w:val="single"/>
            <w:vertAlign w:val="baseline"/>
          </w:rPr>
          <w:t>, 672 S.W.3d 696, 716 (Tex. App.—San Antonio 2023, pet. granted)</w:t>
        </w:r>
      </w:hyperlink>
      <w:r>
        <w:rPr>
          <w:rFonts w:ascii="arial" w:eastAsia="arial" w:hAnsi="arial" w:cs="arial"/>
          <w:b w:val="0"/>
          <w:i w:val="0"/>
          <w:strike w:val="0"/>
          <w:noProof w:val="0"/>
          <w:color w:val="000000"/>
          <w:position w:val="0"/>
          <w:sz w:val="20"/>
          <w:u w:val="none"/>
          <w:vertAlign w:val="baseline"/>
        </w:rPr>
        <w:t xml:space="preserve">. </w:t>
      </w:r>
      <w:bookmarkStart w:id="41" w:name="Bookmark_I69RJGV42SF7V30050000400_2"/>
      <w:bookmarkEnd w:id="41"/>
      <w:bookmarkStart w:id="42" w:name="Bookmark_I69RJGV52HM6D30040000400"/>
      <w:bookmarkEnd w:id="42"/>
      <w:r>
        <w:rPr>
          <w:rFonts w:ascii="arial" w:eastAsia="arial" w:hAnsi="arial" w:cs="arial"/>
          <w:b w:val="0"/>
          <w:i w:val="0"/>
          <w:strike w:val="0"/>
          <w:noProof w:val="0"/>
          <w:color w:val="000000"/>
          <w:position w:val="0"/>
          <w:sz w:val="20"/>
          <w:u w:val="none"/>
          <w:vertAlign w:val="baseline"/>
        </w:rPr>
        <w:t xml:space="preserve">With regard to Rodriguez Rodas's claim under the </w:t>
      </w:r>
      <w:hyperlink r:id="rId13"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the State had to show that its discriminatory classification is narrowly tailored to serve a compelling governmental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43" w:name="Bookmark_LNHNREFclscc2"/>
      <w:bookmarkEnd w:id="43"/>
      <w:hyperlink r:id="rId1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6" o:title=""/>
            </v:shape>
          </w:pict>
        </w:r>
      </w:hyperlink>
      <w:r>
        <w:rPr>
          <w:rFonts w:ascii="arial" w:eastAsia="arial" w:hAnsi="arial" w:cs="arial"/>
          <w:b w:val="0"/>
          <w:i w:val="0"/>
          <w:strike w:val="0"/>
          <w:noProof w:val="0"/>
          <w:color w:val="000000"/>
          <w:position w:val="0"/>
          <w:sz w:val="20"/>
          <w:u w:val="none"/>
          <w:vertAlign w:val="baseline"/>
        </w:rPr>
        <w:t xml:space="preserve">] With regard to his federal equal protection claim, the State had to show "that the classification serves 'important governmental objectives and that the discriminatory means employed' are 'substantially related to the achievement of those objectives.'" </w:t>
      </w:r>
      <w:bookmarkStart w:id="44" w:name="Bookmark_I69RJGV42SF7V30040000400"/>
      <w:bookmarkEnd w:id="44"/>
      <w:hyperlink r:id="rId19" w:history="1">
        <w:r>
          <w:rPr>
            <w:rFonts w:ascii="arial" w:eastAsia="arial" w:hAnsi="arial" w:cs="arial"/>
            <w:b w:val="0"/>
            <w:i/>
            <w:strike w:val="0"/>
            <w:noProof w:val="0"/>
            <w:color w:val="0077CC"/>
            <w:position w:val="0"/>
            <w:sz w:val="20"/>
            <w:u w:val="single"/>
            <w:vertAlign w:val="baseline"/>
          </w:rPr>
          <w:t>Miss. Univ. for Women v. Hogan</w:t>
        </w:r>
      </w:hyperlink>
      <w:hyperlink r:id="rId19" w:history="1">
        <w:r>
          <w:rPr>
            <w:rFonts w:ascii="arial" w:eastAsia="arial" w:hAnsi="arial" w:cs="arial"/>
            <w:b w:val="0"/>
            <w:i/>
            <w:strike w:val="0"/>
            <w:noProof w:val="0"/>
            <w:color w:val="0077CC"/>
            <w:position w:val="0"/>
            <w:sz w:val="20"/>
            <w:u w:val="single"/>
            <w:vertAlign w:val="baseline"/>
          </w:rPr>
          <w:t>, 458 U.S. 718, 724, 102 S. Ct. 3331, 73 L. Ed. 2d 1090 (1982)</w:t>
        </w:r>
      </w:hyperlink>
      <w:r>
        <w:rPr>
          <w:rFonts w:ascii="arial" w:eastAsia="arial" w:hAnsi="arial" w:cs="arial"/>
          <w:b w:val="0"/>
          <w:i w:val="0"/>
          <w:strike w:val="0"/>
          <w:noProof w:val="0"/>
          <w:color w:val="000000"/>
          <w:position w:val="0"/>
          <w:sz w:val="20"/>
          <w:u w:val="none"/>
          <w:vertAlign w:val="baseline"/>
        </w:rPr>
        <w:t xml:space="preserve"> (quoting </w:t>
      </w:r>
      <w:bookmarkStart w:id="45" w:name="Bookmark_I69RJGV52HM6D30010000400"/>
      <w:bookmarkEnd w:id="45"/>
      <w:hyperlink r:id="rId20" w:history="1">
        <w:r>
          <w:rPr>
            <w:rFonts w:ascii="arial" w:eastAsia="arial" w:hAnsi="arial" w:cs="arial"/>
            <w:b w:val="0"/>
            <w:i/>
            <w:strike w:val="0"/>
            <w:noProof w:val="0"/>
            <w:color w:val="0077CC"/>
            <w:position w:val="0"/>
            <w:sz w:val="20"/>
            <w:u w:val="single"/>
            <w:vertAlign w:val="baseline"/>
          </w:rPr>
          <w:t>Wengler v. Druggists Mut. Ins. Co.</w:t>
        </w:r>
      </w:hyperlink>
      <w:hyperlink r:id="rId20" w:history="1">
        <w:r>
          <w:rPr>
            <w:rFonts w:ascii="arial" w:eastAsia="arial" w:hAnsi="arial" w:cs="arial"/>
            <w:b w:val="0"/>
            <w:i/>
            <w:strike w:val="0"/>
            <w:noProof w:val="0"/>
            <w:color w:val="0077CC"/>
            <w:position w:val="0"/>
            <w:sz w:val="20"/>
            <w:u w:val="single"/>
            <w:vertAlign w:val="baseline"/>
          </w:rPr>
          <w:t>, 446 U.S. 142, 150, 100 S. Ct. 1540, 64 L. Ed. 2d 107 (1980)</w:t>
        </w:r>
      </w:hyperlink>
      <w:r>
        <w:rPr>
          <w:rFonts w:ascii="arial" w:eastAsia="arial" w:hAnsi="arial" w:cs="arial"/>
          <w:b w:val="0"/>
          <w:i w:val="0"/>
          <w:strike w:val="0"/>
          <w:noProof w:val="0"/>
          <w:color w:val="000000"/>
          <w:position w:val="0"/>
          <w:sz w:val="20"/>
          <w:u w:val="none"/>
          <w:vertAlign w:val="baseline"/>
        </w:rPr>
        <w:t xml:space="preserve">). </w:t>
      </w:r>
      <w:bookmarkStart w:id="46" w:name="Bookmark_I69RJGV52HM6D30040000400_2"/>
      <w:bookmarkEnd w:id="46"/>
      <w:r>
        <w:rPr>
          <w:rFonts w:ascii="arial" w:eastAsia="arial" w:hAnsi="arial" w:cs="arial"/>
          <w:b w:val="0"/>
          <w:i w:val="0"/>
          <w:strike w:val="0"/>
          <w:noProof w:val="0"/>
          <w:color w:val="000000"/>
          <w:position w:val="0"/>
          <w:sz w:val="20"/>
          <w:u w:val="none"/>
          <w:vertAlign w:val="baseline"/>
        </w:rPr>
        <w:t xml:space="preserve">For the reasons stated in </w:t>
      </w:r>
      <w:bookmarkStart w:id="47" w:name="Bookmark_I69RJGV52HM6D30030000400"/>
      <w:bookmarkEnd w:id="47"/>
      <w:hyperlink r:id="rId14" w:history="1">
        <w:r>
          <w:rPr>
            <w:rFonts w:ascii="arial" w:eastAsia="arial" w:hAnsi="arial" w:cs="arial"/>
            <w:b w:val="0"/>
            <w:i/>
            <w:strike w:val="0"/>
            <w:noProof w:val="0"/>
            <w:color w:val="0077CC"/>
            <w:position w:val="0"/>
            <w:sz w:val="20"/>
            <w:u w:val="single"/>
            <w:vertAlign w:val="baseline"/>
          </w:rPr>
          <w:t>Gomez</w:t>
        </w:r>
      </w:hyperlink>
      <w:hyperlink r:id="rId14" w:history="1">
        <w:r>
          <w:rPr>
            <w:rFonts w:ascii="arial" w:eastAsia="arial" w:hAnsi="arial" w:cs="arial"/>
            <w:b w:val="0"/>
            <w:i/>
            <w:strike w:val="0"/>
            <w:noProof w:val="0"/>
            <w:color w:val="0077CC"/>
            <w:position w:val="0"/>
            <w:sz w:val="20"/>
            <w:u w:val="single"/>
            <w:vertAlign w:val="baseline"/>
          </w:rPr>
          <w:t>, 2023 Tex. App. LEXIS 8604, 2023 WL 7552682, at *5-6</w:t>
        </w:r>
      </w:hyperlink>
      <w:r>
        <w:rPr>
          <w:rFonts w:ascii="arial" w:eastAsia="arial" w:hAnsi="arial" w:cs="arial"/>
          <w:b w:val="0"/>
          <w:i w:val="0"/>
          <w:strike w:val="0"/>
          <w:noProof w:val="0"/>
          <w:color w:val="000000"/>
          <w:position w:val="0"/>
          <w:sz w:val="20"/>
          <w:u w:val="none"/>
          <w:vertAlign w:val="baseline"/>
        </w:rPr>
        <w:t>, we hold the trial court did not abuse its discretion in determining that the State had not met its burden under either strict or intermediate scrutiny. Therefore, we affirm the trial court's order granting Rodriguez Rodas habeas relief and dismissing his criminal case with prejudice.</w:t>
      </w:r>
    </w:p>
    <w:p>
      <w:pPr>
        <w:keepNext w:val="0"/>
        <w:spacing w:before="200" w:after="0" w:line="260" w:lineRule="atLeast"/>
        <w:ind w:left="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Liza A. Rodriguez, Justice</w:t>
      </w:r>
    </w:p>
    <w:p>
      <w:pPr>
        <w:keepNext w:val="0"/>
        <w:spacing w:before="200" w:after="0" w:line="260" w:lineRule="atLeast"/>
        <w:ind w:left="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Rodriguez Rodas, 2023 Tex. App. LEXIS 8781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9PG-8CR1-JCRC-B2K4-00000-00&amp;context=1519360&amp;link=LNHNREFclscc2"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5DF0-03X1-JW8X-V15R-00000-00&amp;context=1519360" TargetMode="External" /><Relationship Id="rId14" Type="http://schemas.openxmlformats.org/officeDocument/2006/relationships/hyperlink" Target="https://advance.lexis.com/api/document?collection=cases&amp;id=urn:contentItem:69N0-G2B1-JW5H-X476-00000-00&amp;context=1519360" TargetMode="External" /><Relationship Id="rId15" Type="http://schemas.openxmlformats.org/officeDocument/2006/relationships/hyperlink" Target="https://advance.lexis.com/api/document?collection=cases&amp;id=urn:contentItem:69PG-8CR1-JCRC-B2K4-00000-00&amp;context=1519360&amp;link=clscc1" TargetMode="External" /><Relationship Id="rId16" Type="http://schemas.openxmlformats.org/officeDocument/2006/relationships/image" Target="media/image3.png" /><Relationship Id="rId17" Type="http://schemas.openxmlformats.org/officeDocument/2006/relationships/hyperlink" Target="https://advance.lexis.com/api/document?collection=cases&amp;id=urn:contentItem:68HG-6YR1-JBM1-M2J6-00000-00&amp;context=1519360" TargetMode="External" /><Relationship Id="rId18" Type="http://schemas.openxmlformats.org/officeDocument/2006/relationships/hyperlink" Target="https://advance.lexis.com/api/document?collection=cases&amp;id=urn:contentItem:69PG-8CR1-JCRC-B2K4-00000-00&amp;context=1519360&amp;link=clscc2" TargetMode="External" /><Relationship Id="rId19" Type="http://schemas.openxmlformats.org/officeDocument/2006/relationships/hyperlink" Target="https://advance.lexis.com/api/document?collection=cases&amp;id=urn:contentItem:3S4X-5DB0-003B-S4DF-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7BY0-003B-S248-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PG-8CR1-JCRC-B2K4-00000-00&amp;context=1519360" TargetMode="External" /><Relationship Id="rId9" Type="http://schemas.openxmlformats.org/officeDocument/2006/relationships/hyperlink" Target="https://advance.lexis.com/api/document?collection=cases&amp;id=urn:contentItem:69PG-8CR1-JCRC-B2K4-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Rodriguez Rodas, 2023 Tex. App. LEXIS 8781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urn:user:PA186186280</vt:lpwstr>
  </property>
</Properties>
</file>