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Baird v. Bonta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2023, Decided; December 29,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2:19-cv-00617-KJM-AC</w:t>
      </w:r>
    </w:p>
    <w:p>
      <w:pPr>
        <w:keepNext w:val="0"/>
        <w:spacing w:after="0" w:line="240" w:lineRule="atLeast"/>
        <w:ind w:right="0"/>
        <w:jc w:val="both"/>
      </w:pPr>
      <w:bookmarkStart w:id="0" w:name="Bookmark_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709 F. Supp. 3d 1091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231190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123 Fed. R. Evid. Serv. (Callaghan) 1547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Mark Baird and Richard Gallardo, Plaintiffs, v. Rob Bonta, et al.,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regulations, firearms, weapons, licensing, restrictions, guns, concealed, handguns, carrying, arms, self-defense, openly, historians, bear arms, carry a firearm, courts, violence, cases, colonial, rights, ban, nineteenth century, knives, lower court, pistols, places, circumstances, prohibitions, decisions, militia</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Mark Baird, Richard Gallardo, Plaintiffs: Christopher Richard Cosca, LEAD ATTORNEY, Cosca Law Corporation, Sacramento, CA USA; Amy L. Bellantoni, PHV, PRO HAC VICE, The Bellantoni Law Firm, PLLC, Scarsdale, NY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Rob Bonta, in his official capacity as Attorney General of the State of California, Defendant: R. Matthew Wise, LEAD ATTORNEY, Office Of The Attorney General, Sacramento, CA USA; Ryan Richard Davis, LEAD ATTORNEY, California Department of Justice, Sacramento, CA USA; R. Matthew Wise, LEAD ATTORNEY, Office Of The Attorney General.</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Kimberly J. Mueller, CHIEF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Kimberly J. Mueller</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[*1093] </w:t>
      </w:r>
      <w:r>
        <w:rPr>
          <w:rFonts w:ascii="arial" w:eastAsia="arial" w:hAnsi="arial" w:cs="arial"/>
          <w:b w:val="0"/>
          <w:i w:val="0"/>
          <w:strike w:val="0"/>
          <w:noProof w:val="0"/>
          <w:color w:val="000000"/>
          <w:position w:val="0"/>
          <w:sz w:val="20"/>
          <w:u w:val="none"/>
          <w:vertAlign w:val="baseline"/>
        </w:rPr>
        <w:t xml:space="preserve"> ORDER</w:t>
      </w:r>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Plaintiffs Mark Baird and Richard Gallardo have brought this facial constitutional challenge to two California firearm laws under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These laws impose criminal liability on people who carry handguns openly without permits, which are available in the counties where Baird and Gallardo live, but not all counties. They and the defendant, the Attorney General of California, all have moved for summary judgment.</w:t>
      </w:r>
    </w:p>
    <w:p>
      <w:pPr>
        <w:keepNext w:val="0"/>
        <w:spacing w:before="240" w:after="0" w:line="260" w:lineRule="atLeast"/>
        <w:ind w:left="0" w:right="0" w:firstLine="0"/>
        <w:jc w:val="both"/>
      </w:pPr>
      <w:bookmarkStart w:id="8" w:name="Bookmark_para_2"/>
      <w:bookmarkEnd w:id="8"/>
      <w:bookmarkStart w:id="9" w:name="Bookmark_II08CDXTHM7G003RRS7S007D2"/>
      <w:bookmarkEnd w:id="9"/>
      <w:bookmarkStart w:id="10" w:name="Bookmark_I6B11G0X2SF7KT0020000400"/>
      <w:bookmarkEnd w:id="10"/>
      <w:bookmarkStart w:id="11" w:name="Bookmark_I6B11G0X2SF7KT0040000400"/>
      <w:bookmarkEnd w:id="11"/>
      <w:r>
        <w:rPr>
          <w:rFonts w:ascii="arial" w:eastAsia="arial" w:hAnsi="arial" w:cs="arial"/>
          <w:b w:val="0"/>
          <w:i w:val="0"/>
          <w:strike w:val="0"/>
          <w:noProof w:val="0"/>
          <w:color w:val="000000"/>
          <w:position w:val="0"/>
          <w:sz w:val="20"/>
          <w:u w:val="none"/>
          <w:vertAlign w:val="baseline"/>
        </w:rPr>
        <w:t>In cases like this one, the Supreme Court has instructed district courts to decide first whether the plaintiffs' conduct is protected by the plain text of the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and if it is, then whether the state has proven its laws are "consistent with the Nation's historical tradition of firearm regulation." </w:t>
      </w:r>
      <w:bookmarkStart w:id="12" w:name="Bookmark_I6B11G0X2SF7KT0010000400"/>
      <w:bookmarkEnd w:id="12"/>
      <w:hyperlink r:id="rId11" w:history="1">
        <w:r>
          <w:rPr>
            <w:rFonts w:ascii="arial" w:eastAsia="arial" w:hAnsi="arial" w:cs="arial"/>
            <w:b w:val="0"/>
            <w:i/>
            <w:strike w:val="0"/>
            <w:noProof w:val="0"/>
            <w:color w:val="0077CC"/>
            <w:position w:val="0"/>
            <w:sz w:val="20"/>
            <w:u w:val="single"/>
            <w:vertAlign w:val="baseline"/>
          </w:rPr>
          <w:t>New York State Rifle &amp; Pistol Association, Inc. v. Bruen</w:t>
        </w:r>
      </w:hyperlink>
      <w:hyperlink r:id="rId11" w:history="1">
        <w:r>
          <w:rPr>
            <w:rFonts w:ascii="arial" w:eastAsia="arial" w:hAnsi="arial" w:cs="arial"/>
            <w:b w:val="0"/>
            <w:i/>
            <w:strike w:val="0"/>
            <w:noProof w:val="0"/>
            <w:color w:val="0077CC"/>
            <w:position w:val="0"/>
            <w:sz w:val="20"/>
            <w:u w:val="single"/>
            <w:vertAlign w:val="baseline"/>
          </w:rPr>
          <w:t>, 597 U.S. 1, 142 S. Ct. 2111, 2130, 213 L. Ed. 2d 387 (2022)</w:t>
        </w:r>
      </w:hyperlink>
      <w:r>
        <w:rPr>
          <w:rFonts w:ascii="arial" w:eastAsia="arial" w:hAnsi="arial" w:cs="arial"/>
          <w:b w:val="0"/>
          <w:i w:val="0"/>
          <w:strike w:val="0"/>
          <w:noProof w:val="0"/>
          <w:color w:val="000000"/>
          <w:position w:val="0"/>
          <w:sz w:val="20"/>
          <w:u w:val="none"/>
          <w:vertAlign w:val="baseline"/>
        </w:rPr>
        <w:t xml:space="preserve">. The plain text of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protects what the Supreme Court has described as the right of "ordinary, law-abiding citizens" to carry firearms in public for self-defense. </w:t>
      </w:r>
      <w:bookmarkStart w:id="13" w:name="Bookmark_I6B11G0X28T3XK0010000400"/>
      <w:bookmarkEnd w:id="13"/>
      <w:bookmarkStart w:id="14" w:name="Bookmark_I6B11G0X2SF7KT0030000400"/>
      <w:bookmarkEnd w:id="14"/>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2122</w:t>
        </w:r>
      </w:hyperlink>
      <w:r>
        <w:rPr>
          <w:rFonts w:ascii="arial" w:eastAsia="arial" w:hAnsi="arial" w:cs="arial"/>
          <w:b w:val="0"/>
          <w:i w:val="0"/>
          <w:strike w:val="0"/>
          <w:noProof w:val="0"/>
          <w:color w:val="000000"/>
          <w:position w:val="0"/>
          <w:sz w:val="20"/>
          <w:u w:val="none"/>
          <w:vertAlign w:val="baseline"/>
        </w:rPr>
        <w:t xml:space="preserve">. </w:t>
      </w:r>
      <w:bookmarkStart w:id="15" w:name="Bookmark_I6B11G0X28T3XK0010000400_2"/>
      <w:bookmarkEnd w:id="15"/>
      <w:r>
        <w:rPr>
          <w:rFonts w:ascii="arial" w:eastAsia="arial" w:hAnsi="arial" w:cs="arial"/>
          <w:b w:val="0"/>
          <w:i w:val="0"/>
          <w:strike w:val="0"/>
          <w:noProof w:val="0"/>
          <w:color w:val="000000"/>
          <w:position w:val="0"/>
          <w:sz w:val="20"/>
          <w:u w:val="none"/>
          <w:vertAlign w:val="baseline"/>
        </w:rPr>
        <w:t xml:space="preserve">Here, California's laws place a burden on that conduct, meaning the state must show those laws are consistent with this country's historical tradition of firearm regulation. </w:t>
      </w:r>
      <w:bookmarkStart w:id="16" w:name="Bookmark_I6B11G0X2SF7KT0050000400"/>
      <w:bookmarkEnd w:id="16"/>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2130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 w:name="Bookmark_para_3"/>
      <w:bookmarkEnd w:id="17"/>
      <w:r>
        <w:rPr>
          <w:rFonts w:ascii="arial" w:eastAsia="arial" w:hAnsi="arial" w:cs="arial"/>
          <w:b w:val="0"/>
          <w:i w:val="0"/>
          <w:strike w:val="0"/>
          <w:noProof w:val="0"/>
          <w:color w:val="000000"/>
          <w:position w:val="0"/>
          <w:sz w:val="20"/>
          <w:u w:val="none"/>
          <w:vertAlign w:val="baseline"/>
        </w:rPr>
        <w:t xml:space="preserve">It is not an easy task to make principled decisions about similarities and differences between modern regulations and laws passed hundreds of years ago, as required here. The historical record reveals no obviously correct answers. But the state has cited many historical statutes and regulations, which—like California's modern laws—limited how people could carry weapons in public in analogous circumstances based on analogous goals, such as preserving the peace. Those historical laws also were similarly restrictive, if not more so. Baird and Gallardo have not refuted the state's evidence. For these reasons, as </w:t>
      </w:r>
      <w:r>
        <w:rPr>
          <w:rFonts w:ascii="arial" w:eastAsia="arial" w:hAnsi="arial" w:cs="arial"/>
          <w:b/>
          <w:i w:val="0"/>
          <w:strike w:val="0"/>
          <w:noProof w:val="0"/>
          <w:color w:val="000000"/>
          <w:position w:val="0"/>
          <w:sz w:val="20"/>
          <w:u w:val="none"/>
          <w:vertAlign w:val="baseline"/>
        </w:rPr>
        <w:t> [*1094] </w:t>
      </w:r>
      <w:r>
        <w:rPr>
          <w:rFonts w:ascii="arial" w:eastAsia="arial" w:hAnsi="arial" w:cs="arial"/>
          <w:b w:val="0"/>
          <w:i w:val="0"/>
          <w:strike w:val="0"/>
          <w:noProof w:val="0"/>
          <w:color w:val="000000"/>
          <w:position w:val="0"/>
          <w:sz w:val="20"/>
          <w:u w:val="none"/>
          <w:vertAlign w:val="baseline"/>
        </w:rPr>
        <w:t xml:space="preserve"> explained in full below, the court concludes the state has shown what it must to prove its laws are constitutional.</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defendant's motion for summary judgment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and the plaintiffs' cross-motion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STATE STATUTES AND LICENSING SYSTEM</w:t>
      </w:r>
    </w:p>
    <w:p>
      <w:pPr>
        <w:keepNext w:val="0"/>
        <w:spacing w:before="240" w:after="0" w:line="260" w:lineRule="atLeast"/>
        <w:ind w:left="0" w:right="0" w:firstLine="0"/>
        <w:jc w:val="both"/>
      </w:pPr>
      <w:bookmarkStart w:id="18" w:name="Bookmark_para_4"/>
      <w:bookmarkEnd w:id="18"/>
      <w:r>
        <w:rPr>
          <w:rFonts w:ascii="arial" w:eastAsia="arial" w:hAnsi="arial" w:cs="arial"/>
          <w:b w:val="0"/>
          <w:i w:val="0"/>
          <w:strike w:val="0"/>
          <w:noProof w:val="0"/>
          <w:color w:val="000000"/>
          <w:position w:val="0"/>
          <w:sz w:val="20"/>
          <w:u w:val="none"/>
          <w:vertAlign w:val="baseline"/>
        </w:rPr>
        <w:t xml:space="preserve">In California, it is ordinarily a crime for people to carry firearms outside their homes and businesses unless they have a license.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Cal. Pen. Code §§ 25850(a)</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26350(a)</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26150</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26155</w:t>
        </w:r>
      </w:hyperlink>
      <w:r>
        <w:rPr>
          <w:rFonts w:ascii="arial" w:eastAsia="arial" w:hAnsi="arial" w:cs="arial"/>
          <w:b w:val="0"/>
          <w:i w:val="0"/>
          <w:strike w:val="0"/>
          <w:noProof w:val="0"/>
          <w:color w:val="000000"/>
          <w:position w:val="0"/>
          <w:sz w:val="20"/>
          <w:u w:val="none"/>
          <w:vertAlign w:val="baseline"/>
        </w:rPr>
        <w:t xml:space="preserve">. There are several exceptions to this general rule. Current and retired peace officers, military personnel, and federal officers, for example, need no license; nor do security guards or private investigators; licensed hunters may carry firearms on hunting trips.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 xml:space="preserve">§§ 26000 </w:t>
        </w:r>
      </w:hyperlink>
      <w:hyperlink r:id="rId16"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The state also has created narrow exceptions for a few extraordinary circumstances in which firearms might be necessary for self-defense. For example, people can carry loaded firearms in public without a license if they or their property are in danger and if they have notified law enforcement but it has not arrived.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 26045</w:t>
        </w:r>
      </w:hyperlink>
      <w:r>
        <w:rPr>
          <w:rFonts w:ascii="arial" w:eastAsia="arial" w:hAnsi="arial" w:cs="arial"/>
          <w:b w:val="0"/>
          <w:i w:val="0"/>
          <w:strike w:val="0"/>
          <w:noProof w:val="0"/>
          <w:color w:val="000000"/>
          <w:position w:val="0"/>
          <w:sz w:val="20"/>
          <w:u w:val="none"/>
          <w:vertAlign w:val="baseline"/>
        </w:rPr>
        <w:t xml:space="preserve">. Nor does the state punish those who carry loaded firearms while making or attempting to make a lawful arrest.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 26050</w:t>
        </w:r>
      </w:hyperlink>
      <w:r>
        <w:rPr>
          <w:rFonts w:ascii="arial" w:eastAsia="arial" w:hAnsi="arial" w:cs="arial"/>
          <w:b w:val="0"/>
          <w:i w:val="0"/>
          <w:strike w:val="0"/>
          <w:noProof w:val="0"/>
          <w:color w:val="000000"/>
          <w:position w:val="0"/>
          <w:sz w:val="20"/>
          <w:u w:val="none"/>
          <w:vertAlign w:val="baseline"/>
        </w:rPr>
        <w:t xml:space="preserve">. But ordinarily, a license from a local law enforcement agency is a prerequisite to carrying a firearm in public.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 26150</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26155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 w:name="Bookmark_para_5"/>
      <w:bookmarkEnd w:id="19"/>
      <w:bookmarkStart w:id="20" w:name="Bookmark_I6B11G0X28T3XK0030000400"/>
      <w:bookmarkEnd w:id="20"/>
      <w:r>
        <w:rPr>
          <w:rFonts w:ascii="arial" w:eastAsia="arial" w:hAnsi="arial" w:cs="arial"/>
          <w:b w:val="0"/>
          <w:i w:val="0"/>
          <w:strike w:val="0"/>
          <w:noProof w:val="0"/>
          <w:color w:val="000000"/>
          <w:position w:val="0"/>
          <w:sz w:val="20"/>
          <w:u w:val="none"/>
          <w:vertAlign w:val="baseline"/>
        </w:rPr>
        <w:t>State law currently requires license applicants to satisfy three criteria: "good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moral character," residence or work in the relevant city or county, and completion of a "course of training."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 26150(a)(1)-(3)</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26155(a)(1)-(3)</w:t>
        </w:r>
      </w:hyperlink>
      <w:r>
        <w:rPr>
          <w:rFonts w:ascii="arial" w:eastAsia="arial" w:hAnsi="arial" w:cs="arial"/>
          <w:b w:val="0"/>
          <w:i w:val="0"/>
          <w:strike w:val="0"/>
          <w:noProof w:val="0"/>
          <w:color w:val="000000"/>
          <w:position w:val="0"/>
          <w:sz w:val="20"/>
          <w:u w:val="none"/>
          <w:vertAlign w:val="baseline"/>
        </w:rPr>
        <w:t xml:space="preserve">. The state once required applicants to demonstrate "good cause" for a license as well, but after the United States Supreme Court decided the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case and struck down a similar "proper cause" requirement in New York, the California Attorney General instructed prosecutors not to enforce that part of the state's licensing statute.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Office of the Attorney General, Legal Alert (June 24, 2022) (citing </w:t>
      </w:r>
      <w:bookmarkStart w:id="21" w:name="Bookmark_I6B11G0X28T3XK0020000400"/>
      <w:bookmarkEnd w:id="21"/>
      <w:hyperlink r:id="rId11" w:history="1">
        <w:r>
          <w:rPr>
            <w:rFonts w:ascii="arial" w:eastAsia="arial" w:hAnsi="arial" w:cs="arial"/>
            <w:b w:val="0"/>
            <w:i/>
            <w:strike w:val="0"/>
            <w:noProof w:val="0"/>
            <w:color w:val="0077CC"/>
            <w:position w:val="0"/>
            <w:sz w:val="20"/>
            <w:u w:val="single"/>
            <w:vertAlign w:val="baseline"/>
          </w:rPr>
          <w:t>Bruen</w:t>
        </w:r>
      </w:hyperlink>
      <w:hyperlink r:id="rId11" w:history="1">
        <w:r>
          <w:rPr>
            <w:rFonts w:ascii="arial" w:eastAsia="arial" w:hAnsi="arial" w:cs="arial"/>
            <w:b w:val="0"/>
            <w:i/>
            <w:strike w:val="0"/>
            <w:noProof w:val="0"/>
            <w:color w:val="0077CC"/>
            <w:position w:val="0"/>
            <w:sz w:val="20"/>
            <w:u w:val="single"/>
            <w:vertAlign w:val="baseline"/>
          </w:rPr>
          <w:t>, 142 S. Ct. 2111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This instruction mooted any dispute about California's former "good cause" law.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Order, </w:t>
      </w:r>
      <w:bookmarkStart w:id="23" w:name="Bookmark_I6B11G0X28T3XK0040000400"/>
      <w:bookmarkEnd w:id="23"/>
      <w:hyperlink r:id="rId19" w:history="1">
        <w:r>
          <w:rPr>
            <w:rFonts w:ascii="arial" w:eastAsia="arial" w:hAnsi="arial" w:cs="arial"/>
            <w:b w:val="0"/>
            <w:i/>
            <w:strike w:val="0"/>
            <w:noProof w:val="0"/>
            <w:color w:val="0077CC"/>
            <w:position w:val="0"/>
            <w:sz w:val="20"/>
            <w:u w:val="single"/>
            <w:vertAlign w:val="baseline"/>
          </w:rPr>
          <w:t>Flanagan v. Bonta</w:t>
        </w:r>
      </w:hyperlink>
      <w:hyperlink r:id="rId19" w:history="1">
        <w:r>
          <w:rPr>
            <w:rFonts w:ascii="arial" w:eastAsia="arial" w:hAnsi="arial" w:cs="arial"/>
            <w:b w:val="0"/>
            <w:i/>
            <w:strike w:val="0"/>
            <w:noProof w:val="0"/>
            <w:color w:val="0077CC"/>
            <w:position w:val="0"/>
            <w:sz w:val="20"/>
            <w:u w:val="single"/>
            <w:vertAlign w:val="baseline"/>
          </w:rPr>
          <w:t>, No. 18-55717, 2023 U.S. App. LEXIS 3011, 2023 WL 1771160 (9th Cir. Feb. 1, 2023)</w:t>
        </w:r>
      </w:hyperlink>
      <w:r>
        <w:rPr>
          <w:rFonts w:ascii="arial" w:eastAsia="arial" w:hAnsi="arial" w:cs="arial"/>
          <w:b w:val="0"/>
          <w:i w:val="0"/>
          <w:strike w:val="0"/>
          <w:noProof w:val="0"/>
          <w:color w:val="000000"/>
          <w:position w:val="0"/>
          <w:sz w:val="20"/>
          <w:u w:val="none"/>
          <w:vertAlign w:val="baseline"/>
        </w:rPr>
        <w:t xml:space="preserve"> (dismissing a challenge to the "good cause" requirement as moot). The state also requires applicants to submit fingerprints.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Cal. Pen. Code § 26185</w:t>
        </w:r>
      </w:hyperlink>
      <w:r>
        <w:rPr>
          <w:rFonts w:ascii="arial" w:eastAsia="arial" w:hAnsi="arial" w:cs="arial"/>
          <w:b w:val="0"/>
          <w:i w:val="0"/>
          <w:strike w:val="0"/>
          <w:noProof w:val="0"/>
          <w:color w:val="000000"/>
          <w:position w:val="0"/>
          <w:sz w:val="20"/>
          <w:u w:val="none"/>
          <w:vertAlign w:val="baseline"/>
        </w:rPr>
        <w:t xml:space="preserve">. It does not issue licenses to anyone the California Department of Justice determines is legally prohibited from possessing, owning or purchasing a gun.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Cal. Pen. Code § 26195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25" w:name="Bookmark_para_6"/>
      <w:bookmarkEnd w:id="25"/>
      <w:r>
        <w:rPr>
          <w:rFonts w:ascii="arial" w:eastAsia="arial" w:hAnsi="arial" w:cs="arial"/>
          <w:b w:val="0"/>
          <w:i w:val="0"/>
          <w:strike w:val="0"/>
          <w:noProof w:val="0"/>
          <w:color w:val="000000"/>
          <w:position w:val="0"/>
          <w:sz w:val="20"/>
          <w:u w:val="none"/>
          <w:vertAlign w:val="baseline"/>
        </w:rPr>
        <w:t xml:space="preserve">At this point, two types of licenses are available. First are concealed-carry licenses: </w:t>
      </w:r>
      <w:r>
        <w:rPr>
          <w:rFonts w:ascii="arial" w:eastAsia="arial" w:hAnsi="arial" w:cs="arial"/>
          <w:b/>
          <w:i w:val="0"/>
          <w:strike w:val="0"/>
          <w:noProof w:val="0"/>
          <w:color w:val="000000"/>
          <w:position w:val="0"/>
          <w:sz w:val="20"/>
          <w:u w:val="none"/>
          <w:vertAlign w:val="baseline"/>
        </w:rPr>
        <w:t> [*1095] </w:t>
      </w:r>
      <w:r>
        <w:rPr>
          <w:rFonts w:ascii="arial" w:eastAsia="arial" w:hAnsi="arial" w:cs="arial"/>
          <w:b w:val="0"/>
          <w:i w:val="0"/>
          <w:strike w:val="0"/>
          <w:noProof w:val="0"/>
          <w:color w:val="000000"/>
          <w:position w:val="0"/>
          <w:sz w:val="20"/>
          <w:u w:val="none"/>
          <w:vertAlign w:val="baseline"/>
        </w:rPr>
        <w:t xml:space="preserve"> local law enforcement agencies can issue licenses for a person "to carry concealed a pistol, revolver, or other firearm capable of being concealed upon the person," and those licenses are viable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throughout the state.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Cal. Pen. Code §§ 26150(b)(1)</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26155(b)(1)</w:t>
        </w:r>
      </w:hyperlink>
      <w:r>
        <w:rPr>
          <w:rFonts w:ascii="arial" w:eastAsia="arial" w:hAnsi="arial" w:cs="arial"/>
          <w:b w:val="0"/>
          <w:i w:val="0"/>
          <w:strike w:val="0"/>
          <w:noProof w:val="0"/>
          <w:color w:val="000000"/>
          <w:position w:val="0"/>
          <w:sz w:val="20"/>
          <w:u w:val="none"/>
          <w:vertAlign w:val="baseline"/>
        </w:rPr>
        <w:t xml:space="preserve">. Second are open-carry licenses: in counties with a population of less than 200,000 by the most recent federal census, local authorities can issue licenses to carry the same types of weapons "loaded and exposed," but only in that county.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 26150(b)(2)</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26155(b)(2)</w:t>
        </w:r>
      </w:hyperlink>
      <w:r>
        <w:rPr>
          <w:rFonts w:ascii="arial" w:eastAsia="arial" w:hAnsi="arial" w:cs="arial"/>
          <w:b w:val="0"/>
          <w:i w:val="0"/>
          <w:strike w:val="0"/>
          <w:noProof w:val="0"/>
          <w:color w:val="000000"/>
          <w:position w:val="0"/>
          <w:sz w:val="20"/>
          <w:u w:val="none"/>
          <w:vertAlign w:val="baseline"/>
        </w:rPr>
        <w:t>. In practical terms, California allows local authorities to issue licenses to carry handguns anywhere within its borders, but unless the license holder lives or works in a county with fewer than 200,000 residents, the state requires that guns remain concealed. Thirty California counties have populations below 200,000.</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Twenty2 eight counties have populations above 200,000.</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About 2 million people, roughly 5 percent of the state's population, live in counties with populations below 200,000; the other 95 percent live in California counties with populations above 200,000.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counties in this second group include those that are home to California's largest and most prominent cities, including Los Angeles, San Diego, San Jose, San Francisco, Fresno, Sacramento and Oakland.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AND PROCEDURAL BACKGROUND</w:t>
      </w:r>
    </w:p>
    <w:p>
      <w:pPr>
        <w:keepNext w:val="0"/>
        <w:spacing w:before="240" w:after="0" w:line="260" w:lineRule="atLeast"/>
        <w:ind w:left="0" w:right="0" w:firstLine="0"/>
        <w:jc w:val="both"/>
      </w:pPr>
      <w:bookmarkStart w:id="30" w:name="Bookmark_para_7"/>
      <w:bookmarkEnd w:id="30"/>
      <w:r>
        <w:rPr>
          <w:rFonts w:ascii="arial" w:eastAsia="arial" w:hAnsi="arial" w:cs="arial"/>
          <w:b w:val="0"/>
          <w:i w:val="0"/>
          <w:strike w:val="0"/>
          <w:noProof w:val="0"/>
          <w:color w:val="000000"/>
          <w:position w:val="0"/>
          <w:sz w:val="20"/>
          <w:u w:val="none"/>
          <w:vertAlign w:val="baseline"/>
        </w:rPr>
        <w:t>Baird and Gallardo originally filed this case more than four years ago. Since then,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law concerning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as determined by the Supreme Court and federal appellate courts has been changing almost constantly. The history of this case is entangled with the changing federal law. An introduction to the changing precedent and its foundation is necessary to understand the parties' cross-motions and this court's decision.</w:t>
      </w:r>
    </w:p>
    <w:p>
      <w:pPr>
        <w:keepNext w:val="0"/>
        <w:spacing w:before="240" w:after="0" w:line="260" w:lineRule="atLeast"/>
        <w:ind w:left="0" w:right="0" w:firstLine="0"/>
        <w:jc w:val="both"/>
      </w:pPr>
      <w:bookmarkStart w:id="31" w:name="Bookmark_para_8"/>
      <w:bookmarkEnd w:id="31"/>
      <w:bookmarkStart w:id="32" w:name="Bookmark_I6B11G0Y28T3XM0040000400"/>
      <w:bookmarkEnd w:id="32"/>
      <w:r>
        <w:rPr>
          <w:rFonts w:ascii="arial" w:eastAsia="arial" w:hAnsi="arial" w:cs="arial"/>
          <w:b w:val="0"/>
          <w:i w:val="0"/>
          <w:strike w:val="0"/>
          <w:noProof w:val="0"/>
          <w:color w:val="000000"/>
          <w:position w:val="0"/>
          <w:sz w:val="20"/>
          <w:u w:val="none"/>
          <w:vertAlign w:val="baseline"/>
        </w:rPr>
        <w:t xml:space="preserve">In 2008, the Supreme Court took a careful look at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for the first time in many decades. </w:t>
      </w:r>
      <w:bookmarkStart w:id="33" w:name="Bookmark_I6B11G0Y2D6NGJ0010000400"/>
      <w:bookmarkEnd w:id="33"/>
      <w:r>
        <w:rPr>
          <w:rFonts w:ascii="arial" w:eastAsia="arial" w:hAnsi="arial" w:cs="arial"/>
          <w:b w:val="0"/>
          <w:i/>
          <w:strike w:val="0"/>
          <w:noProof w:val="0"/>
          <w:color w:val="000000"/>
          <w:position w:val="0"/>
          <w:sz w:val="20"/>
          <w:u w:val="none"/>
          <w:vertAlign w:val="baseline"/>
        </w:rPr>
        <w:t xml:space="preserve">See generally </w:t>
      </w:r>
      <w:bookmarkStart w:id="34" w:name="Bookmark_I6B11G0Y28T3XM0030000400"/>
      <w:bookmarkEnd w:id="34"/>
      <w:hyperlink r:id="rId22" w:history="1">
        <w:r>
          <w:rPr>
            <w:rFonts w:ascii="arial" w:eastAsia="arial" w:hAnsi="arial" w:cs="arial"/>
            <w:b w:val="0"/>
            <w:i/>
            <w:strike w:val="0"/>
            <w:noProof w:val="0"/>
            <w:color w:val="0077CC"/>
            <w:position w:val="0"/>
            <w:sz w:val="20"/>
            <w:u w:val="single"/>
            <w:vertAlign w:val="baseline"/>
          </w:rPr>
          <w:t>District of Columbia v. Heller</w:t>
        </w:r>
      </w:hyperlink>
      <w:hyperlink r:id="rId22" w:history="1">
        <w:r>
          <w:rPr>
            <w:rFonts w:ascii="arial" w:eastAsia="arial" w:hAnsi="arial" w:cs="arial"/>
            <w:b w:val="0"/>
            <w:i/>
            <w:strike w:val="0"/>
            <w:noProof w:val="0"/>
            <w:color w:val="0077CC"/>
            <w:position w:val="0"/>
            <w:sz w:val="20"/>
            <w:u w:val="single"/>
            <w:vertAlign w:val="baseline"/>
          </w:rPr>
          <w:t>, 554 U.S. 570, 128 S. Ct. 2783, 171 L. Ed. 2d 637 (2008)</w:t>
        </w:r>
      </w:hyperlink>
      <w:r>
        <w:rPr>
          <w:rFonts w:ascii="arial" w:eastAsia="arial" w:hAnsi="arial" w:cs="arial"/>
          <w:b w:val="0"/>
          <w:i w:val="0"/>
          <w:strike w:val="0"/>
          <w:noProof w:val="0"/>
          <w:color w:val="000000"/>
          <w:position w:val="0"/>
          <w:sz w:val="20"/>
          <w:u w:val="none"/>
          <w:vertAlign w:val="baseline"/>
        </w:rPr>
        <w:t xml:space="preserve">. </w:t>
      </w:r>
      <w:bookmarkStart w:id="35" w:name="Bookmark_I6B11G0Y2D6NGJ0030000400"/>
      <w:bookmarkEnd w:id="35"/>
      <w:r>
        <w:rPr>
          <w:rFonts w:ascii="arial" w:eastAsia="arial" w:hAnsi="arial" w:cs="arial"/>
          <w:b w:val="0"/>
          <w:i w:val="0"/>
          <w:strike w:val="0"/>
          <w:noProof w:val="0"/>
          <w:color w:val="000000"/>
          <w:position w:val="0"/>
          <w:sz w:val="20"/>
          <w:u w:val="none"/>
          <w:vertAlign w:val="baseline"/>
        </w:rPr>
        <w:t xml:space="preserve">A Court majority held for the first time that individuals have a constitutional right to possess handguns in their homes for self-defense, while leaving many other questions unanswered. </w:t>
      </w:r>
      <w:bookmarkStart w:id="36" w:name="Bookmark_I6B11G0Y2D6NGJ0030000400_2"/>
      <w:bookmarkEnd w:id="36"/>
      <w:bookmarkStart w:id="37" w:name="Bookmark_I6B11G0Y2D6NGJ0010000400_2"/>
      <w:bookmarkEnd w:id="37"/>
      <w:r>
        <w:rPr>
          <w:rFonts w:ascii="arial" w:eastAsia="arial" w:hAnsi="arial" w:cs="arial"/>
          <w:b w:val="0"/>
          <w:i/>
          <w:strike w:val="0"/>
          <w:noProof w:val="0"/>
          <w:color w:val="000000"/>
          <w:position w:val="0"/>
          <w:sz w:val="20"/>
          <w:u w:val="none"/>
          <w:vertAlign w:val="baseline"/>
        </w:rPr>
        <w:t xml:space="preserve">See </w:t>
      </w:r>
      <w:bookmarkStart w:id="38" w:name="Bookmark_I6B11G0Y28T3XM0050000400"/>
      <w:bookmarkEnd w:id="38"/>
      <w:hyperlink r:id="rId22" w:history="1">
        <w:r>
          <w:rPr>
            <w:rFonts w:ascii="arial" w:eastAsia="arial" w:hAnsi="arial" w:cs="arial"/>
            <w:b w:val="0"/>
            <w:i/>
            <w:strike w:val="0"/>
            <w:noProof w:val="0"/>
            <w:color w:val="0077CC"/>
            <w:position w:val="0"/>
            <w:sz w:val="20"/>
            <w:u w:val="single"/>
            <w:vertAlign w:val="baseline"/>
          </w:rPr>
          <w:t>id.</w:t>
        </w:r>
      </w:hyperlink>
      <w:hyperlink r:id="rId22" w:history="1">
        <w:r>
          <w:rPr>
            <w:rFonts w:ascii="arial" w:eastAsia="arial" w:hAnsi="arial" w:cs="arial"/>
            <w:b w:val="0"/>
            <w:i/>
            <w:strike w:val="0"/>
            <w:noProof w:val="0"/>
            <w:color w:val="0077CC"/>
            <w:position w:val="0"/>
            <w:sz w:val="20"/>
            <w:u w:val="single"/>
            <w:vertAlign w:val="baseline"/>
          </w:rPr>
          <w:t xml:space="preserve"> at 592</w:t>
        </w:r>
      </w:hyperlink>
      <w:r>
        <w:rPr>
          <w:rFonts w:ascii="arial" w:eastAsia="arial" w:hAnsi="arial" w:cs="arial"/>
          <w:b w:val="0"/>
          <w:i w:val="0"/>
          <w:strike w:val="0"/>
          <w:noProof w:val="0"/>
          <w:color w:val="000000"/>
          <w:position w:val="0"/>
          <w:sz w:val="20"/>
          <w:u w:val="none"/>
          <w:vertAlign w:val="baseline"/>
        </w:rPr>
        <w:t xml:space="preserve">. The Court did not decide, for example, whether people have any constitutional right to carry firearms outside their homes, and it cautioned that "the right secured by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is not unlimited." </w:t>
      </w:r>
      <w:bookmarkStart w:id="39" w:name="Bookmark_I6B11G0Y2D6NGJ0020000400"/>
      <w:bookmarkEnd w:id="39"/>
      <w:hyperlink r:id="rId22" w:history="1">
        <w:r>
          <w:rPr>
            <w:rFonts w:ascii="arial" w:eastAsia="arial" w:hAnsi="arial" w:cs="arial"/>
            <w:b w:val="0"/>
            <w:i/>
            <w:strike w:val="0"/>
            <w:noProof w:val="0"/>
            <w:color w:val="0077CC"/>
            <w:position w:val="0"/>
            <w:sz w:val="20"/>
            <w:u w:val="single"/>
            <w:vertAlign w:val="baseline"/>
          </w:rPr>
          <w:t>Id.</w:t>
        </w:r>
      </w:hyperlink>
      <w:hyperlink r:id="rId22" w:history="1">
        <w:r>
          <w:rPr>
            <w:rFonts w:ascii="arial" w:eastAsia="arial" w:hAnsi="arial" w:cs="arial"/>
            <w:b w:val="0"/>
            <w:i/>
            <w:strike w:val="0"/>
            <w:noProof w:val="0"/>
            <w:color w:val="0077CC"/>
            <w:position w:val="0"/>
            <w:sz w:val="20"/>
            <w:u w:val="single"/>
            <w:vertAlign w:val="baseline"/>
          </w:rPr>
          <w:t xml:space="preserve"> at 626</w:t>
        </w:r>
      </w:hyperlink>
      <w:r>
        <w:rPr>
          <w:rFonts w:ascii="arial" w:eastAsia="arial" w:hAnsi="arial" w:cs="arial"/>
          <w:b w:val="0"/>
          <w:i w:val="0"/>
          <w:strike w:val="0"/>
          <w:noProof w:val="0"/>
          <w:color w:val="000000"/>
          <w:position w:val="0"/>
          <w:sz w:val="20"/>
          <w:u w:val="none"/>
          <w:vertAlign w:val="baseline"/>
        </w:rPr>
        <w:t xml:space="preserve">. </w:t>
      </w:r>
      <w:bookmarkStart w:id="40" w:name="Bookmark_I6B11G0Y2D6NGJ0050000400"/>
      <w:bookmarkEnd w:id="40"/>
      <w:r>
        <w:rPr>
          <w:rFonts w:ascii="arial" w:eastAsia="arial" w:hAnsi="arial" w:cs="arial"/>
          <w:b w:val="0"/>
          <w:i w:val="0"/>
          <w:strike w:val="0"/>
          <w:noProof w:val="0"/>
          <w:color w:val="000000"/>
          <w:position w:val="0"/>
          <w:sz w:val="20"/>
          <w:u w:val="none"/>
          <w:vertAlign w:val="baseline"/>
        </w:rPr>
        <w:t xml:space="preserve">It suggested, but did not decide, that several longstanding "prohibitions on carrying concealed weapons" were lawful.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also expressed its sense that "prohibitions on the possession of firearms by </w:t>
      </w:r>
      <w:r>
        <w:rPr>
          <w:rFonts w:ascii="arial" w:eastAsia="arial" w:hAnsi="arial" w:cs="arial"/>
          <w:b/>
          <w:i w:val="0"/>
          <w:strike w:val="0"/>
          <w:noProof w:val="0"/>
          <w:color w:val="000000"/>
          <w:position w:val="0"/>
          <w:sz w:val="20"/>
          <w:u w:val="none"/>
          <w:vertAlign w:val="baseline"/>
        </w:rPr>
        <w:t> [*1096] </w:t>
      </w:r>
      <w:r>
        <w:rPr>
          <w:rFonts w:ascii="arial" w:eastAsia="arial" w:hAnsi="arial" w:cs="arial"/>
          <w:b w:val="0"/>
          <w:i w:val="0"/>
          <w:strike w:val="0"/>
          <w:noProof w:val="0"/>
          <w:color w:val="000000"/>
          <w:position w:val="0"/>
          <w:sz w:val="20"/>
          <w:u w:val="none"/>
          <w:vertAlign w:val="baseline"/>
        </w:rPr>
        <w:t xml:space="preserve"> the mentally ill" were constitutional, as were "laws forbidding the carrying of firearms in sensitive places such as schools and government buildings, or laws imposing</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conditions and qualifications on the commercial sale of arms," but again, it did not decide these questions, and it did not explain further. </w:t>
      </w:r>
      <w:bookmarkStart w:id="41" w:name="Bookmark_I6B11G0Y2SF7M40020000400"/>
      <w:bookmarkEnd w:id="41"/>
      <w:bookmarkStart w:id="42" w:name="Bookmark_I6B11G0Y2D6NGJ0040000400"/>
      <w:bookmarkEnd w:id="42"/>
      <w:hyperlink r:id="rId22" w:history="1">
        <w:r>
          <w:rPr>
            <w:rFonts w:ascii="arial" w:eastAsia="arial" w:hAnsi="arial" w:cs="arial"/>
            <w:b w:val="0"/>
            <w:i/>
            <w:strike w:val="0"/>
            <w:noProof w:val="0"/>
            <w:color w:val="0077CC"/>
            <w:position w:val="0"/>
            <w:sz w:val="20"/>
            <w:u w:val="single"/>
            <w:vertAlign w:val="baseline"/>
          </w:rPr>
          <w:t>Id.</w:t>
        </w:r>
      </w:hyperlink>
      <w:hyperlink r:id="rId22" w:history="1">
        <w:r>
          <w:rPr>
            <w:rFonts w:ascii="arial" w:eastAsia="arial" w:hAnsi="arial" w:cs="arial"/>
            <w:b w:val="0"/>
            <w:i/>
            <w:strike w:val="0"/>
            <w:noProof w:val="0"/>
            <w:color w:val="0077CC"/>
            <w:position w:val="0"/>
            <w:sz w:val="20"/>
            <w:u w:val="single"/>
            <w:vertAlign w:val="baseline"/>
          </w:rPr>
          <w:t xml:space="preserve"> at 626-27</w:t>
        </w:r>
      </w:hyperlink>
      <w:r>
        <w:rPr>
          <w:rFonts w:ascii="arial" w:eastAsia="arial" w:hAnsi="arial" w:cs="arial"/>
          <w:b w:val="0"/>
          <w:i w:val="0"/>
          <w:strike w:val="0"/>
          <w:noProof w:val="0"/>
          <w:color w:val="000000"/>
          <w:position w:val="0"/>
          <w:sz w:val="20"/>
          <w:u w:val="none"/>
          <w:vertAlign w:val="baseline"/>
        </w:rPr>
        <w:t xml:space="preserve">. </w:t>
      </w:r>
      <w:bookmarkStart w:id="43" w:name="Bookmark_I6B11G0Y2SF7M40020000400_2"/>
      <w:bookmarkEnd w:id="43"/>
      <w:r>
        <w:rPr>
          <w:rFonts w:ascii="arial" w:eastAsia="arial" w:hAnsi="arial" w:cs="arial"/>
          <w:b w:val="0"/>
          <w:i w:val="0"/>
          <w:strike w:val="0"/>
          <w:noProof w:val="0"/>
          <w:color w:val="000000"/>
          <w:position w:val="0"/>
          <w:sz w:val="20"/>
          <w:u w:val="none"/>
          <w:vertAlign w:val="baseline"/>
        </w:rPr>
        <w:t xml:space="preserve">It did not intend these examples of "presumptively lawful regulatory measures" as a comprehensive list of permissible restrictions. </w:t>
      </w:r>
      <w:bookmarkStart w:id="44" w:name="Bookmark_I6B11G0Y2SF7M40040000400"/>
      <w:bookmarkEnd w:id="44"/>
      <w:r>
        <w:rPr>
          <w:rFonts w:ascii="arial" w:eastAsia="arial" w:hAnsi="arial" w:cs="arial"/>
          <w:b w:val="0"/>
          <w:i/>
          <w:strike w:val="0"/>
          <w:noProof w:val="0"/>
          <w:color w:val="000000"/>
          <w:position w:val="0"/>
          <w:sz w:val="20"/>
          <w:u w:val="none"/>
          <w:vertAlign w:val="baseline"/>
        </w:rPr>
        <w:t xml:space="preserve">See </w:t>
      </w:r>
      <w:bookmarkStart w:id="45" w:name="Bookmark_I6B11G0Y2SF7M40010000400"/>
      <w:bookmarkEnd w:id="45"/>
      <w:hyperlink r:id="rId22" w:history="1">
        <w:r>
          <w:rPr>
            <w:rFonts w:ascii="arial" w:eastAsia="arial" w:hAnsi="arial" w:cs="arial"/>
            <w:b w:val="0"/>
            <w:i/>
            <w:strike w:val="0"/>
            <w:noProof w:val="0"/>
            <w:color w:val="0077CC"/>
            <w:position w:val="0"/>
            <w:sz w:val="20"/>
            <w:u w:val="single"/>
            <w:vertAlign w:val="baseline"/>
          </w:rPr>
          <w:t>id.</w:t>
        </w:r>
      </w:hyperlink>
      <w:hyperlink r:id="rId22" w:history="1">
        <w:r>
          <w:rPr>
            <w:rFonts w:ascii="arial" w:eastAsia="arial" w:hAnsi="arial" w:cs="arial"/>
            <w:b w:val="0"/>
            <w:i/>
            <w:strike w:val="0"/>
            <w:noProof w:val="0"/>
            <w:color w:val="0077CC"/>
            <w:position w:val="0"/>
            <w:sz w:val="20"/>
            <w:u w:val="single"/>
            <w:vertAlign w:val="baseline"/>
          </w:rPr>
          <w:t xml:space="preserve"> at 627 n.26</w:t>
        </w:r>
      </w:hyperlink>
      <w:r>
        <w:rPr>
          <w:rFonts w:ascii="arial" w:eastAsia="arial" w:hAnsi="arial" w:cs="arial"/>
          <w:b w:val="0"/>
          <w:i w:val="0"/>
          <w:strike w:val="0"/>
          <w:noProof w:val="0"/>
          <w:color w:val="000000"/>
          <w:position w:val="0"/>
          <w:sz w:val="20"/>
          <w:u w:val="none"/>
          <w:vertAlign w:val="baseline"/>
        </w:rPr>
        <w:t xml:space="preserve">. </w:t>
      </w:r>
      <w:bookmarkStart w:id="46" w:name="Bookmark_I6B11G0Y2SF7M40040000400_2"/>
      <w:bookmarkEnd w:id="46"/>
      <w:bookmarkStart w:id="47" w:name="Bookmark_I6B11G0Y2N1R8T0010000400"/>
      <w:bookmarkEnd w:id="47"/>
      <w:r>
        <w:rPr>
          <w:rFonts w:ascii="arial" w:eastAsia="arial" w:hAnsi="arial" w:cs="arial"/>
          <w:b w:val="0"/>
          <w:i w:val="0"/>
          <w:strike w:val="0"/>
          <w:noProof w:val="0"/>
          <w:color w:val="000000"/>
          <w:position w:val="0"/>
          <w:sz w:val="20"/>
          <w:u w:val="none"/>
          <w:vertAlign w:val="baseline"/>
        </w:rPr>
        <w:t xml:space="preserve">Finally, the Court did not decide whether lower courts such as this one should employ "any of the standards of scrutiny" that have "applied to enumerated constitutional rights" in other situations. </w:t>
      </w:r>
      <w:bookmarkStart w:id="48" w:name="Bookmark_I6B11G0Y2SF7M40030000400"/>
      <w:bookmarkEnd w:id="48"/>
      <w:hyperlink r:id="rId22" w:history="1">
        <w:r>
          <w:rPr>
            <w:rFonts w:ascii="arial" w:eastAsia="arial" w:hAnsi="arial" w:cs="arial"/>
            <w:b w:val="0"/>
            <w:i/>
            <w:strike w:val="0"/>
            <w:noProof w:val="0"/>
            <w:color w:val="0077CC"/>
            <w:position w:val="0"/>
            <w:sz w:val="20"/>
            <w:u w:val="single"/>
            <w:vertAlign w:val="baseline"/>
          </w:rPr>
          <w:t>Id.</w:t>
        </w:r>
      </w:hyperlink>
      <w:hyperlink r:id="rId22" w:history="1">
        <w:r>
          <w:rPr>
            <w:rFonts w:ascii="arial" w:eastAsia="arial" w:hAnsi="arial" w:cs="arial"/>
            <w:b w:val="0"/>
            <w:i/>
            <w:strike w:val="0"/>
            <w:noProof w:val="0"/>
            <w:color w:val="0077CC"/>
            <w:position w:val="0"/>
            <w:sz w:val="20"/>
            <w:u w:val="single"/>
            <w:vertAlign w:val="baseline"/>
          </w:rPr>
          <w:t xml:space="preserve"> at 628</w:t>
        </w:r>
      </w:hyperlink>
      <w:r>
        <w:rPr>
          <w:rFonts w:ascii="arial" w:eastAsia="arial" w:hAnsi="arial" w:cs="arial"/>
          <w:b w:val="0"/>
          <w:i w:val="0"/>
          <w:strike w:val="0"/>
          <w:noProof w:val="0"/>
          <w:color w:val="000000"/>
          <w:position w:val="0"/>
          <w:sz w:val="20"/>
          <w:u w:val="none"/>
          <w:vertAlign w:val="baseline"/>
        </w:rPr>
        <w:t xml:space="preserve">. </w:t>
      </w:r>
      <w:bookmarkStart w:id="49" w:name="Bookmark_I6B11G0Y2N1R8T0010000400_2"/>
      <w:bookmarkEnd w:id="49"/>
      <w:r>
        <w:rPr>
          <w:rFonts w:ascii="arial" w:eastAsia="arial" w:hAnsi="arial" w:cs="arial"/>
          <w:b w:val="0"/>
          <w:i w:val="0"/>
          <w:strike w:val="0"/>
          <w:noProof w:val="0"/>
          <w:color w:val="000000"/>
          <w:position w:val="0"/>
          <w:sz w:val="20"/>
          <w:u w:val="none"/>
          <w:vertAlign w:val="baseline"/>
        </w:rPr>
        <w:t xml:space="preserve">Rather, it declined to "establish a level of scrutiny for evaluating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restrictions," although it rejected a proposal for a "freestanding" balancing test. </w:t>
      </w:r>
      <w:r>
        <w:rPr>
          <w:rFonts w:ascii="arial" w:eastAsia="arial" w:hAnsi="arial" w:cs="arial"/>
          <w:b w:val="0"/>
          <w:i/>
          <w:strike w:val="0"/>
          <w:noProof w:val="0"/>
          <w:color w:val="000000"/>
          <w:position w:val="0"/>
          <w:sz w:val="20"/>
          <w:u w:val="none"/>
          <w:vertAlign w:val="baseline"/>
        </w:rPr>
        <w:t xml:space="preserve">See </w:t>
      </w:r>
      <w:bookmarkStart w:id="50" w:name="Bookmark_I6B11G0Y2SF7M40050000400"/>
      <w:bookmarkEnd w:id="50"/>
      <w:hyperlink r:id="rId22" w:history="1">
        <w:r>
          <w:rPr>
            <w:rFonts w:ascii="arial" w:eastAsia="arial" w:hAnsi="arial" w:cs="arial"/>
            <w:b w:val="0"/>
            <w:i/>
            <w:strike w:val="0"/>
            <w:noProof w:val="0"/>
            <w:color w:val="0077CC"/>
            <w:position w:val="0"/>
            <w:sz w:val="20"/>
            <w:u w:val="single"/>
            <w:vertAlign w:val="baseline"/>
          </w:rPr>
          <w:t>id.</w:t>
        </w:r>
      </w:hyperlink>
      <w:hyperlink r:id="rId22" w:history="1">
        <w:r>
          <w:rPr>
            <w:rFonts w:ascii="arial" w:eastAsia="arial" w:hAnsi="arial" w:cs="arial"/>
            <w:b w:val="0"/>
            <w:i/>
            <w:strike w:val="0"/>
            <w:noProof w:val="0"/>
            <w:color w:val="0077CC"/>
            <w:position w:val="0"/>
            <w:sz w:val="20"/>
            <w:u w:val="single"/>
            <w:vertAlign w:val="baseline"/>
          </w:rPr>
          <w:t xml:space="preserve"> at 634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1" w:name="Bookmark_para_9"/>
      <w:bookmarkEnd w:id="51"/>
      <w:bookmarkStart w:id="52" w:name="Bookmark_I6B11G0Y2N1R8T0030000400"/>
      <w:bookmarkEnd w:id="52"/>
      <w:bookmarkStart w:id="53" w:name="Bookmark_I6B11G0Y2SF7M90020000400"/>
      <w:bookmarkEnd w:id="53"/>
      <w:r>
        <w:rPr>
          <w:rFonts w:ascii="arial" w:eastAsia="arial" w:hAnsi="arial" w:cs="arial"/>
          <w:b w:val="0"/>
          <w:i w:val="0"/>
          <w:strike w:val="0"/>
          <w:noProof w:val="0"/>
          <w:color w:val="000000"/>
          <w:position w:val="0"/>
          <w:sz w:val="20"/>
          <w:u w:val="none"/>
          <w:vertAlign w:val="baseline"/>
        </w:rPr>
        <w:t xml:space="preserve">Although the Supreme Court's decision in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xml:space="preserve"> broke new ground, it had relatively few immediate consequences for state firearm regulations. </w:t>
      </w:r>
      <w:bookmarkStart w:id="54" w:name="Bookmark_I6B11G0Y2SF7M90040000400"/>
      <w:bookmarkEnd w:id="54"/>
      <w:r>
        <w:rPr>
          <w:rFonts w:ascii="arial" w:eastAsia="arial" w:hAnsi="arial" w:cs="arial"/>
          <w:b w:val="0"/>
          <w:i w:val="0"/>
          <w:strike w:val="0"/>
          <w:noProof w:val="0"/>
          <w:color w:val="000000"/>
          <w:position w:val="0"/>
          <w:sz w:val="20"/>
          <w:u w:val="none"/>
          <w:vertAlign w:val="baseline"/>
        </w:rPr>
        <w:t xml:space="preserve">That is because the District of Columbia is not a state and so the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xml:space="preserve"> decision did not have the effect of applying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to the states, which the Supreme Court had long declined to do. </w:t>
      </w:r>
      <w:r>
        <w:rPr>
          <w:rFonts w:ascii="arial" w:eastAsia="arial" w:hAnsi="arial" w:cs="arial"/>
          <w:b w:val="0"/>
          <w:i/>
          <w:strike w:val="0"/>
          <w:noProof w:val="0"/>
          <w:color w:val="000000"/>
          <w:position w:val="0"/>
          <w:sz w:val="20"/>
          <w:u w:val="none"/>
          <w:vertAlign w:val="baseline"/>
        </w:rPr>
        <w:t xml:space="preserve">See, e.g., </w:t>
      </w:r>
      <w:bookmarkStart w:id="55" w:name="Bookmark_I6B11G0Y2N1R8T0020000400"/>
      <w:bookmarkEnd w:id="55"/>
      <w:hyperlink r:id="rId23" w:history="1">
        <w:r>
          <w:rPr>
            <w:rFonts w:ascii="arial" w:eastAsia="arial" w:hAnsi="arial" w:cs="arial"/>
            <w:b w:val="0"/>
            <w:i/>
            <w:strike w:val="0"/>
            <w:noProof w:val="0"/>
            <w:color w:val="0077CC"/>
            <w:position w:val="0"/>
            <w:sz w:val="20"/>
            <w:u w:val="single"/>
            <w:vertAlign w:val="baseline"/>
          </w:rPr>
          <w:t>Presser v. Illinois</w:t>
        </w:r>
      </w:hyperlink>
      <w:hyperlink r:id="rId23" w:history="1">
        <w:r>
          <w:rPr>
            <w:rFonts w:ascii="arial" w:eastAsia="arial" w:hAnsi="arial" w:cs="arial"/>
            <w:b w:val="0"/>
            <w:i/>
            <w:strike w:val="0"/>
            <w:noProof w:val="0"/>
            <w:color w:val="0077CC"/>
            <w:position w:val="0"/>
            <w:sz w:val="20"/>
            <w:u w:val="single"/>
            <w:vertAlign w:val="baseline"/>
          </w:rPr>
          <w:t>, 116 U.S. 252, 264-65, 6 S. Ct. 580, 29 L. Ed. 615 (1886)</w:t>
        </w:r>
      </w:hyperlink>
      <w:r>
        <w:rPr>
          <w:rFonts w:ascii="arial" w:eastAsia="arial" w:hAnsi="arial" w:cs="arial"/>
          <w:b w:val="0"/>
          <w:i w:val="0"/>
          <w:strike w:val="0"/>
          <w:noProof w:val="0"/>
          <w:color w:val="000000"/>
          <w:position w:val="0"/>
          <w:sz w:val="20"/>
          <w:u w:val="none"/>
          <w:vertAlign w:val="baseline"/>
        </w:rPr>
        <w:t xml:space="preserve">; </w:t>
      </w:r>
      <w:bookmarkStart w:id="56" w:name="Bookmark_I6B11G0Y2N1R8T0040000400"/>
      <w:bookmarkEnd w:id="56"/>
      <w:hyperlink r:id="rId24" w:history="1">
        <w:r>
          <w:rPr>
            <w:rFonts w:ascii="arial" w:eastAsia="arial" w:hAnsi="arial" w:cs="arial"/>
            <w:b w:val="0"/>
            <w:i/>
            <w:strike w:val="0"/>
            <w:noProof w:val="0"/>
            <w:color w:val="0077CC"/>
            <w:position w:val="0"/>
            <w:sz w:val="20"/>
            <w:u w:val="single"/>
            <w:vertAlign w:val="baseline"/>
          </w:rPr>
          <w:t>United States v. Cruikshank</w:t>
        </w:r>
      </w:hyperlink>
      <w:hyperlink r:id="rId24" w:history="1">
        <w:r>
          <w:rPr>
            <w:rFonts w:ascii="arial" w:eastAsia="arial" w:hAnsi="arial" w:cs="arial"/>
            <w:b w:val="0"/>
            <w:i/>
            <w:strike w:val="0"/>
            <w:noProof w:val="0"/>
            <w:color w:val="0077CC"/>
            <w:position w:val="0"/>
            <w:sz w:val="20"/>
            <w:u w:val="single"/>
            <w:vertAlign w:val="baseline"/>
          </w:rPr>
          <w:t>, 92 U.S. 542, 553, 23 L. Ed. 588 (1875)</w:t>
        </w:r>
      </w:hyperlink>
      <w:r>
        <w:rPr>
          <w:rFonts w:ascii="arial" w:eastAsia="arial" w:hAnsi="arial" w:cs="arial"/>
          <w:b w:val="0"/>
          <w:i w:val="0"/>
          <w:strike w:val="0"/>
          <w:noProof w:val="0"/>
          <w:color w:val="000000"/>
          <w:position w:val="0"/>
          <w:sz w:val="20"/>
          <w:u w:val="none"/>
          <w:vertAlign w:val="baseline"/>
        </w:rPr>
        <w:t xml:space="preserve">. But on the same day the Supreme Court issued its decision in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xml:space="preserve">, several plaintiffs filed a lawsuit challenging state and local regulations like the D.C. laws the Supreme Court had just stricken down.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t>
      </w:r>
      <w:bookmarkStart w:id="57" w:name="Bookmark_I6B11G0Y2SF7M90010000400"/>
      <w:bookmarkEnd w:id="57"/>
      <w:r>
        <w:rPr>
          <w:rFonts w:ascii="arial" w:eastAsia="arial" w:hAnsi="arial" w:cs="arial"/>
          <w:b w:val="0"/>
          <w:i/>
          <w:strike w:val="0"/>
          <w:noProof w:val="0"/>
          <w:color w:val="000000"/>
          <w:position w:val="0"/>
          <w:sz w:val="20"/>
          <w:u w:val="none"/>
          <w:vertAlign w:val="baseline"/>
        </w:rPr>
        <w:t>McDonald v. City of Chicago</w:t>
      </w:r>
      <w:r>
        <w:rPr>
          <w:rFonts w:ascii="arial" w:eastAsia="arial" w:hAnsi="arial" w:cs="arial"/>
          <w:b w:val="0"/>
          <w:i w:val="0"/>
          <w:strike w:val="0"/>
          <w:noProof w:val="0"/>
          <w:color w:val="000000"/>
          <w:position w:val="0"/>
          <w:sz w:val="20"/>
          <w:u w:val="none"/>
          <w:vertAlign w:val="baseline"/>
        </w:rPr>
        <w:t xml:space="preserve">, No. 08-3645 (N.D. Ill. June 26, 2008), ECF No. 1. </w:t>
      </w:r>
      <w:bookmarkStart w:id="58" w:name="Bookmark_I6B11G0Y2SF7M90040000400_2"/>
      <w:bookmarkEnd w:id="58"/>
      <w:r>
        <w:rPr>
          <w:rFonts w:ascii="arial" w:eastAsia="arial" w:hAnsi="arial" w:cs="arial"/>
          <w:b w:val="0"/>
          <w:i w:val="0"/>
          <w:strike w:val="0"/>
          <w:noProof w:val="0"/>
          <w:color w:val="000000"/>
          <w:position w:val="0"/>
          <w:sz w:val="20"/>
          <w:u w:val="none"/>
          <w:vertAlign w:val="baseline"/>
        </w:rPr>
        <w:t xml:space="preserve">When these cases reached the Supreme Court, it confirmed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right is fully applicable to the states." </w:t>
      </w:r>
      <w:bookmarkStart w:id="59" w:name="Bookmark_I6B11G0Y2SF7M90030000400"/>
      <w:bookmarkEnd w:id="59"/>
      <w:hyperlink r:id="rId25" w:history="1">
        <w:r>
          <w:rPr>
            <w:rFonts w:ascii="arial" w:eastAsia="arial" w:hAnsi="arial" w:cs="arial"/>
            <w:b w:val="0"/>
            <w:i/>
            <w:strike w:val="0"/>
            <w:noProof w:val="0"/>
            <w:color w:val="0077CC"/>
            <w:position w:val="0"/>
            <w:sz w:val="20"/>
            <w:u w:val="single"/>
            <w:vertAlign w:val="baseline"/>
          </w:rPr>
          <w:t>McDonald v. City of Chicago</w:t>
        </w:r>
      </w:hyperlink>
      <w:hyperlink r:id="rId25" w:history="1">
        <w:r>
          <w:rPr>
            <w:rFonts w:ascii="arial" w:eastAsia="arial" w:hAnsi="arial" w:cs="arial"/>
            <w:b w:val="0"/>
            <w:i/>
            <w:strike w:val="0"/>
            <w:noProof w:val="0"/>
            <w:color w:val="0077CC"/>
            <w:position w:val="0"/>
            <w:sz w:val="20"/>
            <w:u w:val="single"/>
            <w:vertAlign w:val="baseline"/>
          </w:rPr>
          <w:t>, 561 U.S. 742, 750, 130 S. Ct. 3020, 177 L. Ed. 2d 894 (2010)</w:t>
        </w:r>
      </w:hyperlink>
      <w:r>
        <w:rPr>
          <w:rFonts w:ascii="arial" w:eastAsia="arial" w:hAnsi="arial" w:cs="arial"/>
          <w:b w:val="0"/>
          <w:i w:val="0"/>
          <w:strike w:val="0"/>
          <w:noProof w:val="0"/>
          <w:color w:val="000000"/>
          <w:position w:val="0"/>
          <w:sz w:val="20"/>
          <w:u w:val="none"/>
          <w:vertAlign w:val="baseline"/>
        </w:rPr>
        <w:t xml:space="preserve"> (plurality opinion); </w:t>
      </w:r>
      <w:r>
        <w:rPr>
          <w:rFonts w:ascii="arial" w:eastAsia="arial" w:hAnsi="arial" w:cs="arial"/>
          <w:b w:val="0"/>
          <w:i/>
          <w:strike w:val="0"/>
          <w:noProof w:val="0"/>
          <w:color w:val="000000"/>
          <w:position w:val="0"/>
          <w:sz w:val="20"/>
          <w:u w:val="none"/>
          <w:vertAlign w:val="baseline"/>
        </w:rPr>
        <w:t xml:space="preserve">see also </w:t>
      </w:r>
      <w:bookmarkStart w:id="60" w:name="Bookmark_I6B11G0Y2SF7M90050000400"/>
      <w:bookmarkEnd w:id="60"/>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805</w:t>
        </w:r>
      </w:hyperlink>
      <w:r>
        <w:rPr>
          <w:rFonts w:ascii="arial" w:eastAsia="arial" w:hAnsi="arial" w:cs="arial"/>
          <w:b w:val="0"/>
          <w:i w:val="0"/>
          <w:strike w:val="0"/>
          <w:noProof w:val="0"/>
          <w:color w:val="000000"/>
          <w:position w:val="0"/>
          <w:sz w:val="20"/>
          <w:u w:val="none"/>
          <w:vertAlign w:val="baseline"/>
        </w:rPr>
        <w:t xml:space="preserve"> (Thomas, J., concurring in part and concurring in the judgment)</w:t>
      </w:r>
    </w:p>
    <w:p>
      <w:pPr>
        <w:keepNext w:val="0"/>
        <w:spacing w:before="240" w:after="0" w:line="260" w:lineRule="atLeast"/>
        <w:ind w:left="0" w:right="0" w:firstLine="0"/>
        <w:jc w:val="both"/>
      </w:pPr>
      <w:bookmarkStart w:id="61" w:name="Bookmark_para_10"/>
      <w:bookmarkEnd w:id="61"/>
      <w:bookmarkStart w:id="62" w:name="Bookmark_I6B11G102N1R970030000400"/>
      <w:bookmarkEnd w:id="62"/>
      <w:r>
        <w:rPr>
          <w:rFonts w:ascii="arial" w:eastAsia="arial" w:hAnsi="arial" w:cs="arial"/>
          <w:b w:val="0"/>
          <w:i w:val="0"/>
          <w:strike w:val="0"/>
          <w:noProof w:val="0"/>
          <w:color w:val="000000"/>
          <w:position w:val="0"/>
          <w:sz w:val="20"/>
          <w:u w:val="none"/>
          <w:vertAlign w:val="baseline"/>
        </w:rPr>
        <w:t xml:space="preserve">(agreeing with the plurality's holding). As in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xml:space="preserve">, however, the Court did not decide whether any particular "longstanding regulatory measures" violated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t>
      </w:r>
      <w:bookmarkStart w:id="63" w:name="Bookmark_I6B11G102N1R970020000400"/>
      <w:bookmarkEnd w:id="63"/>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786</w:t>
        </w:r>
      </w:hyperlink>
      <w:r>
        <w:rPr>
          <w:rFonts w:ascii="arial" w:eastAsia="arial" w:hAnsi="arial" w:cs="arial"/>
          <w:b w:val="0"/>
          <w:i w:val="0"/>
          <w:strike w:val="0"/>
          <w:noProof w:val="0"/>
          <w:color w:val="000000"/>
          <w:position w:val="0"/>
          <w:sz w:val="20"/>
          <w:u w:val="none"/>
          <w:vertAlign w:val="baseline"/>
        </w:rPr>
        <w:t xml:space="preserve"> (plurality opinion). Nor did the Court clarify how lower court judges should evaluate state laws and regulations in response to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challenges.</w:t>
      </w:r>
    </w:p>
    <w:p>
      <w:pPr>
        <w:keepNext w:val="0"/>
        <w:spacing w:before="200" w:after="0" w:line="260" w:lineRule="atLeast"/>
        <w:ind w:left="0" w:right="0" w:firstLine="0"/>
        <w:jc w:val="both"/>
      </w:pPr>
      <w:bookmarkStart w:id="64" w:name="Bookmark_para_11"/>
      <w:bookmarkEnd w:id="64"/>
      <w:bookmarkStart w:id="65" w:name="Bookmark_II08CDXTHM7G003RRS7S007D1"/>
      <w:bookmarkEnd w:id="65"/>
      <w:bookmarkStart w:id="66" w:name="Bookmark_I6B11G102N1R970050000400"/>
      <w:bookmarkEnd w:id="66"/>
      <w:r>
        <w:rPr>
          <w:rFonts w:ascii="arial" w:eastAsia="arial" w:hAnsi="arial" w:cs="arial"/>
          <w:b w:val="0"/>
          <w:i w:val="0"/>
          <w:strike w:val="0"/>
          <w:noProof w:val="0"/>
          <w:color w:val="000000"/>
          <w:position w:val="0"/>
          <w:sz w:val="20"/>
          <w:u w:val="none"/>
          <w:vertAlign w:val="baseline"/>
        </w:rPr>
        <w:t xml:space="preserve">In the next dozen years, then, although lower courts settled on a two-part test for adjudicating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challenges, cases about carrying firearms outside the home—cases such as this one—divided the federal courts of appeals and split several appellate panels, including in the Ninth Circuit. </w:t>
      </w:r>
      <w:bookmarkStart w:id="67" w:name="Bookmark_I6B11G112SF7MY0020000400"/>
      <w:bookmarkEnd w:id="67"/>
      <w:r>
        <w:rPr>
          <w:rFonts w:ascii="arial" w:eastAsia="arial" w:hAnsi="arial" w:cs="arial"/>
          <w:b w:val="0"/>
          <w:i w:val="0"/>
          <w:strike w:val="0"/>
          <w:noProof w:val="0"/>
          <w:color w:val="000000"/>
          <w:position w:val="0"/>
          <w:sz w:val="20"/>
          <w:u w:val="none"/>
          <w:vertAlign w:val="baseline"/>
        </w:rPr>
        <w:t xml:space="preserve">In 2014, for example, a divided three-judge Ninth Circuit panel held that individual persons had a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right to carry concealed handguns "outside the home for the lawful purpose of self-defense." </w:t>
      </w:r>
      <w:bookmarkStart w:id="68" w:name="Bookmark_I6B11G102N1R970040000400"/>
      <w:bookmarkEnd w:id="68"/>
      <w:hyperlink r:id="rId26" w:history="1">
        <w:r>
          <w:rPr>
            <w:rFonts w:ascii="arial" w:eastAsia="arial" w:hAnsi="arial" w:cs="arial"/>
            <w:b w:val="0"/>
            <w:i/>
            <w:strike w:val="0"/>
            <w:noProof w:val="0"/>
            <w:color w:val="0077CC"/>
            <w:position w:val="0"/>
            <w:sz w:val="20"/>
            <w:u w:val="single"/>
            <w:vertAlign w:val="baseline"/>
          </w:rPr>
          <w:t>Peruta v. County of San Diego</w:t>
        </w:r>
      </w:hyperlink>
      <w:hyperlink r:id="rId26" w:history="1">
        <w:r>
          <w:rPr>
            <w:rFonts w:ascii="arial" w:eastAsia="arial" w:hAnsi="arial" w:cs="arial"/>
            <w:b w:val="0"/>
            <w:i/>
            <w:strike w:val="0"/>
            <w:noProof w:val="0"/>
            <w:color w:val="0077CC"/>
            <w:position w:val="0"/>
            <w:sz w:val="20"/>
            <w:u w:val="single"/>
            <w:vertAlign w:val="baseline"/>
          </w:rPr>
          <w:t>, 742 F.3d 1144, 1166 (9th Cir. 2014)</w:t>
        </w:r>
      </w:hyperlink>
      <w:r>
        <w:rPr>
          <w:rFonts w:ascii="arial" w:eastAsia="arial" w:hAnsi="arial" w:cs="arial"/>
          <w:b w:val="0"/>
          <w:i w:val="0"/>
          <w:strike w:val="0"/>
          <w:noProof w:val="0"/>
          <w:color w:val="000000"/>
          <w:position w:val="0"/>
          <w:sz w:val="20"/>
          <w:u w:val="none"/>
          <w:vertAlign w:val="baseline"/>
        </w:rPr>
        <w:t xml:space="preserve"> (alterations omitted). </w:t>
      </w:r>
      <w:bookmarkStart w:id="69" w:name="Bookmark_I6B11G112SF7MY0040000400"/>
      <w:bookmarkEnd w:id="69"/>
      <w:r>
        <w:rPr>
          <w:rFonts w:ascii="arial" w:eastAsia="arial" w:hAnsi="arial" w:cs="arial"/>
          <w:b w:val="0"/>
          <w:i w:val="0"/>
          <w:strike w:val="0"/>
          <w:noProof w:val="0"/>
          <w:color w:val="000000"/>
          <w:position w:val="0"/>
          <w:sz w:val="20"/>
          <w:u w:val="none"/>
          <w:vertAlign w:val="baseline"/>
        </w:rPr>
        <w:t xml:space="preserve">Two years, later, however, the Ninth Circuit rejected that conclusion in a divided en banc decision. </w:t>
      </w:r>
      <w:bookmarkStart w:id="70" w:name="Bookmark_I6B11G112SF7MY0040000400_2"/>
      <w:bookmarkEnd w:id="70"/>
      <w:bookmarkStart w:id="71" w:name="Bookmark_I6B11G112SF7MY0020000400_2"/>
      <w:bookmarkEnd w:id="71"/>
      <w:r>
        <w:rPr>
          <w:rFonts w:ascii="arial" w:eastAsia="arial" w:hAnsi="arial" w:cs="arial"/>
          <w:b w:val="0"/>
          <w:i/>
          <w:strike w:val="0"/>
          <w:noProof w:val="0"/>
          <w:color w:val="000000"/>
          <w:position w:val="0"/>
          <w:sz w:val="20"/>
          <w:u w:val="none"/>
          <w:vertAlign w:val="baseline"/>
        </w:rPr>
        <w:t xml:space="preserve">See generally </w:t>
      </w:r>
      <w:bookmarkStart w:id="72" w:name="Bookmark_I6B11G112SF7MY0010000400"/>
      <w:bookmarkEnd w:id="72"/>
      <w:hyperlink r:id="rId27" w:history="1">
        <w:r>
          <w:rPr>
            <w:rFonts w:ascii="arial" w:eastAsia="arial" w:hAnsi="arial" w:cs="arial"/>
            <w:b w:val="0"/>
            <w:i/>
            <w:strike w:val="0"/>
            <w:noProof w:val="0"/>
            <w:color w:val="0077CC"/>
            <w:position w:val="0"/>
            <w:sz w:val="20"/>
            <w:u w:val="single"/>
            <w:vertAlign w:val="baseline"/>
          </w:rPr>
          <w:t>Peruta v. County of San Diego</w:t>
        </w:r>
      </w:hyperlink>
      <w:hyperlink r:id="rId27" w:history="1">
        <w:r>
          <w:rPr>
            <w:rFonts w:ascii="arial" w:eastAsia="arial" w:hAnsi="arial" w:cs="arial"/>
            <w:b w:val="0"/>
            <w:i/>
            <w:strike w:val="0"/>
            <w:noProof w:val="0"/>
            <w:color w:val="0077CC"/>
            <w:position w:val="0"/>
            <w:sz w:val="20"/>
            <w:u w:val="single"/>
            <w:vertAlign w:val="baseline"/>
          </w:rPr>
          <w:t>, 824 F.3d 919 (9th Cir. 2016)</w:t>
        </w:r>
      </w:hyperlink>
      <w:r>
        <w:rPr>
          <w:rFonts w:ascii="arial" w:eastAsia="arial" w:hAnsi="arial" w:cs="arial"/>
          <w:b w:val="0"/>
          <w:i w:val="0"/>
          <w:strike w:val="0"/>
          <w:noProof w:val="0"/>
          <w:color w:val="000000"/>
          <w:position w:val="0"/>
          <w:sz w:val="20"/>
          <w:u w:val="none"/>
          <w:vertAlign w:val="baseline"/>
        </w:rPr>
        <w:t xml:space="preserve"> (en banc). </w:t>
      </w:r>
      <w:bookmarkStart w:id="73" w:name="Bookmark_I6B11G1128T3YN0010000400"/>
      <w:bookmarkEnd w:id="73"/>
      <w:r>
        <w:rPr>
          <w:rFonts w:ascii="arial" w:eastAsia="arial" w:hAnsi="arial" w:cs="arial"/>
          <w:b w:val="0"/>
          <w:i w:val="0"/>
          <w:strike w:val="0"/>
          <w:noProof w:val="0"/>
          <w:color w:val="000000"/>
          <w:position w:val="0"/>
          <w:sz w:val="20"/>
          <w:u w:val="none"/>
          <w:vertAlign w:val="baseline"/>
        </w:rPr>
        <w:t xml:space="preserve">The en banc majority held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does not preserve or protect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 right of a member of the general public to carry concealed firearms in public." </w:t>
      </w:r>
      <w:bookmarkStart w:id="74" w:name="Bookmark_I6B11G112SF7MY0030000400"/>
      <w:bookmarkEnd w:id="74"/>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924</w:t>
        </w:r>
      </w:hyperlink>
      <w:r>
        <w:rPr>
          <w:rFonts w:ascii="arial" w:eastAsia="arial" w:hAnsi="arial" w:cs="arial"/>
          <w:b w:val="0"/>
          <w:i w:val="0"/>
          <w:strike w:val="0"/>
          <w:noProof w:val="0"/>
          <w:color w:val="000000"/>
          <w:position w:val="0"/>
          <w:sz w:val="20"/>
          <w:u w:val="none"/>
          <w:vertAlign w:val="baseline"/>
        </w:rPr>
        <w:t xml:space="preserve">. </w:t>
      </w:r>
      <w:bookmarkStart w:id="75" w:name="Bookmark_I6B11G1128T3YN0010000400_2"/>
      <w:bookmarkEnd w:id="75"/>
      <w:r>
        <w:rPr>
          <w:rFonts w:ascii="arial" w:eastAsia="arial" w:hAnsi="arial" w:cs="arial"/>
          <w:b w:val="0"/>
          <w:i w:val="0"/>
          <w:strike w:val="0"/>
          <w:noProof w:val="0"/>
          <w:color w:val="000000"/>
          <w:position w:val="0"/>
          <w:sz w:val="20"/>
          <w:u w:val="none"/>
          <w:vertAlign w:val="baseline"/>
        </w:rPr>
        <w:t xml:space="preserve">Another two years later, another divided three-judge panel held individual persons have a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right to carry firearms openly in public for self-defense. </w:t>
      </w:r>
      <w:r>
        <w:rPr>
          <w:rFonts w:ascii="arial" w:eastAsia="arial" w:hAnsi="arial" w:cs="arial"/>
          <w:b w:val="0"/>
          <w:i/>
          <w:strike w:val="0"/>
          <w:noProof w:val="0"/>
          <w:color w:val="000000"/>
          <w:position w:val="0"/>
          <w:sz w:val="20"/>
          <w:u w:val="none"/>
          <w:vertAlign w:val="baseline"/>
        </w:rPr>
        <w:t xml:space="preserve">See generally </w:t>
      </w:r>
      <w:bookmarkStart w:id="76" w:name="Bookmark_I6B11G112SF7MY0050000400"/>
      <w:bookmarkEnd w:id="76"/>
      <w:hyperlink r:id="rId28" w:history="1">
        <w:r>
          <w:rPr>
            <w:rFonts w:ascii="arial" w:eastAsia="arial" w:hAnsi="arial" w:cs="arial"/>
            <w:b w:val="0"/>
            <w:i/>
            <w:strike w:val="0"/>
            <w:noProof w:val="0"/>
            <w:color w:val="0077CC"/>
            <w:position w:val="0"/>
            <w:sz w:val="20"/>
            <w:u w:val="single"/>
            <w:vertAlign w:val="baseline"/>
          </w:rPr>
          <w:t>Young v. Hawaii</w:t>
        </w:r>
      </w:hyperlink>
      <w:hyperlink r:id="rId28" w:history="1">
        <w:r>
          <w:rPr>
            <w:rFonts w:ascii="arial" w:eastAsia="arial" w:hAnsi="arial" w:cs="arial"/>
            <w:b w:val="0"/>
            <w:i/>
            <w:strike w:val="0"/>
            <w:noProof w:val="0"/>
            <w:color w:val="0077CC"/>
            <w:position w:val="0"/>
            <w:sz w:val="20"/>
            <w:u w:val="single"/>
            <w:vertAlign w:val="baseline"/>
          </w:rPr>
          <w:t>, 896 F.3d 1044 (9th Cir. 2018)</w:t>
        </w:r>
      </w:hyperlink>
      <w:r>
        <w:rPr>
          <w:rFonts w:ascii="arial" w:eastAsia="arial" w:hAnsi="arial" w:cs="arial"/>
          <w:b w:val="0"/>
          <w:i w:val="0"/>
          <w:strike w:val="0"/>
          <w:noProof w:val="0"/>
          <w:color w:val="000000"/>
          <w:position w:val="0"/>
          <w:sz w:val="20"/>
          <w:u w:val="none"/>
          <w:vertAlign w:val="baseline"/>
        </w:rPr>
        <w:t xml:space="preserve">. As before, the Ninth Circuit agreed to rehear that appeal en banc.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915 F.3d 681 (9th Cir. 2019)</w:t>
        </w:r>
      </w:hyperlink>
      <w:r>
        <w:rPr>
          <w:rFonts w:ascii="arial" w:eastAsia="arial" w:hAnsi="arial" w:cs="arial"/>
          <w:b w:val="0"/>
          <w:i w:val="0"/>
          <w:strike w:val="0"/>
          <w:noProof w:val="0"/>
          <w:color w:val="000000"/>
          <w:position w:val="0"/>
          <w:sz w:val="20"/>
          <w:u w:val="none"/>
          <w:vertAlign w:val="baseline"/>
        </w:rPr>
        <w:t xml:space="preserve">. Before the en banc court heard oral arguments, however, the Supreme Court agreed to take up a </w:t>
      </w:r>
      <w:r>
        <w:rPr>
          <w:rFonts w:ascii="arial" w:eastAsia="arial" w:hAnsi="arial" w:cs="arial"/>
          <w:b/>
          <w:i w:val="0"/>
          <w:strike w:val="0"/>
          <w:noProof w:val="0"/>
          <w:color w:val="000000"/>
          <w:position w:val="0"/>
          <w:sz w:val="20"/>
          <w:u w:val="none"/>
          <w:vertAlign w:val="baseline"/>
        </w:rPr>
        <w:t> [*1097] </w:t>
      </w:r>
      <w:r>
        <w:rPr>
          <w:rFonts w:ascii="arial" w:eastAsia="arial" w:hAnsi="arial" w:cs="arial"/>
          <w:b w:val="0"/>
          <w:i w:val="0"/>
          <w:strike w:val="0"/>
          <w:noProof w:val="0"/>
          <w:color w:val="000000"/>
          <w:position w:val="0"/>
          <w:sz w:val="20"/>
          <w:u w:val="none"/>
          <w:vertAlign w:val="baseline"/>
        </w:rPr>
        <w:t xml:space="preserve"> case about a similar law in New York, so the Circuit stayed the en banc proceedings.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Order, No. 12-17808 (9th Cir. Feb. 14, 2019), Dkt. No. 209 (citing </w:t>
      </w:r>
      <w:r>
        <w:rPr>
          <w:rFonts w:ascii="arial" w:eastAsia="arial" w:hAnsi="arial" w:cs="arial"/>
          <w:b w:val="0"/>
          <w:i/>
          <w:strike w:val="0"/>
          <w:noProof w:val="0"/>
          <w:color w:val="000000"/>
          <w:position w:val="0"/>
          <w:sz w:val="20"/>
          <w:u w:val="none"/>
          <w:vertAlign w:val="baseline"/>
        </w:rPr>
        <w:t>N.Y. Rifle &amp; Pistol Ass'n v. City of New York</w:t>
      </w:r>
      <w:r>
        <w:rPr>
          <w:rFonts w:ascii="arial" w:eastAsia="arial" w:hAnsi="arial" w:cs="arial"/>
          <w:b w:val="0"/>
          <w:i w:val="0"/>
          <w:strike w:val="0"/>
          <w:noProof w:val="0"/>
          <w:color w:val="000000"/>
          <w:position w:val="0"/>
          <w:sz w:val="20"/>
          <w:u w:val="none"/>
          <w:vertAlign w:val="baseline"/>
        </w:rPr>
        <w:t>, No. 18-280).</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78" w:name="Bookmark_para_12"/>
      <w:bookmarkEnd w:id="78"/>
      <w:bookmarkStart w:id="79" w:name="Bookmark_I6B11G1128T3YN0030000400"/>
      <w:bookmarkEnd w:id="79"/>
      <w:bookmarkStart w:id="80" w:name="Bookmark_I6B11G1128T3YN0050000400"/>
      <w:bookmarkEnd w:id="80"/>
      <w:r>
        <w:rPr>
          <w:rFonts w:ascii="arial" w:eastAsia="arial" w:hAnsi="arial" w:cs="arial"/>
          <w:b w:val="0"/>
          <w:i w:val="0"/>
          <w:strike w:val="0"/>
          <w:noProof w:val="0"/>
          <w:color w:val="000000"/>
          <w:position w:val="0"/>
          <w:sz w:val="20"/>
          <w:u w:val="none"/>
          <w:vertAlign w:val="baseline"/>
        </w:rPr>
        <w:t xml:space="preserve">While the en banc proceedings were stayed, Baird and Gallardo filed this case. Shortly thereafter, the Supreme Court remanded the New York case, finding changes to New York laws had rendered that case moot. </w:t>
      </w:r>
      <w:bookmarkStart w:id="81" w:name="Bookmark_I6B11G1128T3YN0020000400"/>
      <w:bookmarkEnd w:id="81"/>
      <w:hyperlink r:id="rId30" w:history="1">
        <w:r>
          <w:rPr>
            <w:rFonts w:ascii="arial" w:eastAsia="arial" w:hAnsi="arial" w:cs="arial"/>
            <w:b w:val="0"/>
            <w:i/>
            <w:strike w:val="0"/>
            <w:noProof w:val="0"/>
            <w:color w:val="0077CC"/>
            <w:position w:val="0"/>
            <w:sz w:val="20"/>
            <w:u w:val="single"/>
            <w:vertAlign w:val="baseline"/>
          </w:rPr>
          <w:t>140 S. Ct. 1525, 206 L. Ed. 2d 798 (2020)</w:t>
        </w:r>
      </w:hyperlink>
      <w:r>
        <w:rPr>
          <w:rFonts w:ascii="arial" w:eastAsia="arial" w:hAnsi="arial" w:cs="arial"/>
          <w:b w:val="0"/>
          <w:i w:val="0"/>
          <w:strike w:val="0"/>
          <w:noProof w:val="0"/>
          <w:color w:val="000000"/>
          <w:position w:val="0"/>
          <w:sz w:val="20"/>
          <w:u w:val="none"/>
          <w:vertAlign w:val="baseline"/>
        </w:rPr>
        <w:t xml:space="preserve"> (per curiam). The Ninth Circuit then lifted the stay in </w:t>
      </w:r>
      <w:bookmarkStart w:id="82" w:name="Bookmark_I6B11G1128T3YN0040000400"/>
      <w:bookmarkEnd w:id="82"/>
      <w:hyperlink r:id="rId28" w:history="1">
        <w:r>
          <w:rPr>
            <w:rFonts w:ascii="arial" w:eastAsia="arial" w:hAnsi="arial" w:cs="arial"/>
            <w:b w:val="0"/>
            <w:i/>
            <w:strike w:val="0"/>
            <w:noProof w:val="0"/>
            <w:color w:val="0077CC"/>
            <w:position w:val="0"/>
            <w:sz w:val="20"/>
            <w:u w:val="single"/>
            <w:vertAlign w:val="baseline"/>
          </w:rPr>
          <w:t>Young v. Hawaii</w:t>
        </w:r>
      </w:hyperlink>
      <w:r>
        <w:rPr>
          <w:rFonts w:ascii="arial" w:eastAsia="arial" w:hAnsi="arial" w:cs="arial"/>
          <w:b w:val="0"/>
          <w:i w:val="0"/>
          <w:strike w:val="0"/>
          <w:noProof w:val="0"/>
          <w:color w:val="000000"/>
          <w:position w:val="0"/>
          <w:sz w:val="20"/>
          <w:u w:val="none"/>
          <w:vertAlign w:val="baseline"/>
        </w:rPr>
        <w:t xml:space="preserve"> and scheduled oral arguments.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No. 12-17808 (9th Cir. Apr. 30, 2020), Dkt. No. 227. Baird and Gallardo pressed forward with a motion for a preliminary injunction in this case while those en banc proceedings were pending. </w:t>
      </w:r>
      <w:bookmarkStart w:id="83" w:name="Bookmark_I6B11G122N1R9W0020000400"/>
      <w:bookmarkEnd w:id="83"/>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First Mot. Prelim. Inj., ECF No. 14. This court surveyed the conflicting out-of-circuit authority and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conflicting Ninth Circuit opinions, and noted the pending en banc proceedings in </w:t>
      </w:r>
      <w:bookmarkStart w:id="84" w:name="Bookmark_I6B11G122N1R9W0020000400_2"/>
      <w:bookmarkEnd w:id="84"/>
      <w:bookmarkStart w:id="85" w:name="Bookmark_I6B11G122N1R9W0010000400"/>
      <w:bookmarkEnd w:id="85"/>
      <w:hyperlink r:id="rId28" w:history="1">
        <w:r>
          <w:rPr>
            <w:rFonts w:ascii="arial" w:eastAsia="arial" w:hAnsi="arial" w:cs="arial"/>
            <w:b w:val="0"/>
            <w:i/>
            <w:strike w:val="0"/>
            <w:noProof w:val="0"/>
            <w:color w:val="0077CC"/>
            <w:position w:val="0"/>
            <w:sz w:val="20"/>
            <w:u w:val="single"/>
            <w:vertAlign w:val="baseline"/>
          </w:rPr>
          <w:t>Young v. Hawaii</w:t>
        </w:r>
      </w:hyperlink>
      <w:r>
        <w:rPr>
          <w:rFonts w:ascii="arial" w:eastAsia="arial" w:hAnsi="arial" w:cs="arial"/>
          <w:b w:val="0"/>
          <w:i w:val="0"/>
          <w:strike w:val="0"/>
          <w:noProof w:val="0"/>
          <w:color w:val="000000"/>
          <w:position w:val="0"/>
          <w:sz w:val="20"/>
          <w:u w:val="none"/>
          <w:vertAlign w:val="baseline"/>
        </w:rPr>
        <w:t xml:space="preserve">, before concluding Baird and Gallardo had not shown they were likely to succeed on the merits of their claims. They had, however, raised "serious questions" about their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rights. </w:t>
      </w:r>
      <w:bookmarkStart w:id="86" w:name="Bookmark_I6B11G122N1R9W0040000400"/>
      <w:bookmarkEnd w:id="86"/>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Order (Aug. 31, 2020) at 5-8, ECF No. 33. This meant they could be entitled to a preliminary injunction only if they showed the balance of hardships tipped sharply in their favor, among other prerequisites.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4 (citing </w:t>
      </w:r>
      <w:bookmarkStart w:id="87" w:name="Bookmark_I6B11G122N1R9W0030000400"/>
      <w:bookmarkEnd w:id="87"/>
      <w:hyperlink r:id="rId31" w:history="1">
        <w:r>
          <w:rPr>
            <w:rFonts w:ascii="arial" w:eastAsia="arial" w:hAnsi="arial" w:cs="arial"/>
            <w:b w:val="0"/>
            <w:i/>
            <w:strike w:val="0"/>
            <w:noProof w:val="0"/>
            <w:color w:val="0077CC"/>
            <w:position w:val="0"/>
            <w:sz w:val="20"/>
            <w:u w:val="single"/>
            <w:vertAlign w:val="baseline"/>
          </w:rPr>
          <w:t>All. for the Wild Rockies v. Cottrell</w:t>
        </w:r>
      </w:hyperlink>
      <w:hyperlink r:id="rId31" w:history="1">
        <w:r>
          <w:rPr>
            <w:rFonts w:ascii="arial" w:eastAsia="arial" w:hAnsi="arial" w:cs="arial"/>
            <w:b w:val="0"/>
            <w:i/>
            <w:strike w:val="0"/>
            <w:noProof w:val="0"/>
            <w:color w:val="0077CC"/>
            <w:position w:val="0"/>
            <w:sz w:val="20"/>
            <w:u w:val="single"/>
            <w:vertAlign w:val="baseline"/>
          </w:rPr>
          <w:t>, 632 F.3d 1127, 1131-35 (9th Cir. 2011)</w:t>
        </w:r>
      </w:hyperlink>
      <w:r>
        <w:rPr>
          <w:rFonts w:ascii="arial" w:eastAsia="arial" w:hAnsi="arial" w:cs="arial"/>
          <w:b w:val="0"/>
          <w:i w:val="0"/>
          <w:strike w:val="0"/>
          <w:noProof w:val="0"/>
          <w:color w:val="000000"/>
          <w:position w:val="0"/>
          <w:sz w:val="20"/>
          <w:u w:val="none"/>
          <w:vertAlign w:val="baseline"/>
        </w:rPr>
        <w:t xml:space="preserve">). The court found they had not so shown and denied their motion.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But the court expressly permitted Baird and Gallardo to renew their motion if the Ninth Circuit en banc issued a favorable decision in </w:t>
      </w:r>
      <w:r>
        <w:rPr>
          <w:rFonts w:ascii="arial" w:eastAsia="arial" w:hAnsi="arial" w:cs="arial"/>
          <w:b w:val="0"/>
          <w:i/>
          <w:strike w:val="0"/>
          <w:noProof w:val="0"/>
          <w:color w:val="000000"/>
          <w:position w:val="0"/>
          <w:sz w:val="20"/>
          <w:u w:val="none"/>
          <w:vertAlign w:val="baseline"/>
        </w:rPr>
        <w:t>Young. Id.</w:t>
      </w:r>
      <w:r>
        <w:rPr>
          <w:rFonts w:ascii="arial" w:eastAsia="arial" w:hAnsi="arial" w:cs="arial"/>
          <w:b w:val="0"/>
          <w:i w:val="0"/>
          <w:strike w:val="0"/>
          <w:noProof w:val="0"/>
          <w:color w:val="000000"/>
          <w:position w:val="0"/>
          <w:sz w:val="20"/>
          <w:u w:val="none"/>
          <w:vertAlign w:val="baseline"/>
        </w:rPr>
        <w:t xml:space="preserve"> In the meantime, discovery began here.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Sched. Order, ECF No. 39.</w:t>
      </w:r>
    </w:p>
    <w:p>
      <w:pPr>
        <w:keepNext w:val="0"/>
        <w:spacing w:before="200" w:after="0" w:line="260" w:lineRule="atLeast"/>
        <w:ind w:left="0" w:right="0" w:firstLine="0"/>
        <w:jc w:val="both"/>
      </w:pPr>
      <w:bookmarkStart w:id="88" w:name="Bookmark_para_13"/>
      <w:bookmarkEnd w:id="88"/>
      <w:bookmarkStart w:id="89" w:name="Bookmark_I6B11G122HM6720010000400"/>
      <w:bookmarkEnd w:id="89"/>
      <w:bookmarkStart w:id="90" w:name="Bookmark_I6B11G122HM6720050000400"/>
      <w:bookmarkEnd w:id="90"/>
      <w:r>
        <w:rPr>
          <w:rFonts w:ascii="arial" w:eastAsia="arial" w:hAnsi="arial" w:cs="arial"/>
          <w:b w:val="0"/>
          <w:i w:val="0"/>
          <w:strike w:val="0"/>
          <w:noProof w:val="0"/>
          <w:color w:val="000000"/>
          <w:position w:val="0"/>
          <w:sz w:val="20"/>
          <w:u w:val="none"/>
          <w:vertAlign w:val="baseline"/>
        </w:rPr>
        <w:t xml:space="preserve">The Ninth Circuit issued its en banc opinion in </w:t>
      </w:r>
      <w:bookmarkStart w:id="91" w:name="Bookmark_I6B11G122N1R9W0050000400"/>
      <w:bookmarkEnd w:id="91"/>
      <w:hyperlink r:id="rId28" w:history="1">
        <w:r>
          <w:rPr>
            <w:rFonts w:ascii="arial" w:eastAsia="arial" w:hAnsi="arial" w:cs="arial"/>
            <w:b w:val="0"/>
            <w:i/>
            <w:strike w:val="0"/>
            <w:noProof w:val="0"/>
            <w:color w:val="0077CC"/>
            <w:position w:val="0"/>
            <w:sz w:val="20"/>
            <w:u w:val="single"/>
            <w:vertAlign w:val="baseline"/>
          </w:rPr>
          <w:t>Young v. Hawaii</w:t>
        </w:r>
      </w:hyperlink>
      <w:r>
        <w:rPr>
          <w:rFonts w:ascii="arial" w:eastAsia="arial" w:hAnsi="arial" w:cs="arial"/>
          <w:b w:val="0"/>
          <w:i w:val="0"/>
          <w:strike w:val="0"/>
          <w:noProof w:val="0"/>
          <w:color w:val="000000"/>
          <w:position w:val="0"/>
          <w:sz w:val="20"/>
          <w:u w:val="none"/>
          <w:vertAlign w:val="baseline"/>
        </w:rPr>
        <w:t xml:space="preserve"> in March 2021, while discovery was underway. </w:t>
      </w:r>
      <w:bookmarkStart w:id="92" w:name="Bookmark_I6B11G122HM6720020000400"/>
      <w:bookmarkEnd w:id="92"/>
      <w:hyperlink r:id="rId32" w:history="1">
        <w:r>
          <w:rPr>
            <w:rFonts w:ascii="arial" w:eastAsia="arial" w:hAnsi="arial" w:cs="arial"/>
            <w:b w:val="0"/>
            <w:i/>
            <w:strike w:val="0"/>
            <w:noProof w:val="0"/>
            <w:color w:val="0077CC"/>
            <w:position w:val="0"/>
            <w:sz w:val="20"/>
            <w:u w:val="single"/>
            <w:vertAlign w:val="baseline"/>
          </w:rPr>
          <w:t>992 F.3d 765 (9th Cir. 2021)</w:t>
        </w:r>
      </w:hyperlink>
      <w:r>
        <w:rPr>
          <w:rFonts w:ascii="arial" w:eastAsia="arial" w:hAnsi="arial" w:cs="arial"/>
          <w:b w:val="0"/>
          <w:i w:val="0"/>
          <w:strike w:val="0"/>
          <w:noProof w:val="0"/>
          <w:color w:val="000000"/>
          <w:position w:val="0"/>
          <w:sz w:val="20"/>
          <w:u w:val="none"/>
          <w:vertAlign w:val="baseline"/>
        </w:rPr>
        <w:t xml:space="preserve"> (en banc). The Circuit held "Hawai'i's restrictions on the open carrying of firearms reflect longstanding prohibitions." </w:t>
      </w:r>
      <w:bookmarkStart w:id="93" w:name="Bookmark_I6B11G122HM6720040000400"/>
      <w:bookmarkEnd w:id="93"/>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773</w:t>
        </w:r>
      </w:hyperlink>
      <w:r>
        <w:rPr>
          <w:rFonts w:ascii="arial" w:eastAsia="arial" w:hAnsi="arial" w:cs="arial"/>
          <w:b w:val="0"/>
          <w:i w:val="0"/>
          <w:strike w:val="0"/>
          <w:noProof w:val="0"/>
          <w:color w:val="000000"/>
          <w:position w:val="0"/>
          <w:sz w:val="20"/>
          <w:u w:val="none"/>
          <w:vertAlign w:val="baseline"/>
        </w:rPr>
        <w:t xml:space="preserve">. For that reason, the court concluded, openly carrying firearms in public was "outside the historical scope of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resolution clearly was unfavorable to Baird and Gallardo. They nevertheless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renewed their motion for a preliminary injunction, s</w:t>
      </w:r>
      <w:r>
        <w:rPr>
          <w:rFonts w:ascii="arial" w:eastAsia="arial" w:hAnsi="arial" w:cs="arial"/>
          <w:b w:val="0"/>
          <w:i/>
          <w:strike w:val="0"/>
          <w:noProof w:val="0"/>
          <w:color w:val="000000"/>
          <w:position w:val="0"/>
          <w:sz w:val="20"/>
          <w:u w:val="none"/>
          <w:vertAlign w:val="baseline"/>
        </w:rPr>
        <w:t>ee</w:t>
      </w:r>
      <w:r>
        <w:rPr>
          <w:rFonts w:ascii="arial" w:eastAsia="arial" w:hAnsi="arial" w:cs="arial"/>
          <w:b w:val="0"/>
          <w:i w:val="0"/>
          <w:strike w:val="0"/>
          <w:noProof w:val="0"/>
          <w:color w:val="000000"/>
          <w:position w:val="0"/>
          <w:sz w:val="20"/>
          <w:u w:val="none"/>
          <w:vertAlign w:val="baseline"/>
        </w:rPr>
        <w:t xml:space="preserve"> Second Mot. Prelim. Inj., ECF No. 40, and this court heard oral arguments in July 2021, Mins., ECF No. 50.</w:t>
      </w:r>
    </w:p>
    <w:p>
      <w:pPr>
        <w:keepNext w:val="0"/>
        <w:spacing w:before="200" w:after="0" w:line="260" w:lineRule="atLeast"/>
        <w:ind w:left="0" w:right="0" w:firstLine="0"/>
        <w:jc w:val="both"/>
      </w:pPr>
      <w:bookmarkStart w:id="94" w:name="Bookmark_para_14"/>
      <w:bookmarkEnd w:id="94"/>
      <w:bookmarkStart w:id="95" w:name="Bookmark_I6B11G122N1RB10020000400"/>
      <w:bookmarkEnd w:id="95"/>
      <w:r>
        <w:rPr>
          <w:rFonts w:ascii="arial" w:eastAsia="arial" w:hAnsi="arial" w:cs="arial"/>
          <w:b w:val="0"/>
          <w:i w:val="0"/>
          <w:strike w:val="0"/>
          <w:noProof w:val="0"/>
          <w:color w:val="000000"/>
          <w:position w:val="0"/>
          <w:sz w:val="20"/>
          <w:u w:val="none"/>
          <w:vertAlign w:val="baseline"/>
        </w:rPr>
        <w:t xml:space="preserve">In the meantime, the Supreme Court had granted a petition for certiorari in the case now known as </w:t>
      </w:r>
      <w:r>
        <w:rPr>
          <w:rFonts w:ascii="arial" w:eastAsia="arial" w:hAnsi="arial" w:cs="arial"/>
          <w:b w:val="0"/>
          <w:i/>
          <w:strike w:val="0"/>
          <w:noProof w:val="0"/>
          <w:color w:val="000000"/>
          <w:position w:val="0"/>
          <w:sz w:val="20"/>
          <w:u w:val="none"/>
          <w:vertAlign w:val="baseline"/>
        </w:rPr>
        <w:t>Bruen. See</w:t>
      </w:r>
      <w:r>
        <w:rPr>
          <w:rFonts w:ascii="arial" w:eastAsia="arial" w:hAnsi="arial" w:cs="arial"/>
          <w:b w:val="0"/>
          <w:i w:val="0"/>
          <w:strike w:val="0"/>
          <w:noProof w:val="0"/>
          <w:color w:val="000000"/>
          <w:position w:val="0"/>
          <w:sz w:val="20"/>
          <w:u w:val="none"/>
          <w:vertAlign w:val="baseline"/>
        </w:rPr>
        <w:t xml:space="preserve"> </w:t>
      </w:r>
      <w:bookmarkStart w:id="96" w:name="Bookmark_I6B11G122N1RB10010000400"/>
      <w:bookmarkEnd w:id="96"/>
      <w:r>
        <w:rPr>
          <w:rFonts w:ascii="arial" w:eastAsia="arial" w:hAnsi="arial" w:cs="arial"/>
          <w:b w:val="0"/>
          <w:i/>
          <w:strike w:val="0"/>
          <w:noProof w:val="0"/>
          <w:color w:val="000000"/>
          <w:position w:val="0"/>
          <w:sz w:val="20"/>
          <w:u w:val="none"/>
          <w:vertAlign w:val="baseline"/>
        </w:rPr>
        <w:t>141 S. Ct. 2566, 209 L. Ed. 2d 590</w:t>
      </w:r>
      <w:r>
        <w:rPr>
          <w:rFonts w:ascii="arial" w:eastAsia="arial" w:hAnsi="arial" w:cs="arial"/>
          <w:b w:val="0"/>
          <w:i w:val="0"/>
          <w:strike w:val="0"/>
          <w:noProof w:val="0"/>
          <w:color w:val="000000"/>
          <w:position w:val="0"/>
          <w:sz w:val="20"/>
          <w:u w:val="none"/>
          <w:vertAlign w:val="baseline"/>
        </w:rPr>
        <w:t xml:space="preserve">. At oral arguments on Baird and Gallardo's renewed motion for a preliminary injunction, the state urged this court to stay this case until the Supreme Court issued its decision in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Hr'g Tr. at 13-14, ECF No. 52. Baird and Gallardo initially thought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had no "bearing on this case,"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14-15, but later reconsidered and joined the state's request for a stay,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Stip. &amp; Order, ECF No. 58. The court granted that request and stayed the case until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was resolved.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97" w:name="Bookmark_para_15"/>
      <w:bookmarkEnd w:id="97"/>
      <w:bookmarkStart w:id="98" w:name="Bookmark_I6B11G122N1RB10040000400"/>
      <w:bookmarkEnd w:id="98"/>
      <w:r>
        <w:rPr>
          <w:rFonts w:ascii="arial" w:eastAsia="arial" w:hAnsi="arial" w:cs="arial"/>
          <w:b w:val="0"/>
          <w:i w:val="0"/>
          <w:strike w:val="0"/>
          <w:noProof w:val="0"/>
          <w:color w:val="000000"/>
          <w:position w:val="0"/>
          <w:sz w:val="20"/>
          <w:u w:val="none"/>
          <w:vertAlign w:val="baseline"/>
        </w:rPr>
        <w:t xml:space="preserve">The Supreme Court issued its opinion in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in June 2022, holding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gives "ordinary, law-abiding" people a right to carry firearms in public for self23 defense. </w:t>
      </w:r>
      <w:bookmarkStart w:id="99" w:name="Bookmark_I6B11G122N1RB10030000400"/>
      <w:bookmarkEnd w:id="99"/>
      <w:hyperlink r:id="rId11" w:history="1">
        <w:r>
          <w:rPr>
            <w:rFonts w:ascii="arial" w:eastAsia="arial" w:hAnsi="arial" w:cs="arial"/>
            <w:b w:val="0"/>
            <w:i/>
            <w:strike w:val="0"/>
            <w:noProof w:val="0"/>
            <w:color w:val="0077CC"/>
            <w:position w:val="0"/>
            <w:sz w:val="20"/>
            <w:u w:val="single"/>
            <w:vertAlign w:val="baseline"/>
          </w:rPr>
          <w:t>142 S. Ct. at 2122</w:t>
        </w:r>
      </w:hyperlink>
      <w:r>
        <w:rPr>
          <w:rFonts w:ascii="arial" w:eastAsia="arial" w:hAnsi="arial" w:cs="arial"/>
          <w:b w:val="0"/>
          <w:i w:val="0"/>
          <w:strike w:val="0"/>
          <w:noProof w:val="0"/>
          <w:color w:val="000000"/>
          <w:position w:val="0"/>
          <w:sz w:val="20"/>
          <w:u w:val="none"/>
          <w:vertAlign w:val="baseline"/>
        </w:rPr>
        <w:t xml:space="preserve">. </w:t>
      </w:r>
      <w:bookmarkStart w:id="100" w:name="Bookmark_I6B11G122SF7ND0010000400"/>
      <w:bookmarkEnd w:id="100"/>
      <w:r>
        <w:rPr>
          <w:rFonts w:ascii="arial" w:eastAsia="arial" w:hAnsi="arial" w:cs="arial"/>
          <w:b w:val="0"/>
          <w:i w:val="0"/>
          <w:strike w:val="0"/>
          <w:noProof w:val="0"/>
          <w:color w:val="000000"/>
          <w:position w:val="0"/>
          <w:sz w:val="20"/>
          <w:u w:val="none"/>
          <w:vertAlign w:val="baseline"/>
        </w:rPr>
        <w:t xml:space="preserve">The Court also rejected the two-part test that most courts of appeals had adopted. </w:t>
      </w:r>
      <w:bookmarkStart w:id="101" w:name="Bookmark_I6B11G122SF7ND0030000400"/>
      <w:bookmarkEnd w:id="101"/>
      <w:r>
        <w:rPr>
          <w:rFonts w:ascii="arial" w:eastAsia="arial" w:hAnsi="arial" w:cs="arial"/>
          <w:b w:val="0"/>
          <w:i w:val="0"/>
          <w:strike w:val="0"/>
          <w:noProof w:val="0"/>
          <w:color w:val="000000"/>
          <w:position w:val="0"/>
          <w:sz w:val="20"/>
          <w:u w:val="none"/>
          <w:vertAlign w:val="baseline"/>
        </w:rPr>
        <w:t>It directed lower courts instead to use a test focused on "the historical tradition" of firearms</w:t>
      </w:r>
      <w:r>
        <w:rPr>
          <w:rFonts w:ascii="arial" w:eastAsia="arial" w:hAnsi="arial" w:cs="arial"/>
          <w:b/>
          <w:i w:val="0"/>
          <w:strike w:val="0"/>
          <w:noProof w:val="0"/>
          <w:color w:val="000000"/>
          <w:position w:val="0"/>
          <w:sz w:val="20"/>
          <w:u w:val="none"/>
          <w:vertAlign w:val="baseline"/>
        </w:rPr>
        <w:t> [*1098] </w:t>
      </w:r>
      <w:r>
        <w:rPr>
          <w:rFonts w:ascii="arial" w:eastAsia="arial" w:hAnsi="arial" w:cs="arial"/>
          <w:b w:val="0"/>
          <w:i w:val="0"/>
          <w:strike w:val="0"/>
          <w:noProof w:val="0"/>
          <w:color w:val="000000"/>
          <w:position w:val="0"/>
          <w:sz w:val="20"/>
          <w:u w:val="none"/>
          <w:vertAlign w:val="baseline"/>
        </w:rPr>
        <w:t xml:space="preserve"> regulation. </w:t>
      </w:r>
      <w:bookmarkStart w:id="102" w:name="Bookmark_I6B11G122SF7ND0030000400_2"/>
      <w:bookmarkEnd w:id="102"/>
      <w:bookmarkStart w:id="103" w:name="Bookmark_I6B11G122SF7ND0010000400_2"/>
      <w:bookmarkEnd w:id="103"/>
      <w:bookmarkStart w:id="104" w:name="Bookmark_I6B11G122N1RB10050000400"/>
      <w:bookmarkEnd w:id="104"/>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2127</w:t>
        </w:r>
      </w:hyperlink>
      <w:r>
        <w:rPr>
          <w:rFonts w:ascii="arial" w:eastAsia="arial" w:hAnsi="arial" w:cs="arial"/>
          <w:b w:val="0"/>
          <w:i w:val="0"/>
          <w:strike w:val="0"/>
          <w:noProof w:val="0"/>
          <w:color w:val="000000"/>
          <w:position w:val="0"/>
          <w:sz w:val="20"/>
          <w:u w:val="none"/>
          <w:vertAlign w:val="baseline"/>
        </w:rPr>
        <w:t xml:space="preserve">. After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the Court granted certiorari in </w:t>
      </w:r>
      <w:bookmarkStart w:id="105" w:name="Bookmark_I6B11G122SF7ND0030000400_3"/>
      <w:bookmarkEnd w:id="105"/>
      <w:bookmarkStart w:id="106" w:name="Bookmark_I6B11G122SF7ND0020000400"/>
      <w:bookmarkEnd w:id="106"/>
      <w:hyperlink r:id="rId28" w:history="1">
        <w:r>
          <w:rPr>
            <w:rFonts w:ascii="arial" w:eastAsia="arial" w:hAnsi="arial" w:cs="arial"/>
            <w:b w:val="0"/>
            <w:i/>
            <w:strike w:val="0"/>
            <w:noProof w:val="0"/>
            <w:color w:val="0077CC"/>
            <w:position w:val="0"/>
            <w:sz w:val="20"/>
            <w:u w:val="single"/>
            <w:vertAlign w:val="baseline"/>
          </w:rPr>
          <w:t>Young</w:t>
        </w:r>
      </w:hyperlink>
      <w:r>
        <w:rPr>
          <w:rFonts w:ascii="arial" w:eastAsia="arial" w:hAnsi="arial" w:cs="arial"/>
          <w:b w:val="0"/>
          <w:i w:val="0"/>
          <w:strike w:val="0"/>
          <w:noProof w:val="0"/>
          <w:color w:val="000000"/>
          <w:position w:val="0"/>
          <w:sz w:val="20"/>
          <w:u w:val="none"/>
          <w:vertAlign w:val="baseline"/>
        </w:rPr>
        <w:t>, vacated the Ninth Circuit's en banc</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decision, and remanded that case for further consideration. </w:t>
      </w:r>
      <w:bookmarkStart w:id="107" w:name="Bookmark_I6B11G122SF7ND0040000400"/>
      <w:bookmarkEnd w:id="107"/>
      <w:r>
        <w:rPr>
          <w:rFonts w:ascii="arial" w:eastAsia="arial" w:hAnsi="arial" w:cs="arial"/>
          <w:b w:val="0"/>
          <w:i/>
          <w:strike w:val="0"/>
          <w:noProof w:val="0"/>
          <w:color w:val="000000"/>
          <w:position w:val="0"/>
          <w:sz w:val="20"/>
          <w:u w:val="none"/>
          <w:vertAlign w:val="baseline"/>
        </w:rPr>
        <w:t>142 S. Ct. 2895, 213 L. Ed. 2d 1108 (2022)</w:t>
      </w:r>
      <w:r>
        <w:rPr>
          <w:rFonts w:ascii="arial" w:eastAsia="arial" w:hAnsi="arial" w:cs="arial"/>
          <w:b w:val="0"/>
          <w:i w:val="0"/>
          <w:strike w:val="0"/>
          <w:noProof w:val="0"/>
          <w:color w:val="000000"/>
          <w:position w:val="0"/>
          <w:sz w:val="20"/>
          <w:u w:val="none"/>
          <w:vertAlign w:val="baseline"/>
        </w:rPr>
        <w:t xml:space="preserve">. The Circuit remanded the case to the district court in turn, </w:t>
      </w:r>
      <w:hyperlink r:id="rId33" w:history="1">
        <w:r>
          <w:rPr>
            <w:rFonts w:ascii="arial" w:eastAsia="arial" w:hAnsi="arial" w:cs="arial"/>
            <w:b w:val="0"/>
            <w:i/>
            <w:strike w:val="0"/>
            <w:noProof w:val="0"/>
            <w:color w:val="0077CC"/>
            <w:position w:val="0"/>
            <w:sz w:val="20"/>
            <w:u w:val="single"/>
            <w:vertAlign w:val="baseline"/>
          </w:rPr>
          <w:t>45 F.4th 1087 (9th Cir. 2022)</w:t>
        </w:r>
      </w:hyperlink>
      <w:r>
        <w:rPr>
          <w:rFonts w:ascii="arial" w:eastAsia="arial" w:hAnsi="arial" w:cs="arial"/>
          <w:b w:val="0"/>
          <w:i w:val="0"/>
          <w:strike w:val="0"/>
          <w:noProof w:val="0"/>
          <w:color w:val="000000"/>
          <w:position w:val="0"/>
          <w:sz w:val="20"/>
          <w:u w:val="none"/>
          <w:vertAlign w:val="baseline"/>
        </w:rPr>
        <w:t xml:space="preserve">, but the parties stipulated to dismissal and the court granted that request,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Stip. &amp; Order, No. 12-336 (D. Haw. Dec. 15, 2022), ECF No. 89.</w:t>
      </w:r>
    </w:p>
    <w:p>
      <w:pPr>
        <w:keepNext w:val="0"/>
        <w:spacing w:before="200" w:after="0" w:line="260" w:lineRule="atLeast"/>
        <w:ind w:left="0" w:right="0" w:firstLine="0"/>
        <w:jc w:val="both"/>
      </w:pPr>
      <w:bookmarkStart w:id="108" w:name="Bookmark_para_16"/>
      <w:bookmarkEnd w:id="108"/>
      <w:bookmarkStart w:id="109" w:name="Bookmark_I6B11G1228T4040020000400"/>
      <w:bookmarkEnd w:id="109"/>
      <w:r>
        <w:rPr>
          <w:rFonts w:ascii="arial" w:eastAsia="arial" w:hAnsi="arial" w:cs="arial"/>
          <w:b w:val="0"/>
          <w:i w:val="0"/>
          <w:strike w:val="0"/>
          <w:noProof w:val="0"/>
          <w:color w:val="000000"/>
          <w:position w:val="0"/>
          <w:sz w:val="20"/>
          <w:u w:val="none"/>
          <w:vertAlign w:val="baseline"/>
        </w:rPr>
        <w:t xml:space="preserve">After the Court filed its opinion in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this court lifted the stay here, ECF No. 59, Baird and Gallardo amended their complaint, ECF No. 68, and they renewed their request for a preliminary injunction, ECF No. 65. The court denied that motion in late 2022, s</w:t>
      </w:r>
      <w:r>
        <w:rPr>
          <w:rFonts w:ascii="arial" w:eastAsia="arial" w:hAnsi="arial" w:cs="arial"/>
          <w:b w:val="0"/>
          <w:i/>
          <w:strike w:val="0"/>
          <w:noProof w:val="0"/>
          <w:color w:val="000000"/>
          <w:position w:val="0"/>
          <w:sz w:val="20"/>
          <w:u w:val="none"/>
          <w:vertAlign w:val="baseline"/>
        </w:rPr>
        <w:t>ee</w:t>
      </w:r>
      <w:r>
        <w:rPr>
          <w:rFonts w:ascii="arial" w:eastAsia="arial" w:hAnsi="arial" w:cs="arial"/>
          <w:b w:val="0"/>
          <w:i w:val="0"/>
          <w:strike w:val="0"/>
          <w:noProof w:val="0"/>
          <w:color w:val="000000"/>
          <w:position w:val="0"/>
          <w:sz w:val="20"/>
          <w:u w:val="none"/>
          <w:vertAlign w:val="baseline"/>
        </w:rPr>
        <w:t xml:space="preserve"> Order (Dec. 8. 2022), ECF No. 83, finding Baird and Gallardo had not shown the balance of hardships and public interest favored an injunction, necessary conditions for injunctive relief under </w:t>
      </w:r>
      <w:r>
        <w:rPr>
          <w:rFonts w:ascii="arial" w:eastAsia="arial" w:hAnsi="arial" w:cs="arial"/>
          <w:b w:val="0"/>
          <w:i/>
          <w:strike w:val="0"/>
          <w:noProof w:val="0"/>
          <w:color w:val="000000"/>
          <w:position w:val="0"/>
          <w:sz w:val="20"/>
          <w:u w:val="none"/>
          <w:vertAlign w:val="baseline"/>
        </w:rPr>
        <w:t>Winter v. Natural Resources Defense Council. Id.</w:t>
      </w:r>
      <w:r>
        <w:rPr>
          <w:rFonts w:ascii="arial" w:eastAsia="arial" w:hAnsi="arial" w:cs="arial"/>
          <w:b w:val="0"/>
          <w:i w:val="0"/>
          <w:strike w:val="0"/>
          <w:noProof w:val="0"/>
          <w:color w:val="000000"/>
          <w:position w:val="0"/>
          <w:sz w:val="20"/>
          <w:u w:val="none"/>
          <w:vertAlign w:val="baseline"/>
        </w:rPr>
        <w:t xml:space="preserve"> at 10-15 (citing </w:t>
      </w:r>
      <w:bookmarkStart w:id="110" w:name="Bookmark_I6B11G1228T4040010000400"/>
      <w:bookmarkEnd w:id="110"/>
      <w:hyperlink r:id="rId34" w:history="1">
        <w:r>
          <w:rPr>
            <w:rFonts w:ascii="arial" w:eastAsia="arial" w:hAnsi="arial" w:cs="arial"/>
            <w:b w:val="0"/>
            <w:i/>
            <w:strike w:val="0"/>
            <w:noProof w:val="0"/>
            <w:color w:val="0077CC"/>
            <w:position w:val="0"/>
            <w:sz w:val="20"/>
            <w:u w:val="single"/>
            <w:vertAlign w:val="baseline"/>
          </w:rPr>
          <w:t>555 U.S. 7, 129 S. Ct. 365, 172 L. Ed. 2d 249 (2008)</w:t>
        </w:r>
      </w:hyperlink>
      <w:r>
        <w:rPr>
          <w:rFonts w:ascii="arial" w:eastAsia="arial" w:hAnsi="arial" w:cs="arial"/>
          <w:b w:val="0"/>
          <w:i w:val="0"/>
          <w:strike w:val="0"/>
          <w:noProof w:val="0"/>
          <w:color w:val="000000"/>
          <w:position w:val="0"/>
          <w:sz w:val="20"/>
          <w:u w:val="none"/>
          <w:vertAlign w:val="baseline"/>
        </w:rPr>
        <w:t xml:space="preserve">). Baird and Gallardo then pursued an interlocutory appeal. ECF No. 84. Meanwhile, the parties completed discovery and filed and briefed cross-motions for summary judgment here.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Order (Nov. 23, 2023), ECF No. 82; Def.'s Mot., ECF No. 90; Def.'s Mem., ECF No. 90-1; Pls.' Mot., ECF No. 96; Pls.' Mem., ECF No. 96-1. The court heard oral argument on November 3, 2023. Mins., ECF No. 104. Amy Bellantoni appeared for Baird and Gallardo, and Laura Haddad appeared for the Attorney General.</w:t>
      </w:r>
    </w:p>
    <w:p>
      <w:pPr>
        <w:keepNext w:val="0"/>
        <w:spacing w:before="200" w:after="0" w:line="260" w:lineRule="atLeast"/>
        <w:ind w:left="0" w:right="0" w:firstLine="0"/>
        <w:jc w:val="both"/>
      </w:pPr>
      <w:bookmarkStart w:id="111" w:name="Bookmark_para_17"/>
      <w:bookmarkEnd w:id="111"/>
      <w:bookmarkStart w:id="112" w:name="Bookmark_I6B11G1228T4040040000400"/>
      <w:bookmarkEnd w:id="112"/>
      <w:r>
        <w:rPr>
          <w:rFonts w:ascii="arial" w:eastAsia="arial" w:hAnsi="arial" w:cs="arial"/>
          <w:b w:val="0"/>
          <w:i w:val="0"/>
          <w:strike w:val="0"/>
          <w:noProof w:val="0"/>
          <w:color w:val="000000"/>
          <w:position w:val="0"/>
          <w:sz w:val="20"/>
          <w:u w:val="none"/>
          <w:vertAlign w:val="baseline"/>
        </w:rPr>
        <w:t>After briefing was complete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and after this court heard oral argument, the Ninth Circuit issued its mandate in Baird and Gallardo's appeal related to their motion for a preliminary injunction. </w:t>
      </w:r>
      <w:bookmarkStart w:id="113" w:name="Bookmark_I6B11G132N1RB90010000400"/>
      <w:bookmarkEnd w:id="113"/>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w:t>
      </w:r>
      <w:bookmarkStart w:id="114" w:name="Bookmark_I6B11G1228T4040030000400"/>
      <w:bookmarkEnd w:id="114"/>
      <w:hyperlink r:id="rId35" w:history="1">
        <w:r>
          <w:rPr>
            <w:rFonts w:ascii="arial" w:eastAsia="arial" w:hAnsi="arial" w:cs="arial"/>
            <w:b w:val="0"/>
            <w:i/>
            <w:strike w:val="0"/>
            <w:noProof w:val="0"/>
            <w:color w:val="0077CC"/>
            <w:position w:val="0"/>
            <w:sz w:val="20"/>
            <w:u w:val="single"/>
            <w:vertAlign w:val="baseline"/>
          </w:rPr>
          <w:t>81 F.4th 1036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Mandate, ECF No. 109. The Circuit held this court had erred in denying the motion without deciding whether Baird and Gallardo were likely to succeed on the merits of their claims. </w:t>
      </w:r>
      <w:bookmarkStart w:id="115" w:name="Bookmark_I6B11G132N1RB90010000400_2"/>
      <w:bookmarkEnd w:id="115"/>
      <w:bookmarkStart w:id="116" w:name="Bookmark_I6B11G132N1RB90030000400"/>
      <w:bookmarkEnd w:id="116"/>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17" w:name="Bookmark_I6B11G1228T4040050000400"/>
      <w:bookmarkEnd w:id="117"/>
      <w:hyperlink r:id="rId35" w:history="1">
        <w:r>
          <w:rPr>
            <w:rFonts w:ascii="arial" w:eastAsia="arial" w:hAnsi="arial" w:cs="arial"/>
            <w:b w:val="0"/>
            <w:i/>
            <w:strike w:val="0"/>
            <w:noProof w:val="0"/>
            <w:color w:val="0077CC"/>
            <w:position w:val="0"/>
            <w:sz w:val="20"/>
            <w:u w:val="single"/>
            <w:vertAlign w:val="baseline"/>
          </w:rPr>
          <w:t>81 F.4th at 1042, 1044-46</w:t>
        </w:r>
      </w:hyperlink>
      <w:r>
        <w:rPr>
          <w:rFonts w:ascii="arial" w:eastAsia="arial" w:hAnsi="arial" w:cs="arial"/>
          <w:b w:val="0"/>
          <w:i w:val="0"/>
          <w:strike w:val="0"/>
          <w:noProof w:val="0"/>
          <w:color w:val="000000"/>
          <w:position w:val="0"/>
          <w:sz w:val="20"/>
          <w:u w:val="none"/>
          <w:vertAlign w:val="baseline"/>
        </w:rPr>
        <w:t xml:space="preserve">. </w:t>
      </w:r>
      <w:bookmarkStart w:id="118" w:name="Bookmark_I6B11G132N1RB90030000400_2"/>
      <w:bookmarkEnd w:id="118"/>
      <w:bookmarkStart w:id="119" w:name="Bookmark_I6B11G132N1RB90050000400"/>
      <w:bookmarkEnd w:id="119"/>
      <w:r>
        <w:rPr>
          <w:rFonts w:ascii="arial" w:eastAsia="arial" w:hAnsi="arial" w:cs="arial"/>
          <w:b w:val="0"/>
          <w:i w:val="0"/>
          <w:strike w:val="0"/>
          <w:noProof w:val="0"/>
          <w:color w:val="000000"/>
          <w:position w:val="0"/>
          <w:sz w:val="20"/>
          <w:u w:val="none"/>
          <w:vertAlign w:val="baseline"/>
        </w:rPr>
        <w:t xml:space="preserve">The Circuit remanded the case to this court to consider that question. </w:t>
      </w:r>
      <w:bookmarkStart w:id="120" w:name="Bookmark_I6B11G1328T4090020000400"/>
      <w:bookmarkEnd w:id="120"/>
      <w:r>
        <w:rPr>
          <w:rFonts w:ascii="arial" w:eastAsia="arial" w:hAnsi="arial" w:cs="arial"/>
          <w:b w:val="0"/>
          <w:i/>
          <w:strike w:val="0"/>
          <w:noProof w:val="0"/>
          <w:color w:val="000000"/>
          <w:position w:val="0"/>
          <w:sz w:val="20"/>
          <w:u w:val="none"/>
          <w:vertAlign w:val="baseline"/>
        </w:rPr>
        <w:t xml:space="preserve">See </w:t>
      </w:r>
      <w:bookmarkStart w:id="121" w:name="Bookmark_I6B11G132N1RB90020000400"/>
      <w:bookmarkEnd w:id="121"/>
      <w:hyperlink r:id="rId35" w:history="1">
        <w:r>
          <w:rPr>
            <w:rFonts w:ascii="arial" w:eastAsia="arial" w:hAnsi="arial" w:cs="arial"/>
            <w:b w:val="0"/>
            <w:i/>
            <w:strike w:val="0"/>
            <w:noProof w:val="0"/>
            <w:color w:val="0077CC"/>
            <w:position w:val="0"/>
            <w:sz w:val="20"/>
            <w:u w:val="single"/>
            <w:vertAlign w:val="baseline"/>
          </w:rPr>
          <w:t>id.</w:t>
        </w:r>
      </w:hyperlink>
      <w:hyperlink r:id="rId35" w:history="1">
        <w:r>
          <w:rPr>
            <w:rFonts w:ascii="arial" w:eastAsia="arial" w:hAnsi="arial" w:cs="arial"/>
            <w:b w:val="0"/>
            <w:i/>
            <w:strike w:val="0"/>
            <w:noProof w:val="0"/>
            <w:color w:val="0077CC"/>
            <w:position w:val="0"/>
            <w:sz w:val="20"/>
            <w:u w:val="single"/>
            <w:vertAlign w:val="baseline"/>
          </w:rPr>
          <w:t xml:space="preserve"> at 1046-48</w:t>
        </w:r>
      </w:hyperlink>
      <w:r>
        <w:rPr>
          <w:rFonts w:ascii="arial" w:eastAsia="arial" w:hAnsi="arial" w:cs="arial"/>
          <w:b w:val="0"/>
          <w:i w:val="0"/>
          <w:strike w:val="0"/>
          <w:noProof w:val="0"/>
          <w:color w:val="000000"/>
          <w:position w:val="0"/>
          <w:sz w:val="20"/>
          <w:u w:val="none"/>
          <w:vertAlign w:val="baseline"/>
        </w:rPr>
        <w:t xml:space="preserve">. </w:t>
      </w:r>
      <w:bookmarkStart w:id="122" w:name="Bookmark_I6B11G1328T4090020000400_2"/>
      <w:bookmarkEnd w:id="122"/>
      <w:bookmarkStart w:id="123" w:name="Bookmark_I6B11G132N1RB90050000400_2"/>
      <w:bookmarkEnd w:id="123"/>
      <w:r>
        <w:rPr>
          <w:rFonts w:ascii="arial" w:eastAsia="arial" w:hAnsi="arial" w:cs="arial"/>
          <w:b w:val="0"/>
          <w:i w:val="0"/>
          <w:strike w:val="0"/>
          <w:noProof w:val="0"/>
          <w:color w:val="000000"/>
          <w:position w:val="0"/>
          <w:sz w:val="20"/>
          <w:u w:val="none"/>
          <w:vertAlign w:val="baseline"/>
        </w:rPr>
        <w:t xml:space="preserve">The Circuit also required California to "identify a historical analogue that curtails the right to peaceably carry handguns openly for self-defense to a comparable degree, with a comparable severity, and with a comparable blanket enforcement to California's open-carry ban." </w:t>
      </w:r>
      <w:bookmarkStart w:id="124" w:name="Bookmark_I6B11G132N1RB90040000400"/>
      <w:bookmarkEnd w:id="124"/>
      <w:hyperlink r:id="rId35" w:history="1">
        <w:r>
          <w:rPr>
            <w:rFonts w:ascii="arial" w:eastAsia="arial" w:hAnsi="arial" w:cs="arial"/>
            <w:b w:val="0"/>
            <w:i/>
            <w:strike w:val="0"/>
            <w:noProof w:val="0"/>
            <w:color w:val="0077CC"/>
            <w:position w:val="0"/>
            <w:sz w:val="20"/>
            <w:u w:val="single"/>
            <w:vertAlign w:val="baseline"/>
          </w:rPr>
          <w:t>Id.</w:t>
        </w:r>
      </w:hyperlink>
      <w:hyperlink r:id="rId35" w:history="1">
        <w:r>
          <w:rPr>
            <w:rFonts w:ascii="arial" w:eastAsia="arial" w:hAnsi="arial" w:cs="arial"/>
            <w:b w:val="0"/>
            <w:i/>
            <w:strike w:val="0"/>
            <w:noProof w:val="0"/>
            <w:color w:val="0077CC"/>
            <w:position w:val="0"/>
            <w:sz w:val="20"/>
            <w:u w:val="single"/>
            <w:vertAlign w:val="baseline"/>
          </w:rPr>
          <w:t xml:space="preserve"> at 1047</w:t>
        </w:r>
      </w:hyperlink>
      <w:r>
        <w:rPr>
          <w:rFonts w:ascii="arial" w:eastAsia="arial" w:hAnsi="arial" w:cs="arial"/>
          <w:b w:val="0"/>
          <w:i w:val="0"/>
          <w:strike w:val="0"/>
          <w:noProof w:val="0"/>
          <w:color w:val="000000"/>
          <w:position w:val="0"/>
          <w:sz w:val="20"/>
          <w:u w:val="none"/>
          <w:vertAlign w:val="baseline"/>
        </w:rPr>
        <w:t xml:space="preserve">. Additionally, the Circuit ordered this court to act "expeditiously." </w:t>
      </w:r>
      <w:bookmarkStart w:id="125" w:name="Bookmark_I6B11G1328T4090010000400"/>
      <w:bookmarkEnd w:id="125"/>
      <w:hyperlink r:id="rId35" w:history="1">
        <w:r>
          <w:rPr>
            <w:rFonts w:ascii="arial" w:eastAsia="arial" w:hAnsi="arial" w:cs="arial"/>
            <w:b w:val="0"/>
            <w:i/>
            <w:strike w:val="0"/>
            <w:noProof w:val="0"/>
            <w:color w:val="0077CC"/>
            <w:position w:val="0"/>
            <w:sz w:val="20"/>
            <w:u w:val="single"/>
            <w:vertAlign w:val="baseline"/>
          </w:rPr>
          <w:t>Id.</w:t>
        </w:r>
      </w:hyperlink>
      <w:hyperlink r:id="rId35" w:history="1">
        <w:r>
          <w:rPr>
            <w:rFonts w:ascii="arial" w:eastAsia="arial" w:hAnsi="arial" w:cs="arial"/>
            <w:b w:val="0"/>
            <w:i/>
            <w:strike w:val="0"/>
            <w:noProof w:val="0"/>
            <w:color w:val="0077CC"/>
            <w:position w:val="0"/>
            <w:sz w:val="20"/>
            <w:u w:val="single"/>
            <w:vertAlign w:val="baseline"/>
          </w:rPr>
          <w:t xml:space="preserve"> at 1047-48</w:t>
        </w:r>
      </w:hyperlink>
      <w:r>
        <w:rPr>
          <w:rFonts w:ascii="arial" w:eastAsia="arial" w:hAnsi="arial" w:cs="arial"/>
          <w:b w:val="0"/>
          <w:i w:val="0"/>
          <w:strike w:val="0"/>
          <w:noProof w:val="0"/>
          <w:color w:val="000000"/>
          <w:position w:val="0"/>
          <w:sz w:val="20"/>
          <w:u w:val="none"/>
          <w:vertAlign w:val="baseline"/>
        </w:rPr>
        <w:t>. Considering and resolving Baird and Gallardo's motion for a preliminary injunction now, however, rather than the pending cross-motions for summary judgment, would delay this action unnecessarily. The parties' cross-motions are briefed, fully argued and ready for decision. Resolving those motions will moot the preliminary injunction motion, because Baird and Gallardo either will have succeeded or not.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For that reason, the court begins with the summary judgment motions rather than with the preliminary injunction.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CLAIMS AND EVIDENCE</w:t>
      </w:r>
    </w:p>
    <w:p>
      <w:pPr>
        <w:keepNext w:val="0"/>
        <w:spacing w:before="240" w:after="0" w:line="260" w:lineRule="atLeast"/>
        <w:ind w:left="0" w:right="0" w:firstLine="0"/>
        <w:jc w:val="both"/>
      </w:pPr>
      <w:bookmarkStart w:id="126" w:name="Bookmark_para_18"/>
      <w:bookmarkEnd w:id="126"/>
      <w:r>
        <w:rPr>
          <w:rFonts w:ascii="arial" w:eastAsia="arial" w:hAnsi="arial" w:cs="arial"/>
          <w:b w:val="0"/>
          <w:i w:val="0"/>
          <w:strike w:val="0"/>
          <w:noProof w:val="0"/>
          <w:color w:val="000000"/>
          <w:position w:val="0"/>
          <w:sz w:val="20"/>
          <w:u w:val="none"/>
          <w:vertAlign w:val="baseline"/>
        </w:rPr>
        <w:t xml:space="preserve">Both Baird and Gallardo live in counties with populations below the 200,000-person limit, so local authorities can grant them licenses to carry firearms openly in public in those counties. Pls.' Resp. Stmt. Facts Nos. 4, 5, 9, 10, ECF No. 96-2. Both men claim local authorities have not published applications for open-carry licenses and will not grant them those licenses. Baird Decl. ¶¶ 7-8, ECF No. 96-4; Gallardo Decl. ¶¶ 6-7, ECF No. 96-5. The reasons are unclear. Baird and Gallardo have not sued any local licensing authorities, and neither side appears to have sought any information from the local authorities. </w:t>
      </w:r>
      <w:bookmarkStart w:id="127" w:name="Bookmark_I6B11G1328T4090040000400"/>
      <w:bookmarkEnd w:id="127"/>
      <w:r>
        <w:rPr>
          <w:rFonts w:ascii="arial" w:eastAsia="arial" w:hAnsi="arial" w:cs="arial"/>
          <w:b w:val="0"/>
          <w:i w:val="0"/>
          <w:strike w:val="0"/>
          <w:noProof w:val="0"/>
          <w:color w:val="000000"/>
          <w:position w:val="0"/>
          <w:sz w:val="20"/>
          <w:u w:val="none"/>
          <w:vertAlign w:val="baseline"/>
        </w:rPr>
        <w:t xml:space="preserve">Nor has any party cited evidence about the local authorities' decisions or policies. For these reasons, the court previously dismissed </w:t>
      </w:r>
      <w:r>
        <w:rPr>
          <w:rFonts w:ascii="arial" w:eastAsia="arial" w:hAnsi="arial" w:cs="arial"/>
          <w:b/>
          <w:i w:val="0"/>
          <w:strike w:val="0"/>
          <w:noProof w:val="0"/>
          <w:color w:val="000000"/>
          <w:position w:val="0"/>
          <w:sz w:val="20"/>
          <w:u w:val="none"/>
          <w:vertAlign w:val="baseline"/>
        </w:rPr>
        <w:t> [*1099] </w:t>
      </w:r>
      <w:r>
        <w:rPr>
          <w:rFonts w:ascii="arial" w:eastAsia="arial" w:hAnsi="arial" w:cs="arial"/>
          <w:b w:val="0"/>
          <w:i w:val="0"/>
          <w:strike w:val="0"/>
          <w:noProof w:val="0"/>
          <w:color w:val="000000"/>
          <w:position w:val="0"/>
          <w:sz w:val="20"/>
          <w:u w:val="none"/>
          <w:vertAlign w:val="baseline"/>
        </w:rPr>
        <w:t xml:space="preserve"> Baird and Gallardo's claims that licenses to carry firearms openly are not truly available to them as a practical matter; the court will not revisit those "as-applied" claims in this order. </w:t>
      </w:r>
      <w:r>
        <w:rPr>
          <w:rFonts w:ascii="arial" w:eastAsia="arial" w:hAnsi="arial" w:cs="arial"/>
          <w:b w:val="0"/>
          <w:i/>
          <w:strike w:val="0"/>
          <w:noProof w:val="0"/>
          <w:color w:val="000000"/>
          <w:position w:val="0"/>
          <w:sz w:val="20"/>
          <w:u w:val="none"/>
          <w:vertAlign w:val="baseline"/>
        </w:rPr>
        <w:t xml:space="preserve">See </w:t>
      </w:r>
      <w:bookmarkStart w:id="128" w:name="Bookmark_I6B11G1328T4090030000400"/>
      <w:bookmarkEnd w:id="128"/>
      <w:hyperlink r:id="rId36" w:history="1">
        <w:r>
          <w:rPr>
            <w:rFonts w:ascii="arial" w:eastAsia="arial" w:hAnsi="arial" w:cs="arial"/>
            <w:b w:val="0"/>
            <w:i/>
            <w:strike w:val="0"/>
            <w:noProof w:val="0"/>
            <w:color w:val="0077CC"/>
            <w:position w:val="0"/>
            <w:sz w:val="20"/>
            <w:u w:val="single"/>
            <w:vertAlign w:val="baseline"/>
          </w:rPr>
          <w:t>Baird v. Bonta</w:t>
        </w:r>
      </w:hyperlink>
      <w:hyperlink r:id="rId36" w:history="1">
        <w:r>
          <w:rPr>
            <w:rFonts w:ascii="arial" w:eastAsia="arial" w:hAnsi="arial" w:cs="arial"/>
            <w:b w:val="0"/>
            <w:i/>
            <w:strike w:val="0"/>
            <w:noProof w:val="0"/>
            <w:color w:val="0077CC"/>
            <w:position w:val="0"/>
            <w:sz w:val="20"/>
            <w:u w:val="single"/>
            <w:vertAlign w:val="baseline"/>
          </w:rPr>
          <w:t>, 644 F. Supp. 3d 726, 731 (E.D. Cal.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rev'd and remanded in part on other grounds</w:t>
      </w:r>
      <w:r>
        <w:rPr>
          <w:rFonts w:ascii="arial" w:eastAsia="arial" w:hAnsi="arial" w:cs="arial"/>
          <w:b w:val="0"/>
          <w:i w:val="0"/>
          <w:strike w:val="0"/>
          <w:noProof w:val="0"/>
          <w:color w:val="000000"/>
          <w:position w:val="0"/>
          <w:sz w:val="20"/>
          <w:u w:val="none"/>
          <w:vertAlign w:val="baseline"/>
        </w:rPr>
        <w:t xml:space="preserve">, </w:t>
      </w:r>
      <w:hyperlink r:id="rId35" w:history="1">
        <w:r>
          <w:rPr>
            <w:rFonts w:ascii="arial" w:eastAsia="arial" w:hAnsi="arial" w:cs="arial"/>
            <w:b w:val="0"/>
            <w:i/>
            <w:strike w:val="0"/>
            <w:noProof w:val="0"/>
            <w:color w:val="0077CC"/>
            <w:position w:val="0"/>
            <w:sz w:val="20"/>
            <w:u w:val="single"/>
            <w:vertAlign w:val="baseline"/>
          </w:rPr>
          <w:t>81 F.4th 1036 (9th Cir. 2023)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9" w:name="Bookmark_para_19"/>
      <w:bookmarkEnd w:id="129"/>
      <w:r>
        <w:rPr>
          <w:rFonts w:ascii="arial" w:eastAsia="arial" w:hAnsi="arial" w:cs="arial"/>
          <w:b w:val="0"/>
          <w:i w:val="0"/>
          <w:strike w:val="0"/>
          <w:noProof w:val="0"/>
          <w:color w:val="000000"/>
          <w:position w:val="0"/>
          <w:sz w:val="20"/>
          <w:u w:val="none"/>
          <w:vertAlign w:val="baseline"/>
        </w:rPr>
        <w:t>Local authorities can also grant Baird and Gallardo licenses to carry</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concealed firearms in public. Until the most recent hearing on the parties' pending cross-motions for summary judgment, the record did not make clear whether Baird and Gallardo have licenses or are exempted from the general ban on carrying concealed handguns in public. Baird testified in his deposition that he has applied to county authorities for multiple permits to carry concealed firearms, most recently in 2021, and his most recent application was granted.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Baird Dep. at 14, Haddad Decl. Ex. 2, ECF No. 90-4. He denies now, however, that he has a permit to carry a concealed firearm. Baird Decl. ¶¶ 7-8. At hearing on the pending cross-motions, Baird's counsel explained his license has expired. California does not argue otherwise. Gallardo testified in his deposition he is exempted from the state's license requirement by virtue of a federal credential.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Gallardo Dep. at 15, 27, Haddad Ex. 3, ECF No. 90-4. But in a later declaration, he claimed he could not rely on any exemption to the state's licensing requirements.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Gallardo Decl. ¶ 5. At hearing on the pending cross-motions, his counsel clarified his federal credential does not allow him to carry a firearm openly in all</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 places he wishes. Again, California does not argue otherwise.</w:t>
      </w:r>
    </w:p>
    <w:p>
      <w:pPr>
        <w:keepNext w:val="0"/>
        <w:spacing w:before="200" w:after="0" w:line="260" w:lineRule="atLeast"/>
        <w:ind w:left="0" w:right="0" w:firstLine="0"/>
        <w:jc w:val="both"/>
      </w:pPr>
      <w:bookmarkStart w:id="130" w:name="Bookmark_para_20"/>
      <w:bookmarkEnd w:id="130"/>
      <w:r>
        <w:rPr>
          <w:rFonts w:ascii="arial" w:eastAsia="arial" w:hAnsi="arial" w:cs="arial"/>
          <w:b w:val="0"/>
          <w:i w:val="0"/>
          <w:strike w:val="0"/>
          <w:noProof w:val="0"/>
          <w:color w:val="000000"/>
          <w:position w:val="0"/>
          <w:sz w:val="20"/>
          <w:u w:val="none"/>
          <w:vertAlign w:val="baseline"/>
        </w:rPr>
        <w:t xml:space="preserve">For these reasons, the court finds it is undisputed that Baird and Gallardo both could apply to local authorities for permits to carry firearms openly and concealed in public. It also is undisputed the state will not now, after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allow local licensing authorities to deny Baird and Gallardo a license based on any failure to show "good cause." Baird and Gallardo nevertheless contend the state's system of licensing and criminal punishments is unconstitutional. Their claims can be interpreted in a number of ways. As their counsel clarified at hearing on the parties' pending cross-motions, their lawsuit rests on two basic theories.</w:t>
      </w:r>
    </w:p>
    <w:p>
      <w:pPr>
        <w:keepNext w:val="0"/>
        <w:spacing w:before="200" w:after="0" w:line="260" w:lineRule="atLeast"/>
        <w:ind w:left="0" w:right="0" w:firstLine="0"/>
        <w:jc w:val="both"/>
      </w:pPr>
      <w:bookmarkStart w:id="131" w:name="Bookmark_para_21"/>
      <w:bookmarkEnd w:id="131"/>
      <w:r>
        <w:rPr>
          <w:rFonts w:ascii="arial" w:eastAsia="arial" w:hAnsi="arial" w:cs="arial"/>
          <w:b w:val="0"/>
          <w:i w:val="0"/>
          <w:strike w:val="0"/>
          <w:noProof w:val="0"/>
          <w:color w:val="000000"/>
          <w:position w:val="0"/>
          <w:sz w:val="20"/>
          <w:u w:val="none"/>
          <w:vertAlign w:val="baseline"/>
        </w:rPr>
        <w:t xml:space="preserve">First, they contend it is unconstitutional for California to impose criminal liability on people who carry firearms in public.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Second Am. Compl. ¶¶ 70-71, ECF No. 68. As explained above, however, if people have a license, California law does not impose criminal liability for carrying handguns in public.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Cal. Pen. Code §§ 26150</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26155</w:t>
        </w:r>
      </w:hyperlink>
      <w:r>
        <w:rPr>
          <w:rFonts w:ascii="arial" w:eastAsia="arial" w:hAnsi="arial" w:cs="arial"/>
          <w:b w:val="0"/>
          <w:i w:val="0"/>
          <w:strike w:val="0"/>
          <w:noProof w:val="0"/>
          <w:color w:val="000000"/>
          <w:position w:val="0"/>
          <w:sz w:val="20"/>
          <w:u w:val="none"/>
          <w:vertAlign w:val="baseline"/>
        </w:rPr>
        <w:t xml:space="preserve">. For that reason, the court understands Baird and Gallardo's first theory as an argument that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prohibits California from requiring licenses: in their words, they object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"to having to seek permission from the government before being lawfully able to exercise a preexisting right." Pls.' Mem. at 2;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Baird Decl. ¶¶ 15-19; Gallardo Decl. ¶¶ 10-13. Second, Baird and Gallardo contend California cannot dictate how people carry firearms in public, such as openly or concealed—what they refer to as limits on the "modality" of gun carrying. Pl.'s Mem. at 6;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Second Am. Compl. ¶¶ 25, 37; Pls.' Mem. at 2-3; Baird Decl. ¶ 5; Gallardo Decl. ¶ 5. The court construes this theory as an argument that California cannot constitutionally require people to conceal any firearms they carry in public in counties with populations larger than 200,000, as Baird and Gallardo would be required to do if they were to enter one of these larger counties.</w:t>
      </w:r>
    </w:p>
    <w:p>
      <w:pPr>
        <w:keepNext w:val="0"/>
        <w:spacing w:before="200" w:after="0" w:line="260" w:lineRule="atLeast"/>
        <w:ind w:left="0" w:right="0" w:firstLine="0"/>
        <w:jc w:val="both"/>
      </w:pPr>
      <w:bookmarkStart w:id="132" w:name="Bookmark_para_22"/>
      <w:bookmarkEnd w:id="132"/>
      <w:r>
        <w:rPr>
          <w:rFonts w:ascii="arial" w:eastAsia="arial" w:hAnsi="arial" w:cs="arial"/>
          <w:b w:val="0"/>
          <w:i w:val="0"/>
          <w:strike w:val="0"/>
          <w:noProof w:val="0"/>
          <w:color w:val="000000"/>
          <w:position w:val="0"/>
          <w:sz w:val="20"/>
          <w:u w:val="none"/>
          <w:vertAlign w:val="baseline"/>
        </w:rPr>
        <w:t xml:space="preserve">The state contends for its part that the challenged firearms laws are constitutional </w:t>
      </w:r>
      <w:r>
        <w:rPr>
          <w:rFonts w:ascii="arial" w:eastAsia="arial" w:hAnsi="arial" w:cs="arial"/>
          <w:b/>
          <w:i w:val="0"/>
          <w:strike w:val="0"/>
          <w:noProof w:val="0"/>
          <w:color w:val="000000"/>
          <w:position w:val="0"/>
          <w:sz w:val="20"/>
          <w:u w:val="none"/>
          <w:vertAlign w:val="baseline"/>
        </w:rPr>
        <w:t> [*1100] </w:t>
      </w:r>
      <w:r>
        <w:rPr>
          <w:rFonts w:ascii="arial" w:eastAsia="arial" w:hAnsi="arial" w:cs="arial"/>
          <w:b w:val="0"/>
          <w:i w:val="0"/>
          <w:strike w:val="0"/>
          <w:noProof w:val="0"/>
          <w:color w:val="000000"/>
          <w:position w:val="0"/>
          <w:sz w:val="20"/>
          <w:u w:val="none"/>
          <w:vertAlign w:val="baseline"/>
        </w:rPr>
        <w:t xml:space="preserve"> for two reasons. First, it argues that "the text of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does not compel </w:t>
      </w:r>
      <w:r>
        <w:rPr>
          <w:rFonts w:ascii="arial" w:eastAsia="arial" w:hAnsi="arial" w:cs="arial"/>
          <w:b w:val="0"/>
          <w:i/>
          <w:strike w:val="0"/>
          <w:noProof w:val="0"/>
          <w:color w:val="000000"/>
          <w:position w:val="0"/>
          <w:sz w:val="20"/>
          <w:u w:val="none"/>
          <w:vertAlign w:val="baseline"/>
        </w:rPr>
        <w:t>unlicensed</w:t>
      </w:r>
      <w:r>
        <w:rPr>
          <w:rFonts w:ascii="arial" w:eastAsia="arial" w:hAnsi="arial" w:cs="arial"/>
          <w:b w:val="0"/>
          <w:i w:val="0"/>
          <w:strike w:val="0"/>
          <w:noProof w:val="0"/>
          <w:color w:val="000000"/>
          <w:position w:val="0"/>
          <w:sz w:val="20"/>
          <w:u w:val="none"/>
          <w:vertAlign w:val="baseline"/>
        </w:rPr>
        <w:t xml:space="preserve"> open carry." Def.'s Mem. at 5 (emphasis in original). Nor, in the state's view, does "the plain text of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 . . require any right to </w:t>
      </w:r>
      <w:r>
        <w:rPr>
          <w:rFonts w:ascii="arial" w:eastAsia="arial" w:hAnsi="arial" w:cs="arial"/>
          <w:b w:val="0"/>
          <w:i/>
          <w:strike w:val="0"/>
          <w:noProof w:val="0"/>
          <w:color w:val="000000"/>
          <w:position w:val="0"/>
          <w:sz w:val="20"/>
          <w:u w:val="none"/>
          <w:vertAlign w:val="baseline"/>
        </w:rPr>
        <w:t>openly</w:t>
      </w:r>
      <w:r>
        <w:rPr>
          <w:rFonts w:ascii="arial" w:eastAsia="arial" w:hAnsi="arial" w:cs="arial"/>
          <w:b w:val="0"/>
          <w:i w:val="0"/>
          <w:strike w:val="0"/>
          <w:noProof w:val="0"/>
          <w:color w:val="000000"/>
          <w:position w:val="0"/>
          <w:sz w:val="20"/>
          <w:u w:val="none"/>
          <w:vertAlign w:val="baseline"/>
        </w:rPr>
        <w:t xml:space="preserve"> carry when concealed carry (and open carry under more limited circumstances) is authorized."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(emphasis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in original). In short, the state contends, because it "accommodates the right to public carry through its concealed carry licensing regime, the reasonable restrictions that California imposes on the open-carry of weapons, and the licensing requirements in place in the counties where Plaintiffs reside, do not interfere with the plain text of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California therefore asks this court to hold an analysis of the historical tradition of firearm regulations is unnecessary because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does not protect Baird and Gallardo's conduct.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133" w:name="Bookmark_para_23"/>
      <w:bookmarkEnd w:id="133"/>
      <w:r>
        <w:rPr>
          <w:rFonts w:ascii="arial" w:eastAsia="arial" w:hAnsi="arial" w:cs="arial"/>
          <w:b w:val="0"/>
          <w:i w:val="0"/>
          <w:strike w:val="0"/>
          <w:noProof w:val="0"/>
          <w:color w:val="000000"/>
          <w:position w:val="0"/>
          <w:sz w:val="20"/>
          <w:u w:val="none"/>
          <w:vertAlign w:val="baseline"/>
        </w:rPr>
        <w:t xml:space="preserve">Second, the state contends, "[e]ven if Plaintiffs could show that California's open-carry restrictions implicate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the state argues its "restrictions are consistent with the Nation's tradition of firearms regulation."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argues governments regulated the public carry of weapons throughout English and American history,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11-17; governments commonly applied stricter regulations in more densely populated areas,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 and these historical regulations are similar to California's modern laws both because they imposed a similar burden and because they rested on similar justifications,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17-20.</w:t>
      </w:r>
    </w:p>
    <w:p>
      <w:pPr>
        <w:keepNext w:val="0"/>
        <w:spacing w:before="200" w:after="0" w:line="260" w:lineRule="atLeast"/>
        <w:ind w:left="0" w:right="0" w:firstLine="0"/>
        <w:jc w:val="both"/>
      </w:pPr>
      <w:bookmarkStart w:id="134" w:name="Bookmark_para_24"/>
      <w:bookmarkEnd w:id="134"/>
      <w:r>
        <w:rPr>
          <w:rFonts w:ascii="arial" w:eastAsia="arial" w:hAnsi="arial" w:cs="arial"/>
          <w:b w:val="0"/>
          <w:i w:val="0"/>
          <w:strike w:val="0"/>
          <w:noProof w:val="0"/>
          <w:color w:val="000000"/>
          <w:position w:val="0"/>
          <w:sz w:val="20"/>
          <w:u w:val="none"/>
          <w:vertAlign w:val="baseline"/>
        </w:rPr>
        <w:t>The state supports its arguments with references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to hundreds of historical laws and regulations. Baird and Gallardo objected that the state had not presented these statutes in admissible or complete form.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Pls.' Mem. at 14-16. To ensure the record was clear and complete, the court instructed California to file the full text of all relevant statutory provisions, which it now has done.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Updated Req. J. Not., ECF No. 105.</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The court also grants the state's request to take judicial notice of those statutes and overrules Baird and Gallardo's objections to that request, ECF No. 106, to the extent the court has considered those statutes in this order.</w:t>
      </w:r>
    </w:p>
    <w:p>
      <w:pPr>
        <w:keepNext w:val="0"/>
        <w:spacing w:before="200" w:after="0" w:line="260" w:lineRule="atLeast"/>
        <w:ind w:left="0" w:right="0" w:firstLine="0"/>
        <w:jc w:val="both"/>
      </w:pPr>
      <w:bookmarkStart w:id="136" w:name="Bookmark_para_25"/>
      <w:bookmarkEnd w:id="136"/>
      <w:r>
        <w:rPr>
          <w:rFonts w:ascii="arial" w:eastAsia="arial" w:hAnsi="arial" w:cs="arial"/>
          <w:b w:val="0"/>
          <w:i w:val="0"/>
          <w:strike w:val="0"/>
          <w:noProof w:val="0"/>
          <w:color w:val="000000"/>
          <w:position w:val="0"/>
          <w:sz w:val="20"/>
          <w:u w:val="none"/>
          <w:vertAlign w:val="baseline"/>
        </w:rPr>
        <w:t xml:space="preserve">Baird and Gallardo did not object at hearing when the court instructed the state to supplement its request for judicial notice, and the state requests judicial notice only of what it already had cited in its briefing, without offering any new citations or research. But Baird and Gallardo now object the court's directive to file the statutes was error. Their objections fall into two categories. First, they argue the state's updated request was untimely, contradicted this District's local rules and deprived them of a full opportunity to respond.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1-3, 5-6. The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local rules permit a party to supplement its reply with the court's prior approval, as in this case.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7" w:history="1">
        <w:r>
          <w:rPr>
            <w:rFonts w:ascii="arial" w:eastAsia="arial" w:hAnsi="arial" w:cs="arial"/>
            <w:b w:val="0"/>
            <w:i/>
            <w:strike w:val="0"/>
            <w:noProof w:val="0"/>
            <w:color w:val="0077CC"/>
            <w:position w:val="0"/>
            <w:sz w:val="20"/>
            <w:u w:val="single"/>
            <w:vertAlign w:val="baseline"/>
          </w:rPr>
          <w:t>E.D. Cal. L.R. 230(m)</w:t>
        </w:r>
      </w:hyperlink>
      <w:r>
        <w:rPr>
          <w:rFonts w:ascii="arial" w:eastAsia="arial" w:hAnsi="arial" w:cs="arial"/>
          <w:b w:val="0"/>
          <w:i w:val="0"/>
          <w:strike w:val="0"/>
          <w:noProof w:val="0"/>
          <w:color w:val="000000"/>
          <w:position w:val="0"/>
          <w:sz w:val="20"/>
          <w:u w:val="none"/>
          <w:vertAlign w:val="baseline"/>
        </w:rPr>
        <w:t xml:space="preserve">. The court also permitted Baird and Gallardo to respond to the state's supplemental notice, which they have done in their objections, which include both procedural and substantive objections.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Objs. Updated Req. J. Not. at 6-10 (contending state's evidence does not satisfy its obligations under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The court has considered these objections below, which parallel arguments in the principal briefs. Second, Baird and Gallardo argue the court improperly relieved the state of its burden of proof and became an "advocate" for the </w:t>
      </w:r>
      <w:r>
        <w:rPr>
          <w:rFonts w:ascii="arial" w:eastAsia="arial" w:hAnsi="arial" w:cs="arial"/>
          <w:b/>
          <w:i w:val="0"/>
          <w:strike w:val="0"/>
          <w:noProof w:val="0"/>
          <w:color w:val="000000"/>
          <w:position w:val="0"/>
          <w:sz w:val="20"/>
          <w:u w:val="none"/>
          <w:vertAlign w:val="baseline"/>
        </w:rPr>
        <w:t> [*1101] </w:t>
      </w:r>
      <w:r>
        <w:rPr>
          <w:rFonts w:ascii="arial" w:eastAsia="arial" w:hAnsi="arial" w:cs="arial"/>
          <w:b w:val="0"/>
          <w:i w:val="0"/>
          <w:strike w:val="0"/>
          <w:noProof w:val="0"/>
          <w:color w:val="000000"/>
          <w:position w:val="0"/>
          <w:sz w:val="20"/>
          <w:u w:val="none"/>
          <w:vertAlign w:val="baseline"/>
        </w:rPr>
        <w:t xml:space="preserve"> state's position by inviting the state to update its request for judicial notice.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4. The court has not relieved the state of its evidentiary burden or assumed an advocate's role, but rather as the trial court where this case begins has ensured the record is complete and clear. The court merely instructed the state to update its request for judicial notice after considering Baird and Gallardo's original objection that the state's evidence was inadmissible and incomplete.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Pls.' Mem. at 14-16. Nor has the court given latitude only</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to the state in its attempt to ensure the record is complete. The court has considered, for example, Baird and Gallardo's own supplements to their expert's opinions over the state's objections, which the court also overrules.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Cal. Opp'n at 19.</w:t>
      </w:r>
    </w:p>
    <w:p>
      <w:pPr>
        <w:keepNext w:val="0"/>
        <w:spacing w:before="200" w:after="0" w:line="260" w:lineRule="atLeast"/>
        <w:ind w:left="0" w:right="0" w:firstLine="0"/>
        <w:jc w:val="both"/>
      </w:pPr>
      <w:bookmarkStart w:id="137" w:name="Bookmark_para_26"/>
      <w:bookmarkEnd w:id="137"/>
      <w:r>
        <w:rPr>
          <w:rFonts w:ascii="arial" w:eastAsia="arial" w:hAnsi="arial" w:cs="arial"/>
          <w:b w:val="0"/>
          <w:i w:val="0"/>
          <w:strike w:val="0"/>
          <w:noProof w:val="0"/>
          <w:color w:val="000000"/>
          <w:position w:val="0"/>
          <w:sz w:val="20"/>
          <w:u w:val="none"/>
          <w:vertAlign w:val="baseline"/>
        </w:rPr>
        <w:t xml:space="preserve">In addition to its citations to historical statutes, the state relies on the opinions of three historians and a retired law enforcement officer, retained to explain the context of the cited laws and how to interpret them. First, the state cites opinions by Robert Spitzer, Ph.D., a historian and professor of political science who has studied and written about gun policy for more than thirty years.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Spitzer Decl., ECF No. 90-6; Spitzer Surrebuttal, ECF No. 98-5. In his opinion, "[t]he carrying of weapons of all sorts, but especially guns, fighting knives (long, thin25 bladed knives), and various types of clubs has been subject to wide-ranging regulation and restriction from the seventeenth century through the early twentieth century." Spitzer Decl. at 5. Not only were these "restrictions on the concealed carrying of these weapons . . . ubiquitous in America."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open carrying of weapons was often restricted" as well. </w:t>
      </w:r>
      <w:r>
        <w:rPr>
          <w:rFonts w:ascii="arial" w:eastAsia="arial" w:hAnsi="arial" w:cs="arial"/>
          <w:b w:val="0"/>
          <w:i/>
          <w:strike w:val="0"/>
          <w:noProof w:val="0"/>
          <w:color w:val="000000"/>
          <w:position w:val="0"/>
          <w:sz w:val="20"/>
          <w:u w:val="none"/>
          <w:vertAlign w:val="baseline"/>
        </w:rPr>
        <w:t>Id.</w:t>
      </w:r>
      <w:r>
        <w:rPr>
          <w:rFonts w:ascii="arial" w:eastAsia="arial" w:hAnsi="arial" w:cs="arial"/>
          <w:b/>
          <w:i/>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Spitzer describes modern weapons laws as largely "a more flexible form of government regulation" than their harsher historical counterparts.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38" w:name="Bookmark_para_27"/>
      <w:bookmarkEnd w:id="138"/>
      <w:r>
        <w:rPr>
          <w:rFonts w:ascii="arial" w:eastAsia="arial" w:hAnsi="arial" w:cs="arial"/>
          <w:b w:val="0"/>
          <w:i w:val="0"/>
          <w:strike w:val="0"/>
          <w:noProof w:val="0"/>
          <w:color w:val="000000"/>
          <w:position w:val="0"/>
          <w:sz w:val="20"/>
          <w:u w:val="none"/>
          <w:vertAlign w:val="baseline"/>
        </w:rPr>
        <w:t xml:space="preserve">Second, Brennan Rivas, Ph.D., an historian who has studied historical weapons regulations in the United States, filed a declaration in support of California's motion.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Rivas Decl., ECF No. 90-5; Rivas Surrebuttal. Decl., ECF No. 98-4. She opines that Americans have historically distinguished "military arms" from "deadly weapons" and have long regulated how and whether people may carry deadly weapons in public places, especially in towns and cities.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Rivas Decl. at 3-4 (summarizing opinions). She also explains how weapons changed over time and what effects those changes had on gun violence, public perceptions and weapons laws. </w:t>
      </w:r>
      <w:r>
        <w:rPr>
          <w:rFonts w:ascii="arial" w:eastAsia="arial" w:hAnsi="arial" w:cs="arial"/>
          <w:b w:val="0"/>
          <w:i/>
          <w:strike w:val="0"/>
          <w:noProof w:val="0"/>
          <w:color w:val="000000"/>
          <w:position w:val="0"/>
          <w:sz w:val="20"/>
          <w:u w:val="none"/>
          <w:vertAlign w:val="baseline"/>
        </w:rPr>
        <w:t>See, e.g., id.</w:t>
      </w:r>
    </w:p>
    <w:p>
      <w:pPr>
        <w:keepNext w:val="0"/>
        <w:spacing w:before="200" w:after="0" w:line="260" w:lineRule="atLeast"/>
        <w:ind w:left="0" w:right="0" w:firstLine="0"/>
        <w:jc w:val="both"/>
      </w:pPr>
      <w:bookmarkStart w:id="139" w:name="Bookmark_para_28"/>
      <w:bookmarkEnd w:id="139"/>
      <w:r>
        <w:rPr>
          <w:rFonts w:ascii="arial" w:eastAsia="arial" w:hAnsi="arial" w:cs="arial"/>
          <w:b w:val="0"/>
          <w:i w:val="0"/>
          <w:strike w:val="0"/>
          <w:noProof w:val="0"/>
          <w:color w:val="000000"/>
          <w:position w:val="0"/>
          <w:sz w:val="20"/>
          <w:u w:val="none"/>
          <w:vertAlign w:val="baseline"/>
        </w:rPr>
        <w:t xml:space="preserve">Third, the state cites opinions of Saul Cornell, Ph.D., about "the history of firearms regulation in the Anglo-American legal tradition, . . . the regulation of public . . . carry of arms at the national and state levels" and "California's regulatory history." Cornell Decl. Ex. A at 1, ECF No. 90-1;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Cornell Surrebuttal, ECF No. 98-6. Cornell offers opinions about the importance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of context, including English common law concepts of "peace" and the state's power "to promote public health and safety," Cornell Decl. Ex. A at 2, 4; how the </w:t>
      </w:r>
      <w:hyperlink r:id="rId10" w:history="1">
        <w:r>
          <w:rPr>
            <w:rFonts w:ascii="arial" w:eastAsia="arial" w:hAnsi="arial" w:cs="arial"/>
            <w:b w:val="0"/>
            <w:i/>
            <w:strike w:val="0"/>
            <w:noProof w:val="0"/>
            <w:color w:val="0077CC"/>
            <w:position w:val="0"/>
            <w:sz w:val="20"/>
            <w:u w:val="single"/>
            <w:vertAlign w:val="baseline"/>
          </w:rPr>
          <w:t>Second Amendment's</w:t>
        </w:r>
      </w:hyperlink>
      <w:r>
        <w:rPr>
          <w:rFonts w:ascii="arial" w:eastAsia="arial" w:hAnsi="arial" w:cs="arial"/>
          <w:b w:val="0"/>
          <w:i w:val="0"/>
          <w:strike w:val="0"/>
          <w:noProof w:val="0"/>
          <w:color w:val="000000"/>
          <w:position w:val="0"/>
          <w:sz w:val="20"/>
          <w:u w:val="none"/>
          <w:vertAlign w:val="baseline"/>
        </w:rPr>
        <w:t xml:space="preserve"> contemporaries would have understood its terms,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7-8; how different firearms and firearms violence were many years ago,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10-14; how nineteenth century American courts interpreted early firearms regulations,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14-16; and the origins of modern regulations in the United States and California,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17-24.</w:t>
      </w:r>
    </w:p>
    <w:p>
      <w:pPr>
        <w:keepNext w:val="0"/>
        <w:spacing w:before="240" w:after="0" w:line="260" w:lineRule="atLeast"/>
        <w:ind w:left="0" w:right="0" w:firstLine="0"/>
        <w:jc w:val="both"/>
      </w:pPr>
      <w:bookmarkStart w:id="140" w:name="Bookmark_para_29"/>
      <w:bookmarkEnd w:id="140"/>
      <w:r>
        <w:rPr>
          <w:rFonts w:ascii="arial" w:eastAsia="arial" w:hAnsi="arial" w:cs="arial"/>
          <w:b w:val="0"/>
          <w:i w:val="0"/>
          <w:strike w:val="0"/>
          <w:noProof w:val="0"/>
          <w:color w:val="000000"/>
          <w:position w:val="0"/>
          <w:sz w:val="20"/>
          <w:u w:val="none"/>
          <w:vertAlign w:val="baseline"/>
        </w:rPr>
        <w:t xml:space="preserve">Finally, the state cites the declaration of Kim Raney, a retired California police chief who offers opinions "on how restrictions on the open carry of firearms affect public safety." Raney Decl. at 6, ECF No. 90-8. He explains his understanding of the burdens </w:t>
      </w:r>
      <w:r>
        <w:rPr>
          <w:rFonts w:ascii="arial" w:eastAsia="arial" w:hAnsi="arial" w:cs="arial"/>
          <w:b/>
          <w:i w:val="0"/>
          <w:strike w:val="0"/>
          <w:noProof w:val="0"/>
          <w:color w:val="000000"/>
          <w:position w:val="0"/>
          <w:sz w:val="20"/>
          <w:u w:val="none"/>
          <w:vertAlign w:val="baseline"/>
        </w:rPr>
        <w:t> [*1102] </w:t>
      </w:r>
      <w:r>
        <w:rPr>
          <w:rFonts w:ascii="arial" w:eastAsia="arial" w:hAnsi="arial" w:cs="arial"/>
          <w:b w:val="0"/>
          <w:i w:val="0"/>
          <w:strike w:val="0"/>
          <w:noProof w:val="0"/>
          <w:color w:val="000000"/>
          <w:position w:val="0"/>
          <w:sz w:val="20"/>
          <w:u w:val="none"/>
          <w:vertAlign w:val="baseline"/>
        </w:rPr>
        <w:t xml:space="preserve"> of California gun laws and their justifications. Baird and Gallardo object broadly to Raney's opinions as irrelevant in light of the Supreme Court's rejection of "interest-balancing" tests in </w:t>
      </w:r>
      <w:r>
        <w:rPr>
          <w:rFonts w:ascii="arial" w:eastAsia="arial" w:hAnsi="arial" w:cs="arial"/>
          <w:b w:val="0"/>
          <w:i/>
          <w:strike w:val="0"/>
          <w:noProof w:val="0"/>
          <w:color w:val="000000"/>
          <w:position w:val="0"/>
          <w:sz w:val="20"/>
          <w:u w:val="none"/>
          <w:vertAlign w:val="baseline"/>
        </w:rPr>
        <w:t xml:space="preserve">Bruen. </w:t>
      </w:r>
      <w:bookmarkStart w:id="141" w:name="Bookmark_I6B11G132HM67K0010000400"/>
      <w:bookmarkEnd w:id="141"/>
      <w:r>
        <w:rPr>
          <w:rFonts w:ascii="arial" w:eastAsia="arial" w:hAnsi="arial" w:cs="arial"/>
          <w:b w:val="0"/>
          <w:i/>
          <w:strike w:val="0"/>
          <w:noProof w:val="0"/>
          <w:color w:val="000000"/>
          <w:position w:val="0"/>
          <w:sz w:val="20"/>
          <w:u w:val="none"/>
          <w:vertAlign w:val="baseline"/>
        </w:rPr>
        <w:t>See, e.g.</w:t>
      </w:r>
      <w:bookmarkStart w:id="142" w:name="Bookmark_I6B11G132HM67K0010000400_2"/>
      <w:bookmarkEnd w:id="142"/>
      <w:r>
        <w:rPr>
          <w:rFonts w:ascii="arial" w:eastAsia="arial" w:hAnsi="arial" w:cs="arial"/>
          <w:b w:val="0"/>
          <w:i w:val="0"/>
          <w:strike w:val="0"/>
          <w:noProof w:val="0"/>
          <w:color w:val="000000"/>
          <w:position w:val="0"/>
          <w:sz w:val="20"/>
          <w:u w:val="none"/>
          <w:vertAlign w:val="baseline"/>
        </w:rPr>
        <w:t xml:space="preserve">, Pls.' Mem. at 19-10; Pls.' Reply at 6-7. The state does not rely on Raney's declaration to argue the challenged laws satisfy any of the "means-ends" tests the Supreme Court has directed lower courts to use in other circumstances. </w:t>
      </w:r>
      <w:r>
        <w:rPr>
          <w:rFonts w:ascii="arial" w:eastAsia="arial" w:hAnsi="arial" w:cs="arial"/>
          <w:b w:val="0"/>
          <w:i/>
          <w:strike w:val="0"/>
          <w:noProof w:val="0"/>
          <w:color w:val="000000"/>
          <w:position w:val="0"/>
          <w:sz w:val="20"/>
          <w:u w:val="none"/>
          <w:vertAlign w:val="baseline"/>
        </w:rPr>
        <w:t>See,</w:t>
      </w:r>
      <w:r>
        <w:rPr>
          <w:rFonts w:ascii="arial" w:eastAsia="arial" w:hAnsi="arial" w:cs="arial"/>
          <w:b/>
          <w:i/>
          <w:strike w:val="0"/>
          <w:noProof w:val="0"/>
          <w:color w:val="000000"/>
          <w:position w:val="0"/>
          <w:sz w:val="20"/>
          <w:u w:val="none"/>
          <w:vertAlign w:val="baseline"/>
        </w:rPr>
        <w:t> [**24] </w:t>
      </w:r>
      <w:r>
        <w:rPr>
          <w:rFonts w:ascii="arial" w:eastAsia="arial" w:hAnsi="arial" w:cs="arial"/>
          <w:b w:val="0"/>
          <w:i/>
          <w:strike w:val="0"/>
          <w:noProof w:val="0"/>
          <w:color w:val="000000"/>
          <w:position w:val="0"/>
          <w:sz w:val="20"/>
          <w:u w:val="none"/>
          <w:vertAlign w:val="baseline"/>
        </w:rPr>
        <w:t xml:space="preserve"> e.g., </w:t>
      </w:r>
      <w:bookmarkStart w:id="143" w:name="Bookmark_I6B11G1328T4090050000400"/>
      <w:bookmarkEnd w:id="143"/>
      <w:hyperlink r:id="rId38" w:history="1">
        <w:r>
          <w:rPr>
            <w:rFonts w:ascii="arial" w:eastAsia="arial" w:hAnsi="arial" w:cs="arial"/>
            <w:b w:val="0"/>
            <w:i/>
            <w:strike w:val="0"/>
            <w:noProof w:val="0"/>
            <w:color w:val="0077CC"/>
            <w:position w:val="0"/>
            <w:sz w:val="20"/>
            <w:u w:val="single"/>
            <w:vertAlign w:val="baseline"/>
          </w:rPr>
          <w:t>Reed v. Town of Gilbert, Ariz.</w:t>
        </w:r>
      </w:hyperlink>
      <w:hyperlink r:id="rId38" w:history="1">
        <w:r>
          <w:rPr>
            <w:rFonts w:ascii="arial" w:eastAsia="arial" w:hAnsi="arial" w:cs="arial"/>
            <w:b w:val="0"/>
            <w:i/>
            <w:strike w:val="0"/>
            <w:noProof w:val="0"/>
            <w:color w:val="0077CC"/>
            <w:position w:val="0"/>
            <w:sz w:val="20"/>
            <w:u w:val="single"/>
            <w:vertAlign w:val="baseline"/>
          </w:rPr>
          <w:t>, 576 U.S. 155, 163, 135 S. Ct. 2218, 192 L. Ed. 2d 236 (2015)</w:t>
        </w:r>
      </w:hyperlink>
      <w:r>
        <w:rPr>
          <w:rFonts w:ascii="arial" w:eastAsia="arial" w:hAnsi="arial" w:cs="arial"/>
          <w:b w:val="0"/>
          <w:i w:val="0"/>
          <w:strike w:val="0"/>
          <w:noProof w:val="0"/>
          <w:color w:val="000000"/>
          <w:position w:val="0"/>
          <w:sz w:val="20"/>
          <w:u w:val="none"/>
          <w:vertAlign w:val="baseline"/>
        </w:rPr>
        <w:t xml:space="preserve"> ("Content-based laws—those that target speech based on its communicative content—are presumptively unconstitutional and may be justified only if the government proves that they are narrowly tailored to serve compelling state interests."). Rather, the state relies on Raney's opinions when it compares the justifications and burdens to those of historical regulations. </w:t>
      </w:r>
      <w:bookmarkStart w:id="144" w:name="Bookmark_I6B11G132HM67K0030000400"/>
      <w:bookmarkEnd w:id="144"/>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Cal. Mem. at 18-20. As discussed further below, the Supreme Court directed lower courts to consider those justifications and burdens. </w:t>
      </w:r>
      <w:r>
        <w:rPr>
          <w:rFonts w:ascii="arial" w:eastAsia="arial" w:hAnsi="arial" w:cs="arial"/>
          <w:b w:val="0"/>
          <w:i/>
          <w:strike w:val="0"/>
          <w:noProof w:val="0"/>
          <w:color w:val="000000"/>
          <w:position w:val="0"/>
          <w:sz w:val="20"/>
          <w:u w:val="none"/>
          <w:vertAlign w:val="baseline"/>
        </w:rPr>
        <w:t xml:space="preserve">See </w:t>
      </w:r>
      <w:bookmarkStart w:id="145" w:name="Bookmark_I6B11G132HM67K0020000400"/>
      <w:bookmarkEnd w:id="145"/>
      <w:hyperlink r:id="rId11" w:history="1">
        <w:r>
          <w:rPr>
            <w:rFonts w:ascii="arial" w:eastAsia="arial" w:hAnsi="arial" w:cs="arial"/>
            <w:b w:val="0"/>
            <w:i/>
            <w:strike w:val="0"/>
            <w:noProof w:val="0"/>
            <w:color w:val="0077CC"/>
            <w:position w:val="0"/>
            <w:sz w:val="20"/>
            <w:u w:val="single"/>
            <w:vertAlign w:val="baseline"/>
          </w:rPr>
          <w:t>Bruen</w:t>
        </w:r>
      </w:hyperlink>
      <w:hyperlink r:id="rId11" w:history="1">
        <w:r>
          <w:rPr>
            <w:rFonts w:ascii="arial" w:eastAsia="arial" w:hAnsi="arial" w:cs="arial"/>
            <w:b w:val="0"/>
            <w:i/>
            <w:strike w:val="0"/>
            <w:noProof w:val="0"/>
            <w:color w:val="0077CC"/>
            <w:position w:val="0"/>
            <w:sz w:val="20"/>
            <w:u w:val="single"/>
            <w:vertAlign w:val="baseline"/>
          </w:rPr>
          <w:t>, 142 S. Ct. at 2133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6" w:name="Bookmark_para_30"/>
      <w:bookmarkEnd w:id="146"/>
      <w:r>
        <w:rPr>
          <w:rFonts w:ascii="arial" w:eastAsia="arial" w:hAnsi="arial" w:cs="arial"/>
          <w:b w:val="0"/>
          <w:i w:val="0"/>
          <w:strike w:val="0"/>
          <w:noProof w:val="0"/>
          <w:color w:val="000000"/>
          <w:position w:val="0"/>
          <w:sz w:val="20"/>
          <w:u w:val="none"/>
          <w:vertAlign w:val="baseline"/>
        </w:rPr>
        <w:t xml:space="preserve">Baird and Gallardo urge this court to disregard almost all the statutes and regulations cited in the state's motion. They argue, for example, that most of the statutes cited in California's motion and experts' reports were passed many years after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was adopted and for that reason do not show what laws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permitted when it was adopted.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Pls.' Mem. at 9-13. Similarly, in Baird and Gallardo's reading of the Supreme Court's decisions, statutes passed after the Civil War, can only confirm—not contradict—the conclusions one might draw from laws and regulations in effect at the time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was adopted.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18. Baird and Gallardo similarly contend English laws and</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history predating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are irrelevant.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17-18. And they urge the court to disregard as irrelevant many other categories of evidence, such as laws about "affrays," brandishing and disorderly conduct,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18-19; public safety,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19-20; "dangerous" and "unusual" weapons,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 concealed weapons,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 and race or other similar discriminatory classifications,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w:t>
      </w:r>
    </w:p>
    <w:p>
      <w:pPr>
        <w:keepNext w:val="0"/>
        <w:spacing w:before="200" w:after="0" w:line="260" w:lineRule="atLeast"/>
        <w:ind w:left="0" w:right="0" w:firstLine="0"/>
        <w:jc w:val="both"/>
      </w:pPr>
      <w:bookmarkStart w:id="147" w:name="Bookmark_para_31"/>
      <w:bookmarkEnd w:id="147"/>
      <w:r>
        <w:rPr>
          <w:rFonts w:ascii="arial" w:eastAsia="arial" w:hAnsi="arial" w:cs="arial"/>
          <w:b w:val="0"/>
          <w:i w:val="0"/>
          <w:strike w:val="0"/>
          <w:noProof w:val="0"/>
          <w:color w:val="000000"/>
          <w:position w:val="0"/>
          <w:sz w:val="20"/>
          <w:u w:val="none"/>
          <w:vertAlign w:val="baseline"/>
        </w:rPr>
        <w:t xml:space="preserve">Baird and Gallardo also cite the opinions of their retained expert, Clayton Cramer, who holds Bachelor's and Master's degrees in history and who has published research about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and firearms history.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Cramer Decl., ECF No. 96-3. Cramer does not advance affirmative opinions about the historical tradition of firearm regulation, but rather critiques Spitzer's, Rivas's and Cornell's opinions. Cramer argues, for example, the statutes Spitzer cites in his declaration did not actually prohibit people from carrying weapons openly,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15-17,</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he argues Cornell has misrepresented the sources he cites, such as military censuses and historical court opinions,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36-37, and he argues Rivas has invented an ahistorical distinction between "deadly weapons" and other firearms,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65-73.</w:t>
      </w:r>
    </w:p>
    <w:p>
      <w:pPr>
        <w:keepNext w:val="0"/>
        <w:spacing w:before="200" w:after="0" w:line="260" w:lineRule="atLeast"/>
        <w:ind w:left="0" w:right="0" w:firstLine="0"/>
        <w:jc w:val="both"/>
      </w:pPr>
      <w:bookmarkStart w:id="149" w:name="Bookmark_para_32"/>
      <w:bookmarkEnd w:id="149"/>
      <w:r>
        <w:rPr>
          <w:rFonts w:ascii="arial" w:eastAsia="arial" w:hAnsi="arial" w:cs="arial"/>
          <w:b w:val="0"/>
          <w:i w:val="0"/>
          <w:strike w:val="0"/>
          <w:noProof w:val="0"/>
          <w:color w:val="000000"/>
          <w:position w:val="0"/>
          <w:sz w:val="20"/>
          <w:u w:val="none"/>
          <w:vertAlign w:val="baseline"/>
        </w:rPr>
        <w:t>Baird and Gallardo</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also attach two papers to their opposition: a "working draft" of a paper by Mark W. Smith, an attorney and author, ECF No. 96-7, and an article published by David Kopel, also an attorney and author, in the Charleston Law Review, ECF No. 96-9. Like Baird and Gallardo, Smith contends courts must consider evidence from "the Founding period," not the years following the Civil War, when they </w:t>
      </w:r>
      <w:r>
        <w:rPr>
          <w:rFonts w:ascii="arial" w:eastAsia="arial" w:hAnsi="arial" w:cs="arial"/>
          <w:b/>
          <w:i w:val="0"/>
          <w:strike w:val="0"/>
          <w:noProof w:val="0"/>
          <w:color w:val="000000"/>
          <w:position w:val="0"/>
          <w:sz w:val="20"/>
          <w:u w:val="none"/>
          <w:vertAlign w:val="baseline"/>
        </w:rPr>
        <w:t> [*1103] </w:t>
      </w:r>
      <w:r>
        <w:rPr>
          <w:rFonts w:ascii="arial" w:eastAsia="arial" w:hAnsi="arial" w:cs="arial"/>
          <w:b w:val="0"/>
          <w:i w:val="0"/>
          <w:strike w:val="0"/>
          <w:noProof w:val="0"/>
          <w:color w:val="000000"/>
          <w:position w:val="0"/>
          <w:sz w:val="20"/>
          <w:u w:val="none"/>
          <w:vertAlign w:val="baseline"/>
        </w:rPr>
        <w:t xml:space="preserve"> interpret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ECF No. 96-7 at 4-5. Kopel argues British "abuses" in the 1770s—import bans on firearms and gun powder and the violent confiscation of firearms and gunpowder—are an essential context for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because they show analogous "abuses" would be unconstitutional today.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ECF No. 96-9 at 285-86.</w:t>
      </w:r>
    </w:p>
    <w:p>
      <w:pPr>
        <w:keepNext w:val="0"/>
        <w:spacing w:before="200" w:after="0" w:line="260" w:lineRule="atLeast"/>
        <w:ind w:left="0" w:right="0" w:firstLine="0"/>
        <w:jc w:val="both"/>
      </w:pPr>
      <w:bookmarkStart w:id="150" w:name="Bookmark_para_33"/>
      <w:bookmarkEnd w:id="150"/>
      <w:r>
        <w:rPr>
          <w:rFonts w:ascii="arial" w:eastAsia="arial" w:hAnsi="arial" w:cs="arial"/>
          <w:b w:val="0"/>
          <w:i w:val="0"/>
          <w:strike w:val="0"/>
          <w:noProof w:val="0"/>
          <w:color w:val="000000"/>
          <w:position w:val="0"/>
          <w:sz w:val="20"/>
          <w:u w:val="none"/>
          <w:vertAlign w:val="baseline"/>
        </w:rPr>
        <w:t>In its analysis and in reaching its conclusions, the court has considered the complete record, including the declarations submitted by the parties.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LEGAL STANDARDS</w:t>
      </w:r>
    </w:p>
    <w:p>
      <w:pPr>
        <w:keepNext w:val="0"/>
        <w:spacing w:before="240" w:after="0" w:line="260" w:lineRule="atLeast"/>
        <w:ind w:left="0" w:right="0" w:firstLine="0"/>
        <w:jc w:val="both"/>
      </w:pPr>
      <w:bookmarkStart w:id="151" w:name="Bookmark_para_34"/>
      <w:bookmarkEnd w:id="151"/>
      <w:bookmarkStart w:id="152" w:name="Bookmark_I6B11G132HM67K0050000400"/>
      <w:bookmarkEnd w:id="152"/>
      <w:r>
        <w:rPr>
          <w:rFonts w:ascii="arial" w:eastAsia="arial" w:hAnsi="arial" w:cs="arial"/>
          <w:b w:val="0"/>
          <w:i w:val="0"/>
          <w:strike w:val="0"/>
          <w:noProof w:val="0"/>
          <w:color w:val="000000"/>
          <w:position w:val="0"/>
          <w:sz w:val="20"/>
          <w:u w:val="none"/>
          <w:vertAlign w:val="baseline"/>
        </w:rPr>
        <w:t xml:space="preserve">The legal rule that applies to motions for summary judgment is undisputed and well-known. A party may move for and obtain summary judgment if "there is no genuine dispute as to any material fact and the movant is entitled to judgment as a matter of law." </w:t>
      </w:r>
      <w:hyperlink r:id="rId39"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w:t>
      </w:r>
      <w:bookmarkStart w:id="153" w:name="Bookmark_I6B11G132N1RBK0020000400"/>
      <w:bookmarkEnd w:id="153"/>
      <w:r>
        <w:rPr>
          <w:rFonts w:ascii="arial" w:eastAsia="arial" w:hAnsi="arial" w:cs="arial"/>
          <w:b w:val="0"/>
          <w:i w:val="0"/>
          <w:strike w:val="0"/>
          <w:noProof w:val="0"/>
          <w:color w:val="000000"/>
          <w:position w:val="0"/>
          <w:sz w:val="20"/>
          <w:u w:val="none"/>
          <w:vertAlign w:val="baseline"/>
        </w:rPr>
        <w:t>A dispute is "genuine" if "a reasonable jury could return a verdict</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for the nonmoving party." </w:t>
      </w:r>
      <w:bookmarkStart w:id="154" w:name="Bookmark_I6B11G132HM67K0040000400"/>
      <w:bookmarkEnd w:id="154"/>
      <w:hyperlink r:id="rId40" w:history="1">
        <w:r>
          <w:rPr>
            <w:rFonts w:ascii="arial" w:eastAsia="arial" w:hAnsi="arial" w:cs="arial"/>
            <w:b w:val="0"/>
            <w:i/>
            <w:strike w:val="0"/>
            <w:noProof w:val="0"/>
            <w:color w:val="0077CC"/>
            <w:position w:val="0"/>
            <w:sz w:val="20"/>
            <w:u w:val="single"/>
            <w:vertAlign w:val="baseline"/>
          </w:rPr>
          <w:t>Anderson v. Liberty Lobby, Inc.</w:t>
        </w:r>
      </w:hyperlink>
      <w:hyperlink r:id="rId40" w:history="1">
        <w:r>
          <w:rPr>
            <w:rFonts w:ascii="arial" w:eastAsia="arial" w:hAnsi="arial" w:cs="arial"/>
            <w:b w:val="0"/>
            <w:i/>
            <w:strike w:val="0"/>
            <w:noProof w:val="0"/>
            <w:color w:val="0077CC"/>
            <w:position w:val="0"/>
            <w:sz w:val="20"/>
            <w:u w:val="single"/>
            <w:vertAlign w:val="baseline"/>
          </w:rPr>
          <w:t>, 477 U.S. 242, 248, 106 S. Ct. 2505, 91 L. Ed. 2d 202 (1986)</w:t>
        </w:r>
      </w:hyperlink>
      <w:r>
        <w:rPr>
          <w:rFonts w:ascii="arial" w:eastAsia="arial" w:hAnsi="arial" w:cs="arial"/>
          <w:b w:val="0"/>
          <w:i w:val="0"/>
          <w:strike w:val="0"/>
          <w:noProof w:val="0"/>
          <w:color w:val="000000"/>
          <w:position w:val="0"/>
          <w:sz w:val="20"/>
          <w:u w:val="none"/>
          <w:vertAlign w:val="baseline"/>
        </w:rPr>
        <w:t xml:space="preserve">. </w:t>
      </w:r>
      <w:bookmarkStart w:id="155" w:name="Bookmark_I6B11G132N1RBK0020000400_2"/>
      <w:bookmarkEnd w:id="155"/>
      <w:bookmarkStart w:id="156" w:name="Bookmark_I6B11G142D6NJG0010000400"/>
      <w:bookmarkEnd w:id="156"/>
      <w:r>
        <w:rPr>
          <w:rFonts w:ascii="arial" w:eastAsia="arial" w:hAnsi="arial" w:cs="arial"/>
          <w:b w:val="0"/>
          <w:i w:val="0"/>
          <w:strike w:val="0"/>
          <w:noProof w:val="0"/>
          <w:color w:val="000000"/>
          <w:position w:val="0"/>
          <w:sz w:val="20"/>
          <w:u w:val="none"/>
          <w:vertAlign w:val="baseline"/>
        </w:rPr>
        <w:t xml:space="preserve">A fact is "material" if it "might affect the outcome of the suit under the governing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views the record in the light most favorable to the nonmoving party and draws reasonable inferences in that party's favor. </w:t>
      </w:r>
      <w:bookmarkStart w:id="157" w:name="Bookmark_I6B11G132N1RBK0010000400"/>
      <w:bookmarkEnd w:id="157"/>
      <w:hyperlink r:id="rId41" w:history="1">
        <w:r>
          <w:rPr>
            <w:rFonts w:ascii="arial" w:eastAsia="arial" w:hAnsi="arial" w:cs="arial"/>
            <w:b w:val="0"/>
            <w:i/>
            <w:strike w:val="0"/>
            <w:noProof w:val="0"/>
            <w:color w:val="0077CC"/>
            <w:position w:val="0"/>
            <w:sz w:val="20"/>
            <w:u w:val="single"/>
            <w:vertAlign w:val="baseline"/>
          </w:rPr>
          <w:t>Matsushita Elec. Indus. Co. v. Zenith Radio Corp.</w:t>
        </w:r>
      </w:hyperlink>
      <w:hyperlink r:id="rId41" w:history="1">
        <w:r>
          <w:rPr>
            <w:rFonts w:ascii="arial" w:eastAsia="arial" w:hAnsi="arial" w:cs="arial"/>
            <w:b w:val="0"/>
            <w:i/>
            <w:strike w:val="0"/>
            <w:noProof w:val="0"/>
            <w:color w:val="0077CC"/>
            <w:position w:val="0"/>
            <w:sz w:val="20"/>
            <w:u w:val="single"/>
            <w:vertAlign w:val="baseline"/>
          </w:rPr>
          <w:t>, 475 U.S. 574, 587-88, 106 S. Ct. 1348, 89 L. Ed. 2d 538 (1986)</w:t>
        </w:r>
      </w:hyperlink>
      <w:r>
        <w:rPr>
          <w:rFonts w:ascii="arial" w:eastAsia="arial" w:hAnsi="arial" w:cs="arial"/>
          <w:b w:val="0"/>
          <w:i w:val="0"/>
          <w:strike w:val="0"/>
          <w:noProof w:val="0"/>
          <w:color w:val="000000"/>
          <w:position w:val="0"/>
          <w:sz w:val="20"/>
          <w:u w:val="none"/>
          <w:vertAlign w:val="baseline"/>
        </w:rPr>
        <w:t xml:space="preserve">; </w:t>
      </w:r>
      <w:bookmarkStart w:id="158" w:name="Bookmark_I6B11G132N1RBK0030000400"/>
      <w:bookmarkEnd w:id="158"/>
      <w:hyperlink r:id="rId42" w:history="1">
        <w:r>
          <w:rPr>
            <w:rFonts w:ascii="arial" w:eastAsia="arial" w:hAnsi="arial" w:cs="arial"/>
            <w:b w:val="0"/>
            <w:i/>
            <w:strike w:val="0"/>
            <w:noProof w:val="0"/>
            <w:color w:val="0077CC"/>
            <w:position w:val="0"/>
            <w:sz w:val="20"/>
            <w:u w:val="single"/>
            <w:vertAlign w:val="baseline"/>
          </w:rPr>
          <w:t>Adickes v. S.H. Kress &amp; Co.</w:t>
        </w:r>
      </w:hyperlink>
      <w:hyperlink r:id="rId42" w:history="1">
        <w:r>
          <w:rPr>
            <w:rFonts w:ascii="arial" w:eastAsia="arial" w:hAnsi="arial" w:cs="arial"/>
            <w:b w:val="0"/>
            <w:i/>
            <w:strike w:val="0"/>
            <w:noProof w:val="0"/>
            <w:color w:val="0077CC"/>
            <w:position w:val="0"/>
            <w:sz w:val="20"/>
            <w:u w:val="single"/>
            <w:vertAlign w:val="baseline"/>
          </w:rPr>
          <w:t>, 398 U.S. 144, 157, 90 S. Ct. 1598, 26 L. Ed. 2d 142 (1970)</w:t>
        </w:r>
      </w:hyperlink>
      <w:r>
        <w:rPr>
          <w:rFonts w:ascii="arial" w:eastAsia="arial" w:hAnsi="arial" w:cs="arial"/>
          <w:b w:val="0"/>
          <w:i w:val="0"/>
          <w:strike w:val="0"/>
          <w:noProof w:val="0"/>
          <w:color w:val="000000"/>
          <w:position w:val="0"/>
          <w:sz w:val="20"/>
          <w:u w:val="none"/>
          <w:vertAlign w:val="baseline"/>
        </w:rPr>
        <w:t xml:space="preserve">. </w:t>
      </w:r>
      <w:bookmarkStart w:id="159" w:name="Bookmark_I6B11G142D6NJG0010000400_2"/>
      <w:bookmarkEnd w:id="159"/>
      <w:r>
        <w:rPr>
          <w:rFonts w:ascii="arial" w:eastAsia="arial" w:hAnsi="arial" w:cs="arial"/>
          <w:b w:val="0"/>
          <w:i w:val="0"/>
          <w:strike w:val="0"/>
          <w:noProof w:val="0"/>
          <w:color w:val="000000"/>
          <w:position w:val="0"/>
          <w:sz w:val="20"/>
          <w:u w:val="none"/>
          <w:vertAlign w:val="baseline"/>
        </w:rPr>
        <w:t xml:space="preserve">Cross-motions for summary judgment are evaluated separately under the same standard, "giving the nonmoving party in each instance the benefit of all reasonable inferences." </w:t>
      </w:r>
      <w:bookmarkStart w:id="160" w:name="Bookmark_I6B11G132N1RBK0050000400"/>
      <w:bookmarkEnd w:id="160"/>
      <w:hyperlink r:id="rId43" w:history="1">
        <w:r>
          <w:rPr>
            <w:rFonts w:ascii="arial" w:eastAsia="arial" w:hAnsi="arial" w:cs="arial"/>
            <w:b w:val="0"/>
            <w:i/>
            <w:strike w:val="0"/>
            <w:noProof w:val="0"/>
            <w:color w:val="0077CC"/>
            <w:position w:val="0"/>
            <w:sz w:val="20"/>
            <w:u w:val="single"/>
            <w:vertAlign w:val="baseline"/>
          </w:rPr>
          <w:t>Am. Civil Liberties Union of Nev. v. City of Las Vegas</w:t>
        </w:r>
      </w:hyperlink>
      <w:hyperlink r:id="rId43" w:history="1">
        <w:r>
          <w:rPr>
            <w:rFonts w:ascii="arial" w:eastAsia="arial" w:hAnsi="arial" w:cs="arial"/>
            <w:b w:val="0"/>
            <w:i/>
            <w:strike w:val="0"/>
            <w:noProof w:val="0"/>
            <w:color w:val="0077CC"/>
            <w:position w:val="0"/>
            <w:sz w:val="20"/>
            <w:u w:val="single"/>
            <w:vertAlign w:val="baseline"/>
          </w:rPr>
          <w:t>, 333 F.3d 1092, 1097 (9th Cir. 2003)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1" w:name="Bookmark_para_35"/>
      <w:bookmarkEnd w:id="161"/>
      <w:r>
        <w:rPr>
          <w:rFonts w:ascii="arial" w:eastAsia="arial" w:hAnsi="arial" w:cs="arial"/>
          <w:b w:val="0"/>
          <w:i w:val="0"/>
          <w:strike w:val="0"/>
          <w:noProof w:val="0"/>
          <w:color w:val="000000"/>
          <w:position w:val="0"/>
          <w:sz w:val="20"/>
          <w:u w:val="none"/>
          <w:vertAlign w:val="baseline"/>
        </w:rPr>
        <w:t>Although the parties disagree whether some evidence is relevant or material, and although they vigorously dispute the history of firearms regulation in the United States and England, neither side has identified a genuine dispute of material fact to be resolved at trial.</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It remains only to determine who is entitled to judgment as a matter of law.</w:t>
      </w:r>
    </w:p>
    <w:p>
      <w:pPr>
        <w:keepNext w:val="0"/>
        <w:spacing w:before="240" w:after="0" w:line="260" w:lineRule="atLeast"/>
        <w:ind w:left="0" w:right="0" w:firstLine="0"/>
        <w:jc w:val="both"/>
      </w:pPr>
      <w:bookmarkStart w:id="163" w:name="Bookmark_para_36"/>
      <w:bookmarkEnd w:id="163"/>
      <w:bookmarkStart w:id="164" w:name="Bookmark_I6B11G142D6NJG0030000400"/>
      <w:bookmarkEnd w:id="164"/>
      <w:bookmarkStart w:id="165" w:name="Bookmark_I6B11G142D6NJG0050000400"/>
      <w:bookmarkEnd w:id="165"/>
      <w:r>
        <w:rPr>
          <w:rFonts w:ascii="arial" w:eastAsia="arial" w:hAnsi="arial" w:cs="arial"/>
          <w:b w:val="0"/>
          <w:i w:val="0"/>
          <w:strike w:val="0"/>
          <w:noProof w:val="0"/>
          <w:color w:val="000000"/>
          <w:position w:val="0"/>
          <w:sz w:val="20"/>
          <w:u w:val="none"/>
          <w:vertAlign w:val="baseline"/>
        </w:rPr>
        <w:t xml:space="preserve">Baird and Gallardo challenge California's laws on their face. A facial challenge is "the most difficult challenge to mount successfully" because the challenge must show the law is not valid in any set of circumstances. </w:t>
      </w:r>
      <w:bookmarkStart w:id="166" w:name="Bookmark_I6B11G142HM6850040000400"/>
      <w:bookmarkEnd w:id="166"/>
      <w:bookmarkStart w:id="167" w:name="Bookmark_I6B11G142D6NJG0020000400"/>
      <w:bookmarkEnd w:id="167"/>
      <w:hyperlink r:id="rId44" w:history="1">
        <w:r>
          <w:rPr>
            <w:rFonts w:ascii="arial" w:eastAsia="arial" w:hAnsi="arial" w:cs="arial"/>
            <w:b w:val="0"/>
            <w:i/>
            <w:strike w:val="0"/>
            <w:noProof w:val="0"/>
            <w:color w:val="0077CC"/>
            <w:position w:val="0"/>
            <w:sz w:val="20"/>
            <w:u w:val="single"/>
            <w:vertAlign w:val="baseline"/>
          </w:rPr>
          <w:t>United States v. Salerno</w:t>
        </w:r>
      </w:hyperlink>
      <w:hyperlink r:id="rId44" w:history="1">
        <w:r>
          <w:rPr>
            <w:rFonts w:ascii="arial" w:eastAsia="arial" w:hAnsi="arial" w:cs="arial"/>
            <w:b w:val="0"/>
            <w:i/>
            <w:strike w:val="0"/>
            <w:noProof w:val="0"/>
            <w:color w:val="0077CC"/>
            <w:position w:val="0"/>
            <w:sz w:val="20"/>
            <w:u w:val="single"/>
            <w:vertAlign w:val="baseline"/>
          </w:rPr>
          <w:t>, 481 U.S. 739, 745, 107 S. Ct. 2095, 95 L. Ed. 2d 697 (1987)</w:t>
        </w:r>
      </w:hyperlink>
      <w:r>
        <w:rPr>
          <w:rFonts w:ascii="arial" w:eastAsia="arial" w:hAnsi="arial" w:cs="arial"/>
          <w:b w:val="0"/>
          <w:i w:val="0"/>
          <w:strike w:val="0"/>
          <w:noProof w:val="0"/>
          <w:color w:val="000000"/>
          <w:position w:val="0"/>
          <w:sz w:val="20"/>
          <w:u w:val="none"/>
          <w:vertAlign w:val="baseline"/>
        </w:rPr>
        <w:t>. "Facial challenges also run contrary to the fundamental principle of judicial restraint that courts should neither 'anticipate a question of constitutional law in advance of the necessity of deciding</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it' nor 'formulate a rule of constitutional law broader than is required by the precise facts to which it is to be applied.'" </w:t>
      </w:r>
      <w:bookmarkStart w:id="168" w:name="Bookmark_I6B11G142D6NJG0040000400"/>
      <w:bookmarkEnd w:id="168"/>
      <w:hyperlink r:id="rId45" w:history="1">
        <w:r>
          <w:rPr>
            <w:rFonts w:ascii="arial" w:eastAsia="arial" w:hAnsi="arial" w:cs="arial"/>
            <w:b w:val="0"/>
            <w:i/>
            <w:strike w:val="0"/>
            <w:noProof w:val="0"/>
            <w:color w:val="0077CC"/>
            <w:position w:val="0"/>
            <w:sz w:val="20"/>
            <w:u w:val="single"/>
            <w:vertAlign w:val="baseline"/>
          </w:rPr>
          <w:t>Wash. State Grange v. Wash. State Repub. Party</w:t>
        </w:r>
      </w:hyperlink>
      <w:hyperlink r:id="rId45" w:history="1">
        <w:r>
          <w:rPr>
            <w:rFonts w:ascii="arial" w:eastAsia="arial" w:hAnsi="arial" w:cs="arial"/>
            <w:b w:val="0"/>
            <w:i/>
            <w:strike w:val="0"/>
            <w:noProof w:val="0"/>
            <w:color w:val="0077CC"/>
            <w:position w:val="0"/>
            <w:sz w:val="20"/>
            <w:u w:val="single"/>
            <w:vertAlign w:val="baseline"/>
          </w:rPr>
          <w:t>, 552 U.S. 442, 450, 128 S. Ct. 1184, 170 L. Ed. 2d 151 (2008)</w:t>
        </w:r>
      </w:hyperlink>
      <w:r>
        <w:rPr>
          <w:rFonts w:ascii="arial" w:eastAsia="arial" w:hAnsi="arial" w:cs="arial"/>
          <w:b w:val="0"/>
          <w:i w:val="0"/>
          <w:strike w:val="0"/>
          <w:noProof w:val="0"/>
          <w:color w:val="000000"/>
          <w:position w:val="0"/>
          <w:sz w:val="20"/>
          <w:u w:val="none"/>
          <w:vertAlign w:val="baseline"/>
        </w:rPr>
        <w:t xml:space="preserve"> (quoting </w:t>
      </w:r>
      <w:bookmarkStart w:id="169" w:name="Bookmark_I6B11G142HM6850010000400"/>
      <w:bookmarkEnd w:id="169"/>
      <w:hyperlink r:id="rId46" w:history="1">
        <w:r>
          <w:rPr>
            <w:rFonts w:ascii="arial" w:eastAsia="arial" w:hAnsi="arial" w:cs="arial"/>
            <w:b w:val="0"/>
            <w:i/>
            <w:strike w:val="0"/>
            <w:noProof w:val="0"/>
            <w:color w:val="0077CC"/>
            <w:position w:val="0"/>
            <w:sz w:val="20"/>
            <w:u w:val="single"/>
            <w:vertAlign w:val="baseline"/>
          </w:rPr>
          <w:t>Ashwander v. TVA</w:t>
        </w:r>
      </w:hyperlink>
      <w:hyperlink r:id="rId46" w:history="1">
        <w:r>
          <w:rPr>
            <w:rFonts w:ascii="arial" w:eastAsia="arial" w:hAnsi="arial" w:cs="arial"/>
            <w:b w:val="0"/>
            <w:i/>
            <w:strike w:val="0"/>
            <w:noProof w:val="0"/>
            <w:color w:val="0077CC"/>
            <w:position w:val="0"/>
            <w:sz w:val="20"/>
            <w:u w:val="single"/>
            <w:vertAlign w:val="baseline"/>
          </w:rPr>
          <w:t>, 297 U.S. 288, 346-47, 56 S. Ct. 466, 80 L. Ed. 688 (1936)</w:t>
        </w:r>
      </w:hyperlink>
      <w:r>
        <w:rPr>
          <w:rFonts w:ascii="arial" w:eastAsia="arial" w:hAnsi="arial" w:cs="arial"/>
          <w:b w:val="0"/>
          <w:i w:val="0"/>
          <w:strike w:val="0"/>
          <w:noProof w:val="0"/>
          <w:color w:val="000000"/>
          <w:position w:val="0"/>
          <w:sz w:val="20"/>
          <w:u w:val="none"/>
          <w:vertAlign w:val="baseline"/>
        </w:rPr>
        <w:t xml:space="preserve"> (Brandeis, J., concurring)). </w:t>
      </w:r>
      <w:bookmarkStart w:id="170" w:name="Bookmark_I6B11G142HM6850040000400_2"/>
      <w:bookmarkEnd w:id="170"/>
      <w:r>
        <w:rPr>
          <w:rFonts w:ascii="arial" w:eastAsia="arial" w:hAnsi="arial" w:cs="arial"/>
          <w:b w:val="0"/>
          <w:i w:val="0"/>
          <w:strike w:val="0"/>
          <w:noProof w:val="0"/>
          <w:color w:val="000000"/>
          <w:position w:val="0"/>
          <w:sz w:val="20"/>
          <w:u w:val="none"/>
          <w:vertAlign w:val="baseline"/>
        </w:rPr>
        <w:t xml:space="preserve">"Finally, facial challenges threaten to short circuit the democratic process by preventing laws embodying the will of the people from being implemented in a manner consistent with the Constitution."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Courts therefore must "keep in mind that 'a ruling of unconstitutionality frustrates the intent of the elected representatives of the people.'"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71" w:name="Bookmark_I6B11G142HM6850030000400"/>
      <w:bookmarkEnd w:id="171"/>
      <w:hyperlink r:id="rId47" w:history="1">
        <w:r>
          <w:rPr>
            <w:rFonts w:ascii="arial" w:eastAsia="arial" w:hAnsi="arial" w:cs="arial"/>
            <w:b w:val="0"/>
            <w:i/>
            <w:strike w:val="0"/>
            <w:noProof w:val="0"/>
            <w:color w:val="0077CC"/>
            <w:position w:val="0"/>
            <w:sz w:val="20"/>
            <w:u w:val="single"/>
            <w:vertAlign w:val="baseline"/>
          </w:rPr>
          <w:t>Ayotte v. Planned Parenthood of N. New Eng.</w:t>
        </w:r>
      </w:hyperlink>
      <w:hyperlink r:id="rId47" w:history="1">
        <w:r>
          <w:rPr>
            <w:rFonts w:ascii="arial" w:eastAsia="arial" w:hAnsi="arial" w:cs="arial"/>
            <w:b w:val="0"/>
            <w:i/>
            <w:strike w:val="0"/>
            <w:noProof w:val="0"/>
            <w:color w:val="0077CC"/>
            <w:position w:val="0"/>
            <w:sz w:val="20"/>
            <w:u w:val="single"/>
            <w:vertAlign w:val="baseline"/>
          </w:rPr>
          <w:t>, 546 U.S. 320, 329, 126 S. Ct. 961, 163 L. Ed. 2d 812 (2006)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2" w:name="Bookmark_para_37"/>
      <w:bookmarkEnd w:id="172"/>
      <w:bookmarkStart w:id="173" w:name="Bookmark_I6B11G142HM6890010000400"/>
      <w:bookmarkEnd w:id="173"/>
      <w:bookmarkStart w:id="174" w:name="Bookmark_I6B11G142HM6890050000400"/>
      <w:bookmarkEnd w:id="174"/>
      <w:r>
        <w:rPr>
          <w:rFonts w:ascii="arial" w:eastAsia="arial" w:hAnsi="arial" w:cs="arial"/>
          <w:b w:val="0"/>
          <w:i w:val="0"/>
          <w:strike w:val="0"/>
          <w:noProof w:val="0"/>
          <w:color w:val="000000"/>
          <w:position w:val="0"/>
          <w:sz w:val="20"/>
          <w:u w:val="none"/>
          <w:vertAlign w:val="baseline"/>
        </w:rPr>
        <w:t xml:space="preserve">The constitutional rights in dispute here are those explained in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[*1104] </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xml:space="preserve">. </w:t>
      </w:r>
      <w:bookmarkStart w:id="175" w:name="Bookmark_I6B11G142D6NJX0020000400"/>
      <w:bookmarkEnd w:id="175"/>
      <w:r>
        <w:rPr>
          <w:rFonts w:ascii="arial" w:eastAsia="arial" w:hAnsi="arial" w:cs="arial"/>
          <w:b w:val="0"/>
          <w:i w:val="0"/>
          <w:strike w:val="0"/>
          <w:noProof w:val="0"/>
          <w:color w:val="000000"/>
          <w:position w:val="0"/>
          <w:sz w:val="20"/>
          <w:u w:val="none"/>
          <w:vertAlign w:val="baseline"/>
        </w:rPr>
        <w:t xml:space="preserve">In those cases the Court held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protects an individual person's right to keep and bear arms for self-defense, both inside and outside the home. </w:t>
      </w:r>
      <w:bookmarkStart w:id="176" w:name="Bookmark_I6B11G142HM6850050000400"/>
      <w:bookmarkEnd w:id="176"/>
      <w:hyperlink r:id="rId11" w:history="1">
        <w:r>
          <w:rPr>
            <w:rFonts w:ascii="arial" w:eastAsia="arial" w:hAnsi="arial" w:cs="arial"/>
            <w:b w:val="0"/>
            <w:i/>
            <w:strike w:val="0"/>
            <w:noProof w:val="0"/>
            <w:color w:val="0077CC"/>
            <w:position w:val="0"/>
            <w:sz w:val="20"/>
            <w:u w:val="single"/>
            <w:vertAlign w:val="baseline"/>
          </w:rPr>
          <w:t>Bruen</w:t>
        </w:r>
      </w:hyperlink>
      <w:hyperlink r:id="rId11" w:history="1">
        <w:r>
          <w:rPr>
            <w:rFonts w:ascii="arial" w:eastAsia="arial" w:hAnsi="arial" w:cs="arial"/>
            <w:b w:val="0"/>
            <w:i/>
            <w:strike w:val="0"/>
            <w:noProof w:val="0"/>
            <w:color w:val="0077CC"/>
            <w:position w:val="0"/>
            <w:sz w:val="20"/>
            <w:u w:val="single"/>
            <w:vertAlign w:val="baseline"/>
          </w:rPr>
          <w:t>, 142 S. Ct. at 2122</w:t>
        </w:r>
      </w:hyperlink>
      <w:r>
        <w:rPr>
          <w:rFonts w:ascii="arial" w:eastAsia="arial" w:hAnsi="arial" w:cs="arial"/>
          <w:b w:val="0"/>
          <w:i w:val="0"/>
          <w:strike w:val="0"/>
          <w:noProof w:val="0"/>
          <w:color w:val="000000"/>
          <w:position w:val="0"/>
          <w:sz w:val="20"/>
          <w:u w:val="none"/>
          <w:vertAlign w:val="baseline"/>
        </w:rPr>
        <w:t xml:space="preserve">; </w:t>
      </w:r>
      <w:bookmarkStart w:id="177" w:name="Bookmark_I6B11G142HM6890020000400"/>
      <w:bookmarkEnd w:id="177"/>
      <w:hyperlink r:id="rId22" w:history="1">
        <w:r>
          <w:rPr>
            <w:rFonts w:ascii="arial" w:eastAsia="arial" w:hAnsi="arial" w:cs="arial"/>
            <w:b w:val="0"/>
            <w:i/>
            <w:strike w:val="0"/>
            <w:noProof w:val="0"/>
            <w:color w:val="0077CC"/>
            <w:position w:val="0"/>
            <w:sz w:val="20"/>
            <w:u w:val="single"/>
            <w:vertAlign w:val="baseline"/>
          </w:rPr>
          <w:t>Heller</w:t>
        </w:r>
      </w:hyperlink>
      <w:hyperlink r:id="rId22" w:history="1">
        <w:r>
          <w:rPr>
            <w:rFonts w:ascii="arial" w:eastAsia="arial" w:hAnsi="arial" w:cs="arial"/>
            <w:b w:val="0"/>
            <w:i/>
            <w:strike w:val="0"/>
            <w:noProof w:val="0"/>
            <w:color w:val="0077CC"/>
            <w:position w:val="0"/>
            <w:sz w:val="20"/>
            <w:u w:val="single"/>
            <w:vertAlign w:val="baseline"/>
          </w:rPr>
          <w:t>, 554 U.S. at 592</w:t>
        </w:r>
      </w:hyperlink>
      <w:r>
        <w:rPr>
          <w:rFonts w:ascii="arial" w:eastAsia="arial" w:hAnsi="arial" w:cs="arial"/>
          <w:b w:val="0"/>
          <w:i w:val="0"/>
          <w:strike w:val="0"/>
          <w:noProof w:val="0"/>
          <w:color w:val="000000"/>
          <w:position w:val="0"/>
          <w:sz w:val="20"/>
          <w:u w:val="none"/>
          <w:vertAlign w:val="baseline"/>
        </w:rPr>
        <w:t xml:space="preserve">. This protection is "fully applicable to the States." </w:t>
      </w:r>
      <w:bookmarkStart w:id="178" w:name="Bookmark_I6B11G142HM6890040000400"/>
      <w:bookmarkEnd w:id="178"/>
      <w:hyperlink r:id="rId25" w:history="1">
        <w:r>
          <w:rPr>
            <w:rFonts w:ascii="arial" w:eastAsia="arial" w:hAnsi="arial" w:cs="arial"/>
            <w:b w:val="0"/>
            <w:i/>
            <w:strike w:val="0"/>
            <w:noProof w:val="0"/>
            <w:color w:val="0077CC"/>
            <w:position w:val="0"/>
            <w:sz w:val="20"/>
            <w:u w:val="single"/>
            <w:vertAlign w:val="baseline"/>
          </w:rPr>
          <w:t>McDonald</w:t>
        </w:r>
      </w:hyperlink>
      <w:hyperlink r:id="rId25" w:history="1">
        <w:r>
          <w:rPr>
            <w:rFonts w:ascii="arial" w:eastAsia="arial" w:hAnsi="arial" w:cs="arial"/>
            <w:b w:val="0"/>
            <w:i/>
            <w:strike w:val="0"/>
            <w:noProof w:val="0"/>
            <w:color w:val="0077CC"/>
            <w:position w:val="0"/>
            <w:sz w:val="20"/>
            <w:u w:val="single"/>
            <w:vertAlign w:val="baseline"/>
          </w:rPr>
          <w:t>, 561 U.S. at 750</w:t>
        </w:r>
      </w:hyperlink>
      <w:r>
        <w:rPr>
          <w:rFonts w:ascii="arial" w:eastAsia="arial" w:hAnsi="arial" w:cs="arial"/>
          <w:b w:val="0"/>
          <w:i w:val="0"/>
          <w:strike w:val="0"/>
          <w:noProof w:val="0"/>
          <w:color w:val="000000"/>
          <w:position w:val="0"/>
          <w:sz w:val="20"/>
          <w:u w:val="none"/>
          <w:vertAlign w:val="baseline"/>
        </w:rPr>
        <w:t xml:space="preserve">. </w:t>
      </w:r>
      <w:bookmarkStart w:id="179" w:name="Bookmark_I6B11G142D6NJX0020000400_2"/>
      <w:bookmarkEnd w:id="179"/>
      <w:bookmarkStart w:id="180" w:name="Bookmark_I6B11G142D6NJX0040000400"/>
      <w:bookmarkEnd w:id="180"/>
      <w:r>
        <w:rPr>
          <w:rFonts w:ascii="arial" w:eastAsia="arial" w:hAnsi="arial" w:cs="arial"/>
          <w:b w:val="0"/>
          <w:i w:val="0"/>
          <w:strike w:val="0"/>
          <w:noProof w:val="0"/>
          <w:color w:val="000000"/>
          <w:position w:val="0"/>
          <w:sz w:val="20"/>
          <w:u w:val="none"/>
          <w:vertAlign w:val="baseline"/>
        </w:rPr>
        <w:t xml:space="preserve">"[W]hen the </w:t>
      </w:r>
      <w:hyperlink r:id="rId10" w:history="1">
        <w:r>
          <w:rPr>
            <w:rFonts w:ascii="arial" w:eastAsia="arial" w:hAnsi="arial" w:cs="arial"/>
            <w:b w:val="0"/>
            <w:i/>
            <w:strike w:val="0"/>
            <w:noProof w:val="0"/>
            <w:color w:val="0077CC"/>
            <w:position w:val="0"/>
            <w:sz w:val="20"/>
            <w:u w:val="single"/>
            <w:vertAlign w:val="baseline"/>
          </w:rPr>
          <w:t>Second Amendment's</w:t>
        </w:r>
      </w:hyperlink>
      <w:r>
        <w:rPr>
          <w:rFonts w:ascii="arial" w:eastAsia="arial" w:hAnsi="arial" w:cs="arial"/>
          <w:b w:val="0"/>
          <w:i w:val="0"/>
          <w:strike w:val="0"/>
          <w:noProof w:val="0"/>
          <w:color w:val="000000"/>
          <w:position w:val="0"/>
          <w:sz w:val="20"/>
          <w:u w:val="none"/>
          <w:vertAlign w:val="baseline"/>
        </w:rPr>
        <w:t xml:space="preserve"> plain text covers an individual's conduct, the Constitution presumptively protects that conduct." </w:t>
      </w:r>
      <w:bookmarkStart w:id="181" w:name="Bookmark_I6B11G142D6NJX0010000400"/>
      <w:bookmarkEnd w:id="181"/>
      <w:hyperlink r:id="rId11" w:history="1">
        <w:r>
          <w:rPr>
            <w:rFonts w:ascii="arial" w:eastAsia="arial" w:hAnsi="arial" w:cs="arial"/>
            <w:b w:val="0"/>
            <w:i/>
            <w:strike w:val="0"/>
            <w:noProof w:val="0"/>
            <w:color w:val="0077CC"/>
            <w:position w:val="0"/>
            <w:sz w:val="20"/>
            <w:u w:val="single"/>
            <w:vertAlign w:val="baseline"/>
          </w:rPr>
          <w:t>Bruen</w:t>
        </w:r>
      </w:hyperlink>
      <w:hyperlink r:id="rId11" w:history="1">
        <w:r>
          <w:rPr>
            <w:rFonts w:ascii="arial" w:eastAsia="arial" w:hAnsi="arial" w:cs="arial"/>
            <w:b w:val="0"/>
            <w:i/>
            <w:strike w:val="0"/>
            <w:noProof w:val="0"/>
            <w:color w:val="0077CC"/>
            <w:position w:val="0"/>
            <w:sz w:val="20"/>
            <w:u w:val="single"/>
            <w:vertAlign w:val="baseline"/>
          </w:rPr>
          <w:t>, 142 S. Ct. at 2126</w:t>
        </w:r>
      </w:hyperlink>
      <w:r>
        <w:rPr>
          <w:rFonts w:ascii="arial" w:eastAsia="arial" w:hAnsi="arial" w:cs="arial"/>
          <w:b w:val="0"/>
          <w:i w:val="0"/>
          <w:strike w:val="0"/>
          <w:noProof w:val="0"/>
          <w:color w:val="000000"/>
          <w:position w:val="0"/>
          <w:sz w:val="20"/>
          <w:u w:val="none"/>
          <w:vertAlign w:val="baseline"/>
        </w:rPr>
        <w:t xml:space="preserve">. </w:t>
      </w:r>
      <w:bookmarkStart w:id="182" w:name="Bookmark_I6B11G142D6NJX0040000400_2"/>
      <w:bookmarkEnd w:id="182"/>
      <w:r>
        <w:rPr>
          <w:rFonts w:ascii="arial" w:eastAsia="arial" w:hAnsi="arial" w:cs="arial"/>
          <w:b w:val="0"/>
          <w:i w:val="0"/>
          <w:strike w:val="0"/>
          <w:noProof w:val="0"/>
          <w:color w:val="000000"/>
          <w:position w:val="0"/>
          <w:sz w:val="20"/>
          <w:u w:val="none"/>
          <w:vertAlign w:val="baseline"/>
        </w:rPr>
        <w:t xml:space="preserve">"To justify its regulation, the government . . . must demonstrate that the regulation is consistent with this Nation's historical tradition of firearm regulation."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in the broader context of a facial challenge, a state firearms law typically will be upheld if it</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operates constitutionally in at least some circumstances. </w:t>
      </w:r>
      <w:bookmarkStart w:id="183" w:name="Bookmark_I6B11G1428T4140010000400"/>
      <w:bookmarkEnd w:id="183"/>
      <w:r>
        <w:rPr>
          <w:rFonts w:ascii="arial" w:eastAsia="arial" w:hAnsi="arial" w:cs="arial"/>
          <w:b w:val="0"/>
          <w:i/>
          <w:strike w:val="0"/>
          <w:noProof w:val="0"/>
          <w:color w:val="000000"/>
          <w:position w:val="0"/>
          <w:sz w:val="20"/>
          <w:u w:val="none"/>
          <w:vertAlign w:val="baseline"/>
        </w:rPr>
        <w:t xml:space="preserve">See </w:t>
      </w:r>
      <w:bookmarkStart w:id="184" w:name="Bookmark_I6B11G142D6NJX0030000400"/>
      <w:bookmarkEnd w:id="184"/>
      <w:hyperlink r:id="rId44" w:history="1">
        <w:r>
          <w:rPr>
            <w:rFonts w:ascii="arial" w:eastAsia="arial" w:hAnsi="arial" w:cs="arial"/>
            <w:b w:val="0"/>
            <w:i/>
            <w:strike w:val="0"/>
            <w:noProof w:val="0"/>
            <w:color w:val="0077CC"/>
            <w:position w:val="0"/>
            <w:sz w:val="20"/>
            <w:u w:val="single"/>
            <w:vertAlign w:val="baseline"/>
          </w:rPr>
          <w:t>Salerno</w:t>
        </w:r>
      </w:hyperlink>
      <w:hyperlink r:id="rId44" w:history="1">
        <w:r>
          <w:rPr>
            <w:rFonts w:ascii="arial" w:eastAsia="arial" w:hAnsi="arial" w:cs="arial"/>
            <w:b w:val="0"/>
            <w:i/>
            <w:strike w:val="0"/>
            <w:noProof w:val="0"/>
            <w:color w:val="0077CC"/>
            <w:position w:val="0"/>
            <w:sz w:val="20"/>
            <w:u w:val="single"/>
            <w:vertAlign w:val="baseline"/>
          </w:rPr>
          <w:t>, 481 U.S. at 745</w:t>
        </w:r>
      </w:hyperlink>
      <w:r>
        <w:rPr>
          <w:rFonts w:ascii="arial" w:eastAsia="arial" w:hAnsi="arial" w:cs="arial"/>
          <w:b w:val="0"/>
          <w:i w:val="0"/>
          <w:strike w:val="0"/>
          <w:noProof w:val="0"/>
          <w:color w:val="000000"/>
          <w:position w:val="0"/>
          <w:sz w:val="20"/>
          <w:u w:val="none"/>
          <w:vertAlign w:val="baseline"/>
        </w:rPr>
        <w:t xml:space="preserve">. </w:t>
      </w:r>
      <w:bookmarkStart w:id="185" w:name="Bookmark_I6B11G1428T4140010000400_2"/>
      <w:bookmarkEnd w:id="185"/>
      <w:r>
        <w:rPr>
          <w:rFonts w:ascii="arial" w:eastAsia="arial" w:hAnsi="arial" w:cs="arial"/>
          <w:b w:val="0"/>
          <w:i w:val="0"/>
          <w:strike w:val="0"/>
          <w:noProof w:val="0"/>
          <w:color w:val="000000"/>
          <w:position w:val="0"/>
          <w:sz w:val="20"/>
          <w:u w:val="none"/>
          <w:vertAlign w:val="baseline"/>
        </w:rPr>
        <w:t xml:space="preserve">Specific unconstitutional applications may be addressed in specific cases. </w:t>
      </w:r>
      <w:r>
        <w:rPr>
          <w:rFonts w:ascii="arial" w:eastAsia="arial" w:hAnsi="arial" w:cs="arial"/>
          <w:b w:val="0"/>
          <w:i/>
          <w:strike w:val="0"/>
          <w:noProof w:val="0"/>
          <w:color w:val="000000"/>
          <w:position w:val="0"/>
          <w:sz w:val="20"/>
          <w:u w:val="none"/>
          <w:vertAlign w:val="baseline"/>
        </w:rPr>
        <w:t xml:space="preserve">See </w:t>
      </w:r>
      <w:bookmarkStart w:id="186" w:name="Bookmark_I6B11G142D6NJX0050000400"/>
      <w:bookmarkEnd w:id="186"/>
      <w:hyperlink r:id="rId11" w:history="1">
        <w:r>
          <w:rPr>
            <w:rFonts w:ascii="arial" w:eastAsia="arial" w:hAnsi="arial" w:cs="arial"/>
            <w:b w:val="0"/>
            <w:i/>
            <w:strike w:val="0"/>
            <w:noProof w:val="0"/>
            <w:color w:val="0077CC"/>
            <w:position w:val="0"/>
            <w:sz w:val="20"/>
            <w:u w:val="single"/>
            <w:vertAlign w:val="baseline"/>
          </w:rPr>
          <w:t>Bruen</w:t>
        </w:r>
      </w:hyperlink>
      <w:hyperlink r:id="rId11" w:history="1">
        <w:r>
          <w:rPr>
            <w:rFonts w:ascii="arial" w:eastAsia="arial" w:hAnsi="arial" w:cs="arial"/>
            <w:b w:val="0"/>
            <w:i/>
            <w:strike w:val="0"/>
            <w:noProof w:val="0"/>
            <w:color w:val="0077CC"/>
            <w:position w:val="0"/>
            <w:sz w:val="20"/>
            <w:u w:val="single"/>
            <w:vertAlign w:val="baseline"/>
          </w:rPr>
          <w:t>, 142 S. Ct. at 2138 n.9</w:t>
        </w:r>
      </w:hyperlink>
      <w:r>
        <w:rPr>
          <w:rFonts w:ascii="arial" w:eastAsia="arial" w:hAnsi="arial" w:cs="arial"/>
          <w:b w:val="0"/>
          <w:i w:val="0"/>
          <w:strike w:val="0"/>
          <w:noProof w:val="0"/>
          <w:color w:val="000000"/>
          <w:position w:val="0"/>
          <w:sz w:val="20"/>
          <w:u w:val="none"/>
          <w:vertAlign w:val="baseline"/>
        </w:rPr>
        <w:t xml:space="preserve"> (declining to resolve hypothetical as-applied disputes).</w:t>
      </w:r>
    </w:p>
    <w:p>
      <w:pPr>
        <w:keepNext w:val="0"/>
        <w:spacing w:before="200" w:after="0" w:line="260" w:lineRule="atLeast"/>
        <w:ind w:left="0" w:right="0" w:firstLine="0"/>
        <w:jc w:val="both"/>
      </w:pPr>
      <w:bookmarkStart w:id="187" w:name="Bookmark_para_38"/>
      <w:bookmarkEnd w:id="187"/>
      <w:r>
        <w:rPr>
          <w:rFonts w:ascii="arial" w:eastAsia="arial" w:hAnsi="arial" w:cs="arial"/>
          <w:b w:val="0"/>
          <w:i w:val="0"/>
          <w:strike w:val="0"/>
          <w:noProof w:val="0"/>
          <w:color w:val="000000"/>
          <w:position w:val="0"/>
          <w:sz w:val="20"/>
          <w:u w:val="none"/>
          <w:vertAlign w:val="baseline"/>
        </w:rPr>
        <w:t xml:space="preserve">This latter history-and-tradition requirement was first announced in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only a little more than a year ago, and lower federal courts have struggled to apply it since then. The same requirement also is the parties' primary focus in their pending cross motions. The court therefore reviews that requirement and its origins more thoroughly in the two subsections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Courts must identify analogous statutes and regulations in the historical tradition of firearms regulation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8" w:name="Bookmark_para_39"/>
      <w:bookmarkEnd w:id="188"/>
      <w:bookmarkStart w:id="189" w:name="Bookmark_I6B11G1428T4140030000400"/>
      <w:bookmarkEnd w:id="189"/>
      <w:r>
        <w:rPr>
          <w:rFonts w:ascii="arial" w:eastAsia="arial" w:hAnsi="arial" w:cs="arial"/>
          <w:b w:val="0"/>
          <w:i w:val="0"/>
          <w:strike w:val="0"/>
          <w:noProof w:val="0"/>
          <w:color w:val="000000"/>
          <w:position w:val="0"/>
          <w:sz w:val="20"/>
          <w:u w:val="none"/>
          <w:vertAlign w:val="baseline"/>
        </w:rPr>
        <w:t xml:space="preserve">The Supreme Court offered sparse practical guidance in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for how to decide whether state regulations are consistent with the historical tradition of firearm regulation. </w:t>
      </w:r>
      <w:bookmarkStart w:id="190" w:name="Bookmark_I6B11G1428T4140050000400"/>
      <w:bookmarkEnd w:id="190"/>
      <w:r>
        <w:rPr>
          <w:rFonts w:ascii="arial" w:eastAsia="arial" w:hAnsi="arial" w:cs="arial"/>
          <w:b w:val="0"/>
          <w:i w:val="0"/>
          <w:strike w:val="0"/>
          <w:noProof w:val="0"/>
          <w:color w:val="000000"/>
          <w:position w:val="0"/>
          <w:sz w:val="20"/>
          <w:u w:val="none"/>
          <w:vertAlign w:val="baseline"/>
        </w:rPr>
        <w:t xml:space="preserve">It expected some cases would be "straightforward." </w:t>
      </w:r>
      <w:bookmarkStart w:id="191" w:name="Bookmark_I6B11G1428T4140020000400"/>
      <w:bookmarkEnd w:id="191"/>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2131</w:t>
        </w:r>
      </w:hyperlink>
      <w:r>
        <w:rPr>
          <w:rFonts w:ascii="arial" w:eastAsia="arial" w:hAnsi="arial" w:cs="arial"/>
          <w:b w:val="0"/>
          <w:i w:val="0"/>
          <w:strike w:val="0"/>
          <w:noProof w:val="0"/>
          <w:color w:val="000000"/>
          <w:position w:val="0"/>
          <w:sz w:val="20"/>
          <w:u w:val="none"/>
          <w:vertAlign w:val="baseline"/>
        </w:rPr>
        <w:t xml:space="preserve">. For example, the Court majority wrote states were likely to prove there is a longstanding historical tradition of banning guns from specific "sensitive places," such as legislative assemblies, polling places, and courthouses. </w:t>
      </w:r>
      <w:bookmarkStart w:id="192" w:name="Bookmark_I6B11G1428T4140050000400_2"/>
      <w:bookmarkEnd w:id="192"/>
      <w:r>
        <w:rPr>
          <w:rFonts w:ascii="arial" w:eastAsia="arial" w:hAnsi="arial" w:cs="arial"/>
          <w:b w:val="0"/>
          <w:i/>
          <w:strike w:val="0"/>
          <w:noProof w:val="0"/>
          <w:color w:val="000000"/>
          <w:position w:val="0"/>
          <w:sz w:val="20"/>
          <w:u w:val="none"/>
          <w:vertAlign w:val="baseline"/>
        </w:rPr>
        <w:t xml:space="preserve">See </w:t>
      </w:r>
      <w:bookmarkStart w:id="193" w:name="Bookmark_I6B11G1428T4140040000400"/>
      <w:bookmarkEnd w:id="193"/>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2133</w:t>
        </w:r>
      </w:hyperlink>
      <w:r>
        <w:rPr>
          <w:rFonts w:ascii="arial" w:eastAsia="arial" w:hAnsi="arial" w:cs="arial"/>
          <w:b w:val="0"/>
          <w:i w:val="0"/>
          <w:strike w:val="0"/>
          <w:noProof w:val="0"/>
          <w:color w:val="000000"/>
          <w:position w:val="0"/>
          <w:sz w:val="20"/>
          <w:u w:val="none"/>
          <w:vertAlign w:val="baseline"/>
        </w:rPr>
        <w:t xml:space="preserve">. </w:t>
      </w:r>
      <w:bookmarkStart w:id="194" w:name="Bookmark_I6B11G142N1RC50020000400"/>
      <w:bookmarkEnd w:id="194"/>
      <w:r>
        <w:rPr>
          <w:rFonts w:ascii="arial" w:eastAsia="arial" w:hAnsi="arial" w:cs="arial"/>
          <w:b w:val="0"/>
          <w:i w:val="0"/>
          <w:strike w:val="0"/>
          <w:noProof w:val="0"/>
          <w:color w:val="000000"/>
          <w:position w:val="0"/>
          <w:sz w:val="20"/>
          <w:u w:val="none"/>
          <w:vertAlign w:val="baseline"/>
        </w:rPr>
        <w:t>It expected lower courts would have no trouble concluding modern</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regulations about other analogous "sensitive places" were constitutional.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In fact, federal district courts since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have found a number of restrictions on firearms in modern "sensitive places" are analogous to historical restrictions. </w:t>
      </w:r>
      <w:r>
        <w:rPr>
          <w:rFonts w:ascii="arial" w:eastAsia="arial" w:hAnsi="arial" w:cs="arial"/>
          <w:b w:val="0"/>
          <w:i/>
          <w:strike w:val="0"/>
          <w:noProof w:val="0"/>
          <w:color w:val="000000"/>
          <w:position w:val="0"/>
          <w:sz w:val="20"/>
          <w:u w:val="none"/>
          <w:vertAlign w:val="baseline"/>
        </w:rPr>
        <w:t xml:space="preserve">See, e.g., </w:t>
      </w:r>
      <w:bookmarkStart w:id="195" w:name="Bookmark_I6B11G142N1RC50010000400"/>
      <w:bookmarkEnd w:id="195"/>
      <w:hyperlink r:id="rId48" w:history="1">
        <w:r>
          <w:rPr>
            <w:rFonts w:ascii="arial" w:eastAsia="arial" w:hAnsi="arial" w:cs="arial"/>
            <w:b w:val="0"/>
            <w:i/>
            <w:strike w:val="0"/>
            <w:noProof w:val="0"/>
            <w:color w:val="0077CC"/>
            <w:position w:val="0"/>
            <w:sz w:val="20"/>
            <w:u w:val="single"/>
            <w:vertAlign w:val="baseline"/>
          </w:rPr>
          <w:t>Kipke v. Moore</w:t>
        </w:r>
      </w:hyperlink>
      <w:hyperlink r:id="rId48" w:history="1">
        <w:r>
          <w:rPr>
            <w:rFonts w:ascii="arial" w:eastAsia="arial" w:hAnsi="arial" w:cs="arial"/>
            <w:b w:val="0"/>
            <w:i/>
            <w:strike w:val="0"/>
            <w:noProof w:val="0"/>
            <w:color w:val="0077CC"/>
            <w:position w:val="0"/>
            <w:sz w:val="20"/>
            <w:u w:val="single"/>
            <w:vertAlign w:val="baseline"/>
          </w:rPr>
          <w:t xml:space="preserve">, </w:t>
        </w:r>
      </w:hyperlink>
      <w:hyperlink r:id="rId48" w:history="1">
        <w:r>
          <w:rPr>
            <w:rFonts w:ascii="arial" w:eastAsia="arial" w:hAnsi="arial" w:cs="arial"/>
            <w:b w:val="0"/>
            <w:i/>
            <w:strike w:val="0"/>
            <w:noProof w:val="0"/>
            <w:color w:val="0077CC"/>
            <w:position w:val="0"/>
            <w:sz w:val="20"/>
            <w:u w:val="single"/>
            <w:vertAlign w:val="baseline"/>
          </w:rPr>
          <w:t>   </w:t>
        </w:r>
      </w:hyperlink>
      <w:hyperlink r:id="rId48" w:history="1">
        <w:r>
          <w:rPr>
            <w:rFonts w:ascii="arial" w:eastAsia="arial" w:hAnsi="arial" w:cs="arial"/>
            <w:b w:val="0"/>
            <w:i/>
            <w:strike w:val="0"/>
            <w:noProof w:val="0"/>
            <w:color w:val="0077CC"/>
            <w:position w:val="0"/>
            <w:sz w:val="20"/>
            <w:u w:val="single"/>
            <w:vertAlign w:val="baseline"/>
          </w:rPr>
          <w:t xml:space="preserve"> F. Supp. 3d </w:t>
        </w:r>
      </w:hyperlink>
      <w:hyperlink r:id="rId48" w:history="1">
        <w:r>
          <w:rPr>
            <w:rFonts w:ascii="arial" w:eastAsia="arial" w:hAnsi="arial" w:cs="arial"/>
            <w:b w:val="0"/>
            <w:i/>
            <w:strike w:val="0"/>
            <w:noProof w:val="0"/>
            <w:color w:val="0077CC"/>
            <w:position w:val="0"/>
            <w:sz w:val="20"/>
            <w:u w:val="single"/>
            <w:vertAlign w:val="baseline"/>
          </w:rPr>
          <w:t>   </w:t>
        </w:r>
      </w:hyperlink>
      <w:hyperlink r:id="rId48" w:history="1">
        <w:r>
          <w:rPr>
            <w:rFonts w:ascii="arial" w:eastAsia="arial" w:hAnsi="arial" w:cs="arial"/>
            <w:b w:val="0"/>
            <w:i/>
            <w:strike w:val="0"/>
            <w:noProof w:val="0"/>
            <w:color w:val="0077CC"/>
            <w:position w:val="0"/>
            <w:sz w:val="20"/>
            <w:u w:val="single"/>
            <w:vertAlign w:val="baseline"/>
          </w:rPr>
          <w:t>, No. 23-1293, 2023 U.S. Dist. LEXIS 174934, 2023 WL 6381503, at *7-14 (D. Md. Sept. 29, 2023)</w:t>
        </w:r>
      </w:hyperlink>
      <w:r>
        <w:rPr>
          <w:rFonts w:ascii="arial" w:eastAsia="arial" w:hAnsi="arial" w:cs="arial"/>
          <w:b w:val="0"/>
          <w:i w:val="0"/>
          <w:strike w:val="0"/>
          <w:noProof w:val="0"/>
          <w:color w:val="000000"/>
          <w:position w:val="0"/>
          <w:sz w:val="20"/>
          <w:u w:val="none"/>
          <w:vertAlign w:val="baseline"/>
        </w:rPr>
        <w:t xml:space="preserve"> (museums, healthcare facilities, parks and mass transit facilities, schools, stadiums, racetracks, amusement parks and casinos, but not places where alcohol is sold, not public demonstrations and not private property); </w:t>
      </w:r>
      <w:bookmarkStart w:id="196" w:name="Bookmark_I6B11G142N1RC50030000400"/>
      <w:bookmarkEnd w:id="196"/>
      <w:hyperlink r:id="rId49" w:history="1">
        <w:r>
          <w:rPr>
            <w:rFonts w:ascii="arial" w:eastAsia="arial" w:hAnsi="arial" w:cs="arial"/>
            <w:b w:val="0"/>
            <w:i/>
            <w:strike w:val="0"/>
            <w:noProof w:val="0"/>
            <w:color w:val="0077CC"/>
            <w:position w:val="0"/>
            <w:sz w:val="20"/>
            <w:u w:val="single"/>
            <w:vertAlign w:val="baseline"/>
          </w:rPr>
          <w:t>Goldstein v. Hochul</w:t>
        </w:r>
      </w:hyperlink>
      <w:hyperlink r:id="rId49" w:history="1">
        <w:r>
          <w:rPr>
            <w:rFonts w:ascii="arial" w:eastAsia="arial" w:hAnsi="arial" w:cs="arial"/>
            <w:b w:val="0"/>
            <w:i/>
            <w:strike w:val="0"/>
            <w:noProof w:val="0"/>
            <w:color w:val="0077CC"/>
            <w:position w:val="0"/>
            <w:sz w:val="20"/>
            <w:u w:val="single"/>
            <w:vertAlign w:val="baseline"/>
          </w:rPr>
          <w:t>, 680 F. Supp. 3d 370, No. 22-8300, 2023 U.S. Dist. LEXIS 111124, 2023 WL 4236164, at *9-14 (S.D.N.Y. June 28, 2023)</w:t>
        </w:r>
      </w:hyperlink>
      <w:r>
        <w:rPr>
          <w:rFonts w:ascii="arial" w:eastAsia="arial" w:hAnsi="arial" w:cs="arial"/>
          <w:b w:val="0"/>
          <w:i w:val="0"/>
          <w:strike w:val="0"/>
          <w:noProof w:val="0"/>
          <w:color w:val="000000"/>
          <w:position w:val="0"/>
          <w:sz w:val="20"/>
          <w:u w:val="none"/>
          <w:vertAlign w:val="baseline"/>
        </w:rPr>
        <w:t xml:space="preserve"> (places of worship), </w:t>
      </w:r>
      <w:r>
        <w:rPr>
          <w:rFonts w:ascii="arial" w:eastAsia="arial" w:hAnsi="arial" w:cs="arial"/>
          <w:b w:val="0"/>
          <w:i/>
          <w:strike w:val="0"/>
          <w:noProof w:val="0"/>
          <w:color w:val="000000"/>
          <w:position w:val="0"/>
          <w:sz w:val="20"/>
          <w:u w:val="none"/>
          <w:vertAlign w:val="baseline"/>
        </w:rPr>
        <w:t>appeal filed</w:t>
      </w:r>
      <w:r>
        <w:rPr>
          <w:rFonts w:ascii="arial" w:eastAsia="arial" w:hAnsi="arial" w:cs="arial"/>
          <w:b w:val="0"/>
          <w:i w:val="0"/>
          <w:strike w:val="0"/>
          <w:noProof w:val="0"/>
          <w:color w:val="000000"/>
          <w:position w:val="0"/>
          <w:sz w:val="20"/>
          <w:u w:val="none"/>
          <w:vertAlign w:val="baseline"/>
        </w:rPr>
        <w:t>, No. 23-995 (2d Cir. July 6, 2023).</w:t>
      </w:r>
    </w:p>
    <w:p>
      <w:pPr>
        <w:keepNext w:val="0"/>
        <w:spacing w:before="200" w:after="0" w:line="260" w:lineRule="atLeast"/>
        <w:ind w:left="0" w:right="0" w:firstLine="0"/>
        <w:jc w:val="both"/>
      </w:pPr>
      <w:bookmarkStart w:id="197" w:name="Bookmark_para_40"/>
      <w:bookmarkEnd w:id="197"/>
      <w:bookmarkStart w:id="198" w:name="Bookmark_I6B11G152D6NK50010000400"/>
      <w:bookmarkEnd w:id="198"/>
      <w:r>
        <w:rPr>
          <w:rFonts w:ascii="arial" w:eastAsia="arial" w:hAnsi="arial" w:cs="arial"/>
          <w:b w:val="0"/>
          <w:i w:val="0"/>
          <w:strike w:val="0"/>
          <w:noProof w:val="0"/>
          <w:color w:val="000000"/>
          <w:position w:val="0"/>
          <w:sz w:val="20"/>
          <w:u w:val="none"/>
          <w:vertAlign w:val="baseline"/>
        </w:rPr>
        <w:t xml:space="preserve">The Supreme Court majority also wrote in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that it expected some restrictions would prove to be straightforwardly unconstitutional. It identified three types of evidence it said likely would favor that conclusion. First, if "a challenged regulation addresses a general societal problem that has persisted since the 18th century, the lack of a distinctly similar historical regulation addressing that problem is relevant evidence that the challenged regulation is inconsistent with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t>
      </w:r>
      <w:bookmarkStart w:id="199" w:name="Bookmark_I6B11G142N1RC50050000400"/>
      <w:bookmarkEnd w:id="199"/>
      <w:hyperlink r:id="rId11" w:history="1">
        <w:r>
          <w:rPr>
            <w:rFonts w:ascii="arial" w:eastAsia="arial" w:hAnsi="arial" w:cs="arial"/>
            <w:b w:val="0"/>
            <w:i/>
            <w:strike w:val="0"/>
            <w:noProof w:val="0"/>
            <w:color w:val="0077CC"/>
            <w:position w:val="0"/>
            <w:sz w:val="20"/>
            <w:u w:val="single"/>
            <w:vertAlign w:val="baseline"/>
          </w:rPr>
          <w:t>142 S. Ct. at 2131</w:t>
        </w:r>
      </w:hyperlink>
      <w:r>
        <w:rPr>
          <w:rFonts w:ascii="arial" w:eastAsia="arial" w:hAnsi="arial" w:cs="arial"/>
          <w:b w:val="0"/>
          <w:i w:val="0"/>
          <w:strike w:val="0"/>
          <w:noProof w:val="0"/>
          <w:color w:val="000000"/>
          <w:position w:val="0"/>
          <w:sz w:val="20"/>
          <w:u w:val="none"/>
          <w:vertAlign w:val="baseline"/>
        </w:rPr>
        <w:t>. Second, "if earlier generations addressed the societal problem, but did so through materially different means, that also could be evidence that a modern regulation</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is unconstitutional."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third, "if some jurisdictions actually attempted to enact analogous regulations during this timeframe, but those proposals were rejected on constitutional grounds, that rejection </w:t>
      </w:r>
      <w:r>
        <w:rPr>
          <w:rFonts w:ascii="arial" w:eastAsia="arial" w:hAnsi="arial" w:cs="arial"/>
          <w:b/>
          <w:i w:val="0"/>
          <w:strike w:val="0"/>
          <w:noProof w:val="0"/>
          <w:color w:val="000000"/>
          <w:position w:val="0"/>
          <w:sz w:val="20"/>
          <w:u w:val="none"/>
          <w:vertAlign w:val="baseline"/>
        </w:rPr>
        <w:t> [*1105] </w:t>
      </w:r>
      <w:r>
        <w:rPr>
          <w:rFonts w:ascii="arial" w:eastAsia="arial" w:hAnsi="arial" w:cs="arial"/>
          <w:b w:val="0"/>
          <w:i w:val="0"/>
          <w:strike w:val="0"/>
          <w:noProof w:val="0"/>
          <w:color w:val="000000"/>
          <w:position w:val="0"/>
          <w:sz w:val="20"/>
          <w:u w:val="none"/>
          <w:vertAlign w:val="baseline"/>
        </w:rPr>
        <w:t xml:space="preserve"> surely would provide some probative evidence of unconstitutionality."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00" w:name="Bookmark_para_41"/>
      <w:bookmarkEnd w:id="200"/>
      <w:bookmarkStart w:id="201" w:name="Bookmark_I6B11G152D6NK50030000400"/>
      <w:bookmarkEnd w:id="201"/>
      <w:r>
        <w:rPr>
          <w:rFonts w:ascii="arial" w:eastAsia="arial" w:hAnsi="arial" w:cs="arial"/>
          <w:b w:val="0"/>
          <w:i w:val="0"/>
          <w:strike w:val="0"/>
          <w:noProof w:val="0"/>
          <w:color w:val="000000"/>
          <w:position w:val="0"/>
          <w:sz w:val="20"/>
          <w:u w:val="none"/>
          <w:vertAlign w:val="baseline"/>
        </w:rPr>
        <w:t xml:space="preserve">The Court cited the laws in dispute in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as examples of straightforwardly unconstitutional restrictions. The "general societal problem" in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xml:space="preserve"> was "firearm violence in densely populated communities."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District of Columbia had "employed a regulation—a flat ban on the possession of handguns in the home—that the Founders themselves could have adopted to confront that problem."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no evidence in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xml:space="preserve"> showed people had flatly banned handguns from the home in the founding era.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the "general societal problem" was "handgun violence" in "urban areas."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New York's solution was a "proper cause" requirement, i.e., demonstrating "a special need for self-protection distinguishable from that of the general community." </w:t>
      </w:r>
      <w:bookmarkStart w:id="202" w:name="Bookmark_I6B11G152D6NK50020000400"/>
      <w:bookmarkEnd w:id="202"/>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2156</w:t>
        </w:r>
      </w:hyperlink>
      <w:r>
        <w:rPr>
          <w:rFonts w:ascii="arial" w:eastAsia="arial" w:hAnsi="arial" w:cs="arial"/>
          <w:b w:val="0"/>
          <w:i w:val="0"/>
          <w:strike w:val="0"/>
          <w:noProof w:val="0"/>
          <w:color w:val="000000"/>
          <w:position w:val="0"/>
          <w:sz w:val="20"/>
          <w:u w:val="none"/>
          <w:vertAlign w:val="baseline"/>
        </w:rPr>
        <w:t xml:space="preserve"> (quoting </w:t>
      </w:r>
      <w:bookmarkStart w:id="203" w:name="Bookmark_I6B11G152D6NK50040000400"/>
      <w:bookmarkEnd w:id="203"/>
      <w:hyperlink r:id="rId50" w:history="1">
        <w:r>
          <w:rPr>
            <w:rFonts w:ascii="arial" w:eastAsia="arial" w:hAnsi="arial" w:cs="arial"/>
            <w:b w:val="0"/>
            <w:i/>
            <w:strike w:val="0"/>
            <w:noProof w:val="0"/>
            <w:color w:val="0077CC"/>
            <w:position w:val="0"/>
            <w:sz w:val="20"/>
            <w:u w:val="single"/>
            <w:vertAlign w:val="baseline"/>
          </w:rPr>
          <w:t>In re Klenosky</w:t>
        </w:r>
      </w:hyperlink>
      <w:hyperlink r:id="rId50" w:history="1">
        <w:r>
          <w:rPr>
            <w:rFonts w:ascii="arial" w:eastAsia="arial" w:hAnsi="arial" w:cs="arial"/>
            <w:b w:val="0"/>
            <w:i/>
            <w:strike w:val="0"/>
            <w:noProof w:val="0"/>
            <w:color w:val="0077CC"/>
            <w:position w:val="0"/>
            <w:sz w:val="20"/>
            <w:u w:val="single"/>
            <w:vertAlign w:val="baseline"/>
          </w:rPr>
          <w:t>, 75 A.D.2d 793, 428 N.Y.S.2d 256, 257 (App. Div. 1980)</w:t>
        </w:r>
      </w:hyperlink>
      <w:r>
        <w:rPr>
          <w:rFonts w:ascii="arial" w:eastAsia="arial" w:hAnsi="arial" w:cs="arial"/>
          <w:b w:val="0"/>
          <w:i w:val="0"/>
          <w:strike w:val="0"/>
          <w:noProof w:val="0"/>
          <w:color w:val="000000"/>
          <w:position w:val="0"/>
          <w:sz w:val="20"/>
          <w:u w:val="none"/>
          <w:vertAlign w:val="baseline"/>
        </w:rPr>
        <w:t>). The Court found no similar restrictions in the historical record New York had offered. It found governments historically had "limited the intent</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for which one could carry arms, the manner by which one carried arms, or the exceptional circumstances under which one could not carry arms."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With the exceptions of a few "outliers," the Court determined the record included neither broad prohibitions on "the public carry of commonly used firearms for personal defense" nor a demand for proof of a "special need."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04" w:name="Bookmark_para_42"/>
      <w:bookmarkEnd w:id="204"/>
      <w:bookmarkStart w:id="205" w:name="Bookmark_I6B11G1528T41G0020000400"/>
      <w:bookmarkEnd w:id="205"/>
      <w:r>
        <w:rPr>
          <w:rFonts w:ascii="arial" w:eastAsia="arial" w:hAnsi="arial" w:cs="arial"/>
          <w:b w:val="0"/>
          <w:i w:val="0"/>
          <w:strike w:val="0"/>
          <w:noProof w:val="0"/>
          <w:color w:val="000000"/>
          <w:position w:val="0"/>
          <w:sz w:val="20"/>
          <w:u w:val="none"/>
          <w:vertAlign w:val="baseline"/>
        </w:rPr>
        <w:t xml:space="preserve">The Supreme Court did not expect every case to be straightforward. </w:t>
      </w:r>
      <w:bookmarkStart w:id="206" w:name="Bookmark_I6B11G1528T41G0010000400"/>
      <w:bookmarkEnd w:id="206"/>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2134</w:t>
        </w:r>
      </w:hyperlink>
      <w:r>
        <w:rPr>
          <w:rFonts w:ascii="arial" w:eastAsia="arial" w:hAnsi="arial" w:cs="arial"/>
          <w:b w:val="0"/>
          <w:i w:val="0"/>
          <w:strike w:val="0"/>
          <w:noProof w:val="0"/>
          <w:color w:val="000000"/>
          <w:position w:val="0"/>
          <w:sz w:val="20"/>
          <w:u w:val="none"/>
          <w:vertAlign w:val="baseline"/>
        </w:rPr>
        <w:t xml:space="preserve">. </w:t>
      </w:r>
      <w:bookmarkStart w:id="207" w:name="Bookmark_I6B11G1528T41G0040000400"/>
      <w:bookmarkEnd w:id="207"/>
      <w:r>
        <w:rPr>
          <w:rFonts w:ascii="arial" w:eastAsia="arial" w:hAnsi="arial" w:cs="arial"/>
          <w:b w:val="0"/>
          <w:i w:val="0"/>
          <w:strike w:val="0"/>
          <w:noProof w:val="0"/>
          <w:color w:val="000000"/>
          <w:position w:val="0"/>
          <w:sz w:val="20"/>
          <w:u w:val="none"/>
          <w:vertAlign w:val="baseline"/>
        </w:rPr>
        <w:t xml:space="preserve">It anticipated many likely would be difficult. </w:t>
      </w:r>
      <w:bookmarkStart w:id="208" w:name="Bookmark_I6B11G1528T41G0040000400_2"/>
      <w:bookmarkEnd w:id="208"/>
      <w:bookmarkStart w:id="209" w:name="Bookmark_I6B11G152HM68N0010000400"/>
      <w:bookmarkEnd w:id="209"/>
      <w:r>
        <w:rPr>
          <w:rFonts w:ascii="arial" w:eastAsia="arial" w:hAnsi="arial" w:cs="arial"/>
          <w:b w:val="0"/>
          <w:i w:val="0"/>
          <w:strike w:val="0"/>
          <w:noProof w:val="0"/>
          <w:color w:val="000000"/>
          <w:position w:val="0"/>
          <w:sz w:val="20"/>
          <w:u w:val="none"/>
          <w:vertAlign w:val="baseline"/>
        </w:rPr>
        <w:t xml:space="preserve">For difficult cases, a more "nuanced approach" would be necessary. </w:t>
      </w:r>
      <w:bookmarkStart w:id="210" w:name="Bookmark_I6B11G1528T41G0030000400"/>
      <w:bookmarkEnd w:id="210"/>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2132</w:t>
        </w:r>
      </w:hyperlink>
      <w:r>
        <w:rPr>
          <w:rFonts w:ascii="arial" w:eastAsia="arial" w:hAnsi="arial" w:cs="arial"/>
          <w:b w:val="0"/>
          <w:i w:val="0"/>
          <w:strike w:val="0"/>
          <w:noProof w:val="0"/>
          <w:color w:val="000000"/>
          <w:position w:val="0"/>
          <w:sz w:val="20"/>
          <w:u w:val="none"/>
          <w:vertAlign w:val="baseline"/>
        </w:rPr>
        <w:t xml:space="preserve">. </w:t>
      </w:r>
      <w:bookmarkStart w:id="211" w:name="Bookmark_I6B11G152HM68N0010000400_2"/>
      <w:bookmarkEnd w:id="211"/>
      <w:bookmarkStart w:id="212" w:name="Bookmark_I6B11G152HM68N0030000400"/>
      <w:bookmarkEnd w:id="212"/>
      <w:r>
        <w:rPr>
          <w:rFonts w:ascii="arial" w:eastAsia="arial" w:hAnsi="arial" w:cs="arial"/>
          <w:b w:val="0"/>
          <w:i w:val="0"/>
          <w:strike w:val="0"/>
          <w:noProof w:val="0"/>
          <w:color w:val="000000"/>
          <w:position w:val="0"/>
          <w:sz w:val="20"/>
          <w:u w:val="none"/>
          <w:vertAlign w:val="baseline"/>
        </w:rPr>
        <w:t xml:space="preserve">The Supreme Court chose not to "provide an exhaustive survey of the features that render regulations relevantly similar under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but it offered "two metrics: how and why the regulations burden a law-abiding citizen's right to armed self24 defense." </w:t>
      </w:r>
      <w:bookmarkStart w:id="213" w:name="Bookmark_I6B11G1528T41G0050000400"/>
      <w:bookmarkEnd w:id="213"/>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2132-33</w:t>
        </w:r>
      </w:hyperlink>
      <w:r>
        <w:rPr>
          <w:rFonts w:ascii="arial" w:eastAsia="arial" w:hAnsi="arial" w:cs="arial"/>
          <w:b w:val="0"/>
          <w:i w:val="0"/>
          <w:strike w:val="0"/>
          <w:noProof w:val="0"/>
          <w:color w:val="000000"/>
          <w:position w:val="0"/>
          <w:sz w:val="20"/>
          <w:u w:val="none"/>
          <w:vertAlign w:val="baseline"/>
        </w:rPr>
        <w:t xml:space="preserve">. </w:t>
      </w:r>
      <w:bookmarkStart w:id="214" w:name="Bookmark_I6B11G152HM68N0030000400_2"/>
      <w:bookmarkEnd w:id="214"/>
      <w:r>
        <w:rPr>
          <w:rFonts w:ascii="arial" w:eastAsia="arial" w:hAnsi="arial" w:cs="arial"/>
          <w:b w:val="0"/>
          <w:i w:val="0"/>
          <w:strike w:val="0"/>
          <w:noProof w:val="0"/>
          <w:color w:val="000000"/>
          <w:position w:val="0"/>
          <w:sz w:val="20"/>
          <w:u w:val="none"/>
          <w:vertAlign w:val="baseline"/>
        </w:rPr>
        <w:t xml:space="preserve">That is, do modern and historical regulations "impose a comparable burden on the right of armed self-defense"? </w:t>
      </w:r>
      <w:bookmarkStart w:id="215" w:name="Bookmark_I6B11G152HM68N0020000400"/>
      <w:bookmarkEnd w:id="215"/>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2133</w:t>
        </w:r>
      </w:hyperlink>
      <w:r>
        <w:rPr>
          <w:rFonts w:ascii="arial" w:eastAsia="arial" w:hAnsi="arial" w:cs="arial"/>
          <w:b w:val="0"/>
          <w:i w:val="0"/>
          <w:strike w:val="0"/>
          <w:noProof w:val="0"/>
          <w:color w:val="000000"/>
          <w:position w:val="0"/>
          <w:sz w:val="20"/>
          <w:u w:val="none"/>
          <w:vertAlign w:val="baseline"/>
        </w:rPr>
        <w:t xml:space="preserve">. And is that burden "comparably justified"?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Beyond these "metrics," however, the Court could offer only generalities: it was not putting governments in a "straightjacket" and it was not giving governments a "blank check."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called for a "well-established and representative</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historical </w:t>
      </w:r>
      <w:r>
        <w:rPr>
          <w:rFonts w:ascii="arial" w:eastAsia="arial" w:hAnsi="arial" w:cs="arial"/>
          <w:b w:val="0"/>
          <w:i/>
          <w:strike w:val="0"/>
          <w:noProof w:val="0"/>
          <w:color w:val="000000"/>
          <w:position w:val="0"/>
          <w:sz w:val="20"/>
          <w:u w:val="none"/>
          <w:vertAlign w:val="baseline"/>
        </w:rPr>
        <w:t>analogue</w:t>
      </w:r>
      <w:r>
        <w:rPr>
          <w:rFonts w:ascii="arial" w:eastAsia="arial" w:hAnsi="arial" w:cs="arial"/>
          <w:b w:val="0"/>
          <w:i w:val="0"/>
          <w:strike w:val="0"/>
          <w:noProof w:val="0"/>
          <w:color w:val="000000"/>
          <w:position w:val="0"/>
          <w:sz w:val="20"/>
          <w:u w:val="none"/>
          <w:vertAlign w:val="baseline"/>
        </w:rPr>
        <w:t xml:space="preserve">, not a historical </w:t>
      </w:r>
      <w:r>
        <w:rPr>
          <w:rFonts w:ascii="arial" w:eastAsia="arial" w:hAnsi="arial" w:cs="arial"/>
          <w:b w:val="0"/>
          <w:i/>
          <w:strike w:val="0"/>
          <w:noProof w:val="0"/>
          <w:color w:val="000000"/>
          <w:position w:val="0"/>
          <w:sz w:val="20"/>
          <w:u w:val="none"/>
          <w:vertAlign w:val="baseline"/>
        </w:rPr>
        <w:t>twin</w:t>
      </w:r>
      <w:r>
        <w:rPr>
          <w:rFonts w:ascii="arial" w:eastAsia="arial" w:hAnsi="arial" w:cs="arial"/>
          <w:b w:val="0"/>
          <w:i w:val="0"/>
          <w:strike w:val="0"/>
          <w:noProof w:val="0"/>
          <w:color w:val="000000"/>
          <w:position w:val="0"/>
          <w:sz w:val="20"/>
          <w:u w:val="none"/>
          <w:vertAlign w:val="baseline"/>
        </w:rPr>
        <w:t xml:space="preserve">," not a "dead ringer."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in original).</w:t>
      </w:r>
    </w:p>
    <w:p>
      <w:pPr>
        <w:keepNext w:val="0"/>
        <w:spacing w:before="240" w:after="0" w:line="260" w:lineRule="atLeast"/>
        <w:ind w:left="0" w:right="0" w:firstLine="0"/>
        <w:jc w:val="both"/>
      </w:pPr>
      <w:bookmarkStart w:id="216" w:name="Bookmark_para_43"/>
      <w:bookmarkEnd w:id="216"/>
      <w:bookmarkStart w:id="217" w:name="Bookmark_I6B11G152HM68N0050000400"/>
      <w:bookmarkEnd w:id="217"/>
      <w:r>
        <w:rPr>
          <w:rFonts w:ascii="arial" w:eastAsia="arial" w:hAnsi="arial" w:cs="arial"/>
          <w:b w:val="0"/>
          <w:i w:val="0"/>
          <w:strike w:val="0"/>
          <w:noProof w:val="0"/>
          <w:color w:val="000000"/>
          <w:position w:val="0"/>
          <w:sz w:val="20"/>
          <w:u w:val="none"/>
          <w:vertAlign w:val="baseline"/>
        </w:rPr>
        <w:t xml:space="preserve">Not surprisingly, lower courts have not understood the Court's guidance consistently. </w:t>
      </w:r>
      <w:bookmarkStart w:id="218" w:name="Bookmark_I6B11G152D6NK90020000400"/>
      <w:bookmarkEnd w:id="218"/>
      <w:r>
        <w:rPr>
          <w:rFonts w:ascii="arial" w:eastAsia="arial" w:hAnsi="arial" w:cs="arial"/>
          <w:b w:val="0"/>
          <w:i w:val="0"/>
          <w:strike w:val="0"/>
          <w:noProof w:val="0"/>
          <w:color w:val="000000"/>
          <w:position w:val="0"/>
          <w:sz w:val="20"/>
          <w:u w:val="none"/>
          <w:vertAlign w:val="baseline"/>
        </w:rPr>
        <w:t xml:space="preserve">To some, the test is quite strict. </w:t>
      </w:r>
      <w:bookmarkStart w:id="219" w:name="Bookmark_I6B11G152D6NK90040000400"/>
      <w:bookmarkEnd w:id="219"/>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Teter v. Lopez</w:t>
      </w:r>
      <w:r>
        <w:rPr>
          <w:rFonts w:ascii="arial" w:eastAsia="arial" w:hAnsi="arial" w:cs="arial"/>
          <w:b w:val="0"/>
          <w:i w:val="0"/>
          <w:strike w:val="0"/>
          <w:noProof w:val="0"/>
          <w:color w:val="000000"/>
          <w:position w:val="0"/>
          <w:sz w:val="20"/>
          <w:u w:val="none"/>
          <w:vertAlign w:val="baseline"/>
        </w:rPr>
        <w:t xml:space="preserve">, for example, the plaintiffs challenged Hawaii's ban on butterfly knives. </w:t>
      </w:r>
      <w:bookmarkStart w:id="220" w:name="Bookmark_I6B11G152HM68N0040000400"/>
      <w:bookmarkEnd w:id="220"/>
      <w:hyperlink r:id="rId51" w:history="1">
        <w:r>
          <w:rPr>
            <w:rFonts w:ascii="arial" w:eastAsia="arial" w:hAnsi="arial" w:cs="arial"/>
            <w:b w:val="0"/>
            <w:i/>
            <w:strike w:val="0"/>
            <w:noProof w:val="0"/>
            <w:color w:val="0077CC"/>
            <w:position w:val="0"/>
            <w:sz w:val="20"/>
            <w:u w:val="single"/>
            <w:vertAlign w:val="baseline"/>
          </w:rPr>
          <w:t>76 F.4th 938 (9th Cir. 2023)</w:t>
        </w:r>
      </w:hyperlink>
      <w:r>
        <w:rPr>
          <w:rFonts w:ascii="arial" w:eastAsia="arial" w:hAnsi="arial" w:cs="arial"/>
          <w:b w:val="0"/>
          <w:i w:val="0"/>
          <w:strike w:val="0"/>
          <w:noProof w:val="0"/>
          <w:color w:val="000000"/>
          <w:position w:val="0"/>
          <w:sz w:val="20"/>
          <w:u w:val="none"/>
          <w:vertAlign w:val="baseline"/>
        </w:rPr>
        <w:t xml:space="preserve">. </w:t>
      </w:r>
      <w:bookmarkStart w:id="221" w:name="Bookmark_I6B11G152D6NK90040000400_2"/>
      <w:bookmarkEnd w:id="221"/>
      <w:bookmarkStart w:id="222" w:name="Bookmark_I6B11G152D6NK90020000400_2"/>
      <w:bookmarkEnd w:id="222"/>
      <w:r>
        <w:rPr>
          <w:rFonts w:ascii="arial" w:eastAsia="arial" w:hAnsi="arial" w:cs="arial"/>
          <w:b w:val="0"/>
          <w:i w:val="0"/>
          <w:strike w:val="0"/>
          <w:noProof w:val="0"/>
          <w:color w:val="000000"/>
          <w:position w:val="0"/>
          <w:sz w:val="20"/>
          <w:u w:val="none"/>
          <w:vertAlign w:val="baseline"/>
        </w:rPr>
        <w:t xml:space="preserve">The state cited historical laws banning everything from "Bowie knives" and "Arkansas Toothpicks" to "sling shots" and "sword-canes." </w:t>
      </w:r>
      <w:r>
        <w:rPr>
          <w:rFonts w:ascii="arial" w:eastAsia="arial" w:hAnsi="arial" w:cs="arial"/>
          <w:b w:val="0"/>
          <w:i/>
          <w:strike w:val="0"/>
          <w:noProof w:val="0"/>
          <w:color w:val="000000"/>
          <w:position w:val="0"/>
          <w:sz w:val="20"/>
          <w:u w:val="none"/>
          <w:vertAlign w:val="baseline"/>
        </w:rPr>
        <w:t xml:space="preserve">See </w:t>
      </w:r>
      <w:bookmarkStart w:id="223" w:name="Bookmark_I6B11G152D6NK90010000400"/>
      <w:bookmarkEnd w:id="223"/>
      <w:hyperlink r:id="rId51" w:history="1">
        <w:r>
          <w:rPr>
            <w:rFonts w:ascii="arial" w:eastAsia="arial" w:hAnsi="arial" w:cs="arial"/>
            <w:b w:val="0"/>
            <w:i/>
            <w:strike w:val="0"/>
            <w:noProof w:val="0"/>
            <w:color w:val="0077CC"/>
            <w:position w:val="0"/>
            <w:sz w:val="20"/>
            <w:u w:val="single"/>
            <w:vertAlign w:val="baseline"/>
          </w:rPr>
          <w:t>id.</w:t>
        </w:r>
      </w:hyperlink>
      <w:hyperlink r:id="rId51" w:history="1">
        <w:r>
          <w:rPr>
            <w:rFonts w:ascii="arial" w:eastAsia="arial" w:hAnsi="arial" w:cs="arial"/>
            <w:b w:val="0"/>
            <w:i/>
            <w:strike w:val="0"/>
            <w:noProof w:val="0"/>
            <w:color w:val="0077CC"/>
            <w:position w:val="0"/>
            <w:sz w:val="20"/>
            <w:u w:val="single"/>
            <w:vertAlign w:val="baseline"/>
          </w:rPr>
          <w:t xml:space="preserve"> at 951-52</w:t>
        </w:r>
      </w:hyperlink>
      <w:r>
        <w:rPr>
          <w:rFonts w:ascii="arial" w:eastAsia="arial" w:hAnsi="arial" w:cs="arial"/>
          <w:b w:val="0"/>
          <w:i w:val="0"/>
          <w:strike w:val="0"/>
          <w:noProof w:val="0"/>
          <w:color w:val="000000"/>
          <w:position w:val="0"/>
          <w:sz w:val="20"/>
          <w:u w:val="none"/>
          <w:vertAlign w:val="baseline"/>
        </w:rPr>
        <w:t xml:space="preserve">. A Georgia statute passed in 1837, for example, prohibited Bowie knives and "any other kind of knives." </w:t>
      </w:r>
      <w:bookmarkStart w:id="224" w:name="Bookmark_I6B11G152D6NK90030000400"/>
      <w:bookmarkEnd w:id="224"/>
      <w:hyperlink r:id="rId51" w:history="1">
        <w:r>
          <w:rPr>
            <w:rFonts w:ascii="arial" w:eastAsia="arial" w:hAnsi="arial" w:cs="arial"/>
            <w:b w:val="0"/>
            <w:i/>
            <w:strike w:val="0"/>
            <w:noProof w:val="0"/>
            <w:color w:val="0077CC"/>
            <w:position w:val="0"/>
            <w:sz w:val="20"/>
            <w:u w:val="single"/>
            <w:vertAlign w:val="baseline"/>
          </w:rPr>
          <w:t>Id.</w:t>
        </w:r>
      </w:hyperlink>
      <w:hyperlink r:id="rId51" w:history="1">
        <w:r>
          <w:rPr>
            <w:rFonts w:ascii="arial" w:eastAsia="arial" w:hAnsi="arial" w:cs="arial"/>
            <w:b w:val="0"/>
            <w:i/>
            <w:strike w:val="0"/>
            <w:noProof w:val="0"/>
            <w:color w:val="0077CC"/>
            <w:position w:val="0"/>
            <w:sz w:val="20"/>
            <w:u w:val="single"/>
            <w:vertAlign w:val="baseline"/>
          </w:rPr>
          <w:t xml:space="preserve"> at 952</w:t>
        </w:r>
      </w:hyperlink>
      <w:r>
        <w:rPr>
          <w:rFonts w:ascii="arial" w:eastAsia="arial" w:hAnsi="arial" w:cs="arial"/>
          <w:b w:val="0"/>
          <w:i w:val="0"/>
          <w:strike w:val="0"/>
          <w:noProof w:val="0"/>
          <w:color w:val="000000"/>
          <w:position w:val="0"/>
          <w:sz w:val="20"/>
          <w:u w:val="none"/>
          <w:vertAlign w:val="baseline"/>
        </w:rPr>
        <w:t xml:space="preserve">. </w:t>
      </w:r>
      <w:bookmarkStart w:id="225" w:name="Bookmark_I6B11G1528T41J0010000400"/>
      <w:bookmarkEnd w:id="225"/>
      <w:r>
        <w:rPr>
          <w:rFonts w:ascii="arial" w:eastAsia="arial" w:hAnsi="arial" w:cs="arial"/>
          <w:b w:val="0"/>
          <w:i w:val="0"/>
          <w:strike w:val="0"/>
          <w:noProof w:val="0"/>
          <w:color w:val="000000"/>
          <w:position w:val="0"/>
          <w:sz w:val="20"/>
          <w:u w:val="none"/>
          <w:vertAlign w:val="baseline"/>
        </w:rPr>
        <w:t xml:space="preserve">But the Ninth Circuit held these laws were not analogous to Hawaii's statute. Most prohibited only the concealed carrying of these knives, none regulated butterfly knives in particular, and few targeted small knives in particular. </w:t>
      </w:r>
      <w:bookmarkStart w:id="226" w:name="Bookmark_I6B11G1528T41J0030000400"/>
      <w:bookmarkEnd w:id="226"/>
      <w:r>
        <w:rPr>
          <w:rFonts w:ascii="arial" w:eastAsia="arial" w:hAnsi="arial" w:cs="arial"/>
          <w:b w:val="0"/>
          <w:i/>
          <w:strike w:val="0"/>
          <w:noProof w:val="0"/>
          <w:color w:val="000000"/>
          <w:position w:val="0"/>
          <w:sz w:val="20"/>
          <w:u w:val="none"/>
          <w:vertAlign w:val="baseline"/>
        </w:rPr>
        <w:t xml:space="preserve">See </w:t>
      </w:r>
      <w:bookmarkStart w:id="227" w:name="Bookmark_I6B11G152D6NK90050000400"/>
      <w:bookmarkEnd w:id="227"/>
      <w:hyperlink r:id="rId51" w:history="1">
        <w:r>
          <w:rPr>
            <w:rFonts w:ascii="arial" w:eastAsia="arial" w:hAnsi="arial" w:cs="arial"/>
            <w:b w:val="0"/>
            <w:i/>
            <w:strike w:val="0"/>
            <w:noProof w:val="0"/>
            <w:color w:val="0077CC"/>
            <w:position w:val="0"/>
            <w:sz w:val="20"/>
            <w:u w:val="single"/>
            <w:vertAlign w:val="baseline"/>
          </w:rPr>
          <w:t>id.</w:t>
        </w:r>
      </w:hyperlink>
      <w:hyperlink r:id="rId51" w:history="1">
        <w:r>
          <w:rPr>
            <w:rFonts w:ascii="arial" w:eastAsia="arial" w:hAnsi="arial" w:cs="arial"/>
            <w:b w:val="0"/>
            <w:i/>
            <w:strike w:val="0"/>
            <w:noProof w:val="0"/>
            <w:color w:val="0077CC"/>
            <w:position w:val="0"/>
            <w:sz w:val="20"/>
            <w:u w:val="single"/>
            <w:vertAlign w:val="baseline"/>
          </w:rPr>
          <w:t xml:space="preserve"> at 953</w:t>
        </w:r>
      </w:hyperlink>
      <w:r>
        <w:rPr>
          <w:rFonts w:ascii="arial" w:eastAsia="arial" w:hAnsi="arial" w:cs="arial"/>
          <w:b w:val="0"/>
          <w:i w:val="0"/>
          <w:strike w:val="0"/>
          <w:noProof w:val="0"/>
          <w:color w:val="000000"/>
          <w:position w:val="0"/>
          <w:sz w:val="20"/>
          <w:u w:val="none"/>
          <w:vertAlign w:val="baseline"/>
        </w:rPr>
        <w:t xml:space="preserve">. </w:t>
      </w:r>
      <w:bookmarkStart w:id="228" w:name="Bookmark_I6B11G1528T41J0030000400_2"/>
      <w:bookmarkEnd w:id="228"/>
      <w:r>
        <w:rPr>
          <w:rFonts w:ascii="arial" w:eastAsia="arial" w:hAnsi="arial" w:cs="arial"/>
          <w:b w:val="0"/>
          <w:i w:val="0"/>
          <w:strike w:val="0"/>
          <w:noProof w:val="0"/>
          <w:color w:val="000000"/>
          <w:position w:val="0"/>
          <w:sz w:val="20"/>
          <w:u w:val="none"/>
          <w:vertAlign w:val="baseline"/>
        </w:rPr>
        <w:t xml:space="preserve">The circuit thus reversed the district court's decision granting summary judgment to the state. </w:t>
      </w:r>
      <w:r>
        <w:rPr>
          <w:rFonts w:ascii="arial" w:eastAsia="arial" w:hAnsi="arial" w:cs="arial"/>
          <w:b w:val="0"/>
          <w:i/>
          <w:strike w:val="0"/>
          <w:noProof w:val="0"/>
          <w:color w:val="000000"/>
          <w:position w:val="0"/>
          <w:sz w:val="20"/>
          <w:u w:val="none"/>
          <w:vertAlign w:val="baseline"/>
        </w:rPr>
        <w:t xml:space="preserve">See </w:t>
      </w:r>
      <w:bookmarkStart w:id="229" w:name="Bookmark_I6B11G1528T41J0020000400"/>
      <w:bookmarkEnd w:id="229"/>
      <w:hyperlink r:id="rId51" w:history="1">
        <w:r>
          <w:rPr>
            <w:rFonts w:ascii="arial" w:eastAsia="arial" w:hAnsi="arial" w:cs="arial"/>
            <w:b w:val="0"/>
            <w:i/>
            <w:strike w:val="0"/>
            <w:noProof w:val="0"/>
            <w:color w:val="0077CC"/>
            <w:position w:val="0"/>
            <w:sz w:val="20"/>
            <w:u w:val="single"/>
            <w:vertAlign w:val="baseline"/>
          </w:rPr>
          <w:t>id.</w:t>
        </w:r>
      </w:hyperlink>
      <w:hyperlink r:id="rId51" w:history="1">
        <w:r>
          <w:rPr>
            <w:rFonts w:ascii="arial" w:eastAsia="arial" w:hAnsi="arial" w:cs="arial"/>
            <w:b w:val="0"/>
            <w:i/>
            <w:strike w:val="0"/>
            <w:noProof w:val="0"/>
            <w:color w:val="0077CC"/>
            <w:position w:val="0"/>
            <w:sz w:val="20"/>
            <w:u w:val="single"/>
            <w:vertAlign w:val="baseline"/>
          </w:rPr>
          <w:t xml:space="preserve"> at 954-55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0" w:name="Bookmark_para_44"/>
      <w:bookmarkEnd w:id="230"/>
      <w:bookmarkStart w:id="231" w:name="Bookmark_I6B11G1528T41J0050000400"/>
      <w:bookmarkEnd w:id="231"/>
      <w:bookmarkStart w:id="232" w:name="Bookmark_I6B11G152SF7R00020000400"/>
      <w:bookmarkEnd w:id="232"/>
      <w:r>
        <w:rPr>
          <w:rFonts w:ascii="arial" w:eastAsia="arial" w:hAnsi="arial" w:cs="arial"/>
          <w:b w:val="0"/>
          <w:i w:val="0"/>
          <w:strike w:val="0"/>
          <w:noProof w:val="0"/>
          <w:color w:val="000000"/>
          <w:position w:val="0"/>
          <w:sz w:val="20"/>
          <w:u w:val="none"/>
          <w:vertAlign w:val="baseline"/>
        </w:rPr>
        <w:t xml:space="preserve">The Fifth Circuit's decision in </w:t>
      </w:r>
      <w:r>
        <w:rPr>
          <w:rFonts w:ascii="arial" w:eastAsia="arial" w:hAnsi="arial" w:cs="arial"/>
          <w:b w:val="0"/>
          <w:i/>
          <w:strike w:val="0"/>
          <w:noProof w:val="0"/>
          <w:color w:val="000000"/>
          <w:position w:val="0"/>
          <w:sz w:val="20"/>
          <w:u w:val="none"/>
          <w:vertAlign w:val="baseline"/>
        </w:rPr>
        <w:t>United States v. Rahimi</w:t>
      </w:r>
      <w:r>
        <w:rPr>
          <w:rFonts w:ascii="arial" w:eastAsia="arial" w:hAnsi="arial" w:cs="arial"/>
          <w:b w:val="0"/>
          <w:i w:val="0"/>
          <w:strike w:val="0"/>
          <w:noProof w:val="0"/>
          <w:color w:val="000000"/>
          <w:position w:val="0"/>
          <w:sz w:val="20"/>
          <w:u w:val="none"/>
          <w:vertAlign w:val="baseline"/>
        </w:rPr>
        <w:t xml:space="preserve"> similarly applied a strict test.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w:t>
      </w:r>
      <w:bookmarkStart w:id="233" w:name="Bookmark_I6B11G1528T41J0040000400"/>
      <w:bookmarkEnd w:id="233"/>
      <w:hyperlink r:id="rId52" w:history="1">
        <w:r>
          <w:rPr>
            <w:rFonts w:ascii="arial" w:eastAsia="arial" w:hAnsi="arial" w:cs="arial"/>
            <w:b w:val="0"/>
            <w:i/>
            <w:strike w:val="0"/>
            <w:noProof w:val="0"/>
            <w:color w:val="0077CC"/>
            <w:position w:val="0"/>
            <w:sz w:val="20"/>
            <w:u w:val="single"/>
            <w:vertAlign w:val="baseline"/>
          </w:rPr>
          <w:t>61 F.4th 443 (5th Cir.)</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granted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143 S. Ct. 2688, 216 L. Ed. 2d 1255 (2023)</w:t>
      </w:r>
      <w:r>
        <w:rPr>
          <w:rFonts w:ascii="arial" w:eastAsia="arial" w:hAnsi="arial" w:cs="arial"/>
          <w:b w:val="0"/>
          <w:i w:val="0"/>
          <w:strike w:val="0"/>
          <w:noProof w:val="0"/>
          <w:color w:val="000000"/>
          <w:position w:val="0"/>
          <w:sz w:val="20"/>
          <w:u w:val="none"/>
          <w:vertAlign w:val="baseline"/>
        </w:rPr>
        <w:t xml:space="preserve">. The defendant had been charged with possessing a handgun in violation of </w:t>
      </w:r>
      <w:hyperlink r:id="rId53" w:history="1">
        <w:r>
          <w:rPr>
            <w:rFonts w:ascii="arial" w:eastAsia="arial" w:hAnsi="arial" w:cs="arial"/>
            <w:b w:val="0"/>
            <w:i/>
            <w:strike w:val="0"/>
            <w:noProof w:val="0"/>
            <w:color w:val="0077CC"/>
            <w:position w:val="0"/>
            <w:sz w:val="20"/>
            <w:u w:val="single"/>
            <w:vertAlign w:val="baseline"/>
          </w:rPr>
          <w:t>18 U.S.C. § 922(g)(8)</w:t>
        </w:r>
      </w:hyperlink>
      <w:r>
        <w:rPr>
          <w:rFonts w:ascii="arial" w:eastAsia="arial" w:hAnsi="arial" w:cs="arial"/>
          <w:b w:val="0"/>
          <w:i w:val="0"/>
          <w:strike w:val="0"/>
          <w:noProof w:val="0"/>
          <w:color w:val="000000"/>
          <w:position w:val="0"/>
          <w:sz w:val="20"/>
          <w:u w:val="none"/>
          <w:vertAlign w:val="baseline"/>
        </w:rPr>
        <w:t>, which makes it unlawful for a person to possess a firearm or ammunition if that person previously was subject to</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i w:val="0"/>
          <w:strike w:val="0"/>
          <w:noProof w:val="0"/>
          <w:color w:val="000000"/>
          <w:position w:val="0"/>
          <w:sz w:val="20"/>
          <w:u w:val="none"/>
          <w:vertAlign w:val="baseline"/>
        </w:rPr>
        <w:t> [*1106] </w:t>
      </w:r>
      <w:r>
        <w:rPr>
          <w:rFonts w:ascii="arial" w:eastAsia="arial" w:hAnsi="arial" w:cs="arial"/>
          <w:b w:val="0"/>
          <w:i w:val="0"/>
          <w:strike w:val="0"/>
          <w:noProof w:val="0"/>
          <w:color w:val="000000"/>
          <w:position w:val="0"/>
          <w:sz w:val="20"/>
          <w:u w:val="none"/>
          <w:vertAlign w:val="baseline"/>
        </w:rPr>
        <w:t xml:space="preserve"> domestic violence restraining order.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34" w:name="Bookmark_I6B11G152SF7R00010000400"/>
      <w:bookmarkEnd w:id="234"/>
      <w:hyperlink r:id="rId52" w:history="1">
        <w:r>
          <w:rPr>
            <w:rFonts w:ascii="arial" w:eastAsia="arial" w:hAnsi="arial" w:cs="arial"/>
            <w:b w:val="0"/>
            <w:i/>
            <w:strike w:val="0"/>
            <w:noProof w:val="0"/>
            <w:color w:val="0077CC"/>
            <w:position w:val="0"/>
            <w:sz w:val="20"/>
            <w:u w:val="single"/>
            <w:vertAlign w:val="baseline"/>
          </w:rPr>
          <w:t>61 F.4th at 449</w:t>
        </w:r>
      </w:hyperlink>
      <w:r>
        <w:rPr>
          <w:rFonts w:ascii="arial" w:eastAsia="arial" w:hAnsi="arial" w:cs="arial"/>
          <w:b w:val="0"/>
          <w:i w:val="0"/>
          <w:strike w:val="0"/>
          <w:noProof w:val="0"/>
          <w:color w:val="000000"/>
          <w:position w:val="0"/>
          <w:sz w:val="20"/>
          <w:u w:val="none"/>
          <w:vertAlign w:val="baseline"/>
        </w:rPr>
        <w:t xml:space="preserve">. </w:t>
      </w:r>
      <w:bookmarkStart w:id="235" w:name="Bookmark_I6B11G152SF7R00040000400"/>
      <w:bookmarkEnd w:id="235"/>
      <w:r>
        <w:rPr>
          <w:rFonts w:ascii="arial" w:eastAsia="arial" w:hAnsi="arial" w:cs="arial"/>
          <w:b w:val="0"/>
          <w:i w:val="0"/>
          <w:strike w:val="0"/>
          <w:noProof w:val="0"/>
          <w:color w:val="000000"/>
          <w:position w:val="0"/>
          <w:sz w:val="20"/>
          <w:u w:val="none"/>
          <w:vertAlign w:val="baseline"/>
        </w:rPr>
        <w:t xml:space="preserve">The defendant argued this prohibition was unconstitutional.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In response, the government cited several "surety" laws, which several colonies codified from the common law tradition at about the time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was ratified. </w:t>
      </w:r>
      <w:bookmarkStart w:id="236" w:name="Bookmark_I6B11G152N1RCN0010000400"/>
      <w:bookmarkEnd w:id="236"/>
      <w:r>
        <w:rPr>
          <w:rFonts w:ascii="arial" w:eastAsia="arial" w:hAnsi="arial" w:cs="arial"/>
          <w:b w:val="0"/>
          <w:i/>
          <w:strike w:val="0"/>
          <w:noProof w:val="0"/>
          <w:color w:val="000000"/>
          <w:position w:val="0"/>
          <w:sz w:val="20"/>
          <w:u w:val="none"/>
          <w:vertAlign w:val="baseline"/>
        </w:rPr>
        <w:t xml:space="preserve">See </w:t>
      </w:r>
      <w:bookmarkStart w:id="237" w:name="Bookmark_I6B11G152SF7R00030000400"/>
      <w:bookmarkEnd w:id="237"/>
      <w:hyperlink r:id="rId52" w:history="1">
        <w:r>
          <w:rPr>
            <w:rFonts w:ascii="arial" w:eastAsia="arial" w:hAnsi="arial" w:cs="arial"/>
            <w:b w:val="0"/>
            <w:i/>
            <w:strike w:val="0"/>
            <w:noProof w:val="0"/>
            <w:color w:val="0077CC"/>
            <w:position w:val="0"/>
            <w:sz w:val="20"/>
            <w:u w:val="single"/>
            <w:vertAlign w:val="baseline"/>
          </w:rPr>
          <w:t>id.</w:t>
        </w:r>
      </w:hyperlink>
      <w:hyperlink r:id="rId52" w:history="1">
        <w:r>
          <w:rPr>
            <w:rFonts w:ascii="arial" w:eastAsia="arial" w:hAnsi="arial" w:cs="arial"/>
            <w:b w:val="0"/>
            <w:i/>
            <w:strike w:val="0"/>
            <w:noProof w:val="0"/>
            <w:color w:val="0077CC"/>
            <w:position w:val="0"/>
            <w:sz w:val="20"/>
            <w:u w:val="single"/>
            <w:vertAlign w:val="baseline"/>
          </w:rPr>
          <w:t xml:space="preserve"> at 459-60</w:t>
        </w:r>
      </w:hyperlink>
      <w:r>
        <w:rPr>
          <w:rFonts w:ascii="arial" w:eastAsia="arial" w:hAnsi="arial" w:cs="arial"/>
          <w:b w:val="0"/>
          <w:i w:val="0"/>
          <w:strike w:val="0"/>
          <w:noProof w:val="0"/>
          <w:color w:val="000000"/>
          <w:position w:val="0"/>
          <w:sz w:val="20"/>
          <w:u w:val="none"/>
          <w:vertAlign w:val="baseline"/>
        </w:rPr>
        <w:t xml:space="preserve">. </w:t>
      </w:r>
      <w:bookmarkStart w:id="238" w:name="Bookmark_I6B11G152N1RCN0010000400_2"/>
      <w:bookmarkEnd w:id="238"/>
      <w:r>
        <w:rPr>
          <w:rFonts w:ascii="arial" w:eastAsia="arial" w:hAnsi="arial" w:cs="arial"/>
          <w:b w:val="0"/>
          <w:i w:val="0"/>
          <w:strike w:val="0"/>
          <w:noProof w:val="0"/>
          <w:color w:val="000000"/>
          <w:position w:val="0"/>
          <w:sz w:val="20"/>
          <w:u w:val="none"/>
          <w:vertAlign w:val="baseline"/>
        </w:rPr>
        <w:t xml:space="preserve">A person could "demand surety" from another based on suspicion a crime was intended or likely. </w:t>
      </w:r>
      <w:bookmarkStart w:id="239" w:name="Bookmark_I6B11G152N1RCN0030000400"/>
      <w:bookmarkEnd w:id="239"/>
      <w:bookmarkStart w:id="240" w:name="Bookmark_I6B11G152SF7R00050000400"/>
      <w:bookmarkEnd w:id="240"/>
      <w:hyperlink r:id="rId52" w:history="1">
        <w:r>
          <w:rPr>
            <w:rFonts w:ascii="arial" w:eastAsia="arial" w:hAnsi="arial" w:cs="arial"/>
            <w:b w:val="0"/>
            <w:i/>
            <w:strike w:val="0"/>
            <w:noProof w:val="0"/>
            <w:color w:val="0077CC"/>
            <w:position w:val="0"/>
            <w:sz w:val="20"/>
            <w:u w:val="single"/>
            <w:vertAlign w:val="baseline"/>
          </w:rPr>
          <w:t>Id.</w:t>
        </w:r>
      </w:hyperlink>
      <w:hyperlink r:id="rId52" w:history="1">
        <w:r>
          <w:rPr>
            <w:rFonts w:ascii="arial" w:eastAsia="arial" w:hAnsi="arial" w:cs="arial"/>
            <w:b w:val="0"/>
            <w:i/>
            <w:strike w:val="0"/>
            <w:noProof w:val="0"/>
            <w:color w:val="0077CC"/>
            <w:position w:val="0"/>
            <w:sz w:val="20"/>
            <w:u w:val="single"/>
            <w:vertAlign w:val="baseline"/>
          </w:rPr>
          <w:t xml:space="preserve"> at 459</w:t>
        </w:r>
      </w:hyperlink>
      <w:r>
        <w:rPr>
          <w:rFonts w:ascii="arial" w:eastAsia="arial" w:hAnsi="arial" w:cs="arial"/>
          <w:b w:val="0"/>
          <w:i w:val="0"/>
          <w:strike w:val="0"/>
          <w:noProof w:val="0"/>
          <w:color w:val="000000"/>
          <w:position w:val="0"/>
          <w:sz w:val="20"/>
          <w:u w:val="none"/>
          <w:vertAlign w:val="baseline"/>
        </w:rPr>
        <w:t xml:space="preserve">. </w:t>
      </w:r>
      <w:bookmarkStart w:id="241" w:name="Bookmark_I6B11G152N1RCN0030000400_2"/>
      <w:bookmarkEnd w:id="241"/>
      <w:r>
        <w:rPr>
          <w:rFonts w:ascii="arial" w:eastAsia="arial" w:hAnsi="arial" w:cs="arial"/>
          <w:b w:val="0"/>
          <w:i w:val="0"/>
          <w:strike w:val="0"/>
          <w:noProof w:val="0"/>
          <w:color w:val="000000"/>
          <w:position w:val="0"/>
          <w:sz w:val="20"/>
          <w:u w:val="none"/>
          <w:vertAlign w:val="baseline"/>
        </w:rPr>
        <w:t xml:space="preserve">If that second person did not post a bond, they could not carry a weapon in public absent a special need.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Fifth Circuit agreed the surety laws were passed for reasons very much like those that motivated </w:t>
      </w:r>
      <w:hyperlink r:id="rId53" w:history="1">
        <w:r>
          <w:rPr>
            <w:rFonts w:ascii="arial" w:eastAsia="arial" w:hAnsi="arial" w:cs="arial"/>
            <w:b w:val="0"/>
            <w:i/>
            <w:strike w:val="0"/>
            <w:noProof w:val="0"/>
            <w:color w:val="0077CC"/>
            <w:position w:val="0"/>
            <w:sz w:val="20"/>
            <w:u w:val="single"/>
            <w:vertAlign w:val="baseline"/>
          </w:rPr>
          <w:t>§ 922(g)(8)</w:t>
        </w:r>
      </w:hyperlink>
      <w:r>
        <w:rPr>
          <w:rFonts w:ascii="arial" w:eastAsia="arial" w:hAnsi="arial" w:cs="arial"/>
          <w:b w:val="0"/>
          <w:i w:val="0"/>
          <w:strike w:val="0"/>
          <w:noProof w:val="0"/>
          <w:color w:val="000000"/>
          <w:position w:val="0"/>
          <w:sz w:val="20"/>
          <w:u w:val="none"/>
          <w:vertAlign w:val="baseline"/>
        </w:rPr>
        <w:t xml:space="preserve">: protecting specific people from harm by others. </w:t>
      </w:r>
      <w:bookmarkStart w:id="242" w:name="Bookmark_I6B11G152N1RCN0050000400"/>
      <w:bookmarkEnd w:id="242"/>
      <w:r>
        <w:rPr>
          <w:rFonts w:ascii="arial" w:eastAsia="arial" w:hAnsi="arial" w:cs="arial"/>
          <w:b w:val="0"/>
          <w:i/>
          <w:strike w:val="0"/>
          <w:noProof w:val="0"/>
          <w:color w:val="000000"/>
          <w:position w:val="0"/>
          <w:sz w:val="20"/>
          <w:u w:val="none"/>
          <w:vertAlign w:val="baseline"/>
        </w:rPr>
        <w:t xml:space="preserve">See </w:t>
      </w:r>
      <w:bookmarkStart w:id="243" w:name="Bookmark_I6B11G152N1RCN0020000400"/>
      <w:bookmarkEnd w:id="243"/>
      <w:hyperlink r:id="rId52" w:history="1">
        <w:r>
          <w:rPr>
            <w:rFonts w:ascii="arial" w:eastAsia="arial" w:hAnsi="arial" w:cs="arial"/>
            <w:b w:val="0"/>
            <w:i/>
            <w:strike w:val="0"/>
            <w:noProof w:val="0"/>
            <w:color w:val="0077CC"/>
            <w:position w:val="0"/>
            <w:sz w:val="20"/>
            <w:u w:val="single"/>
            <w:vertAlign w:val="baseline"/>
          </w:rPr>
          <w:t>id.</w:t>
        </w:r>
      </w:hyperlink>
      <w:hyperlink r:id="rId52" w:history="1">
        <w:r>
          <w:rPr>
            <w:rFonts w:ascii="arial" w:eastAsia="arial" w:hAnsi="arial" w:cs="arial"/>
            <w:b w:val="0"/>
            <w:i/>
            <w:strike w:val="0"/>
            <w:noProof w:val="0"/>
            <w:color w:val="0077CC"/>
            <w:position w:val="0"/>
            <w:sz w:val="20"/>
            <w:u w:val="single"/>
            <w:vertAlign w:val="baseline"/>
          </w:rPr>
          <w:t xml:space="preserve"> at 459-60</w:t>
        </w:r>
      </w:hyperlink>
      <w:r>
        <w:rPr>
          <w:rFonts w:ascii="arial" w:eastAsia="arial" w:hAnsi="arial" w:cs="arial"/>
          <w:b w:val="0"/>
          <w:i w:val="0"/>
          <w:strike w:val="0"/>
          <w:noProof w:val="0"/>
          <w:color w:val="000000"/>
          <w:position w:val="0"/>
          <w:sz w:val="20"/>
          <w:u w:val="none"/>
          <w:vertAlign w:val="baseline"/>
        </w:rPr>
        <w:t xml:space="preserve">. </w:t>
      </w:r>
      <w:bookmarkStart w:id="244" w:name="Bookmark_I6B11G152N1RCN0050000400_2"/>
      <w:bookmarkEnd w:id="244"/>
      <w:bookmarkStart w:id="245" w:name="Bookmark_I6B11G152HM68V0020000400"/>
      <w:bookmarkEnd w:id="245"/>
      <w:r>
        <w:rPr>
          <w:rFonts w:ascii="arial" w:eastAsia="arial" w:hAnsi="arial" w:cs="arial"/>
          <w:b w:val="0"/>
          <w:i w:val="0"/>
          <w:strike w:val="0"/>
          <w:noProof w:val="0"/>
          <w:color w:val="000000"/>
          <w:position w:val="0"/>
          <w:sz w:val="20"/>
          <w:u w:val="none"/>
          <w:vertAlign w:val="baseline"/>
        </w:rPr>
        <w:t xml:space="preserve">The Fifth Circuit also agreed the surety laws resembled </w:t>
      </w:r>
      <w:hyperlink r:id="rId53" w:history="1">
        <w:r>
          <w:rPr>
            <w:rFonts w:ascii="arial" w:eastAsia="arial" w:hAnsi="arial" w:cs="arial"/>
            <w:b w:val="0"/>
            <w:i/>
            <w:strike w:val="0"/>
            <w:noProof w:val="0"/>
            <w:color w:val="0077CC"/>
            <w:position w:val="0"/>
            <w:sz w:val="20"/>
            <w:u w:val="single"/>
            <w:vertAlign w:val="baseline"/>
          </w:rPr>
          <w:t>§ 922(g)(8)</w:t>
        </w:r>
      </w:hyperlink>
      <w:r>
        <w:rPr>
          <w:rFonts w:ascii="arial" w:eastAsia="arial" w:hAnsi="arial" w:cs="arial"/>
          <w:b w:val="0"/>
          <w:i w:val="0"/>
          <w:strike w:val="0"/>
          <w:noProof w:val="0"/>
          <w:color w:val="000000"/>
          <w:position w:val="0"/>
          <w:sz w:val="20"/>
          <w:u w:val="none"/>
          <w:vertAlign w:val="baseline"/>
        </w:rPr>
        <w:t xml:space="preserve"> in that they required a civil proceeding and could result in the forfeiture of weapons. </w:t>
      </w:r>
      <w:bookmarkStart w:id="246" w:name="Bookmark_I6B11G152N1RCN0040000400"/>
      <w:bookmarkEnd w:id="246"/>
      <w:hyperlink r:id="rId52" w:history="1">
        <w:r>
          <w:rPr>
            <w:rFonts w:ascii="arial" w:eastAsia="arial" w:hAnsi="arial" w:cs="arial"/>
            <w:b w:val="0"/>
            <w:i/>
            <w:strike w:val="0"/>
            <w:noProof w:val="0"/>
            <w:color w:val="0077CC"/>
            <w:position w:val="0"/>
            <w:sz w:val="20"/>
            <w:u w:val="single"/>
            <w:vertAlign w:val="baseline"/>
          </w:rPr>
          <w:t>Id.</w:t>
        </w:r>
      </w:hyperlink>
      <w:hyperlink r:id="rId52" w:history="1">
        <w:r>
          <w:rPr>
            <w:rFonts w:ascii="arial" w:eastAsia="arial" w:hAnsi="arial" w:cs="arial"/>
            <w:b w:val="0"/>
            <w:i/>
            <w:strike w:val="0"/>
            <w:noProof w:val="0"/>
            <w:color w:val="0077CC"/>
            <w:position w:val="0"/>
            <w:sz w:val="20"/>
            <w:u w:val="single"/>
            <w:vertAlign w:val="baseline"/>
          </w:rPr>
          <w:t xml:space="preserve"> at 460</w:t>
        </w:r>
      </w:hyperlink>
      <w:r>
        <w:rPr>
          <w:rFonts w:ascii="arial" w:eastAsia="arial" w:hAnsi="arial" w:cs="arial"/>
          <w:b w:val="0"/>
          <w:i w:val="0"/>
          <w:strike w:val="0"/>
          <w:noProof w:val="0"/>
          <w:color w:val="000000"/>
          <w:position w:val="0"/>
          <w:sz w:val="20"/>
          <w:u w:val="none"/>
          <w:vertAlign w:val="baseline"/>
        </w:rPr>
        <w:t xml:space="preserve">. </w:t>
      </w:r>
      <w:bookmarkStart w:id="247" w:name="Bookmark_I6B11G152HM68V0020000400_2"/>
      <w:bookmarkEnd w:id="247"/>
      <w:r>
        <w:rPr>
          <w:rFonts w:ascii="arial" w:eastAsia="arial" w:hAnsi="arial" w:cs="arial"/>
          <w:b w:val="0"/>
          <w:i w:val="0"/>
          <w:strike w:val="0"/>
          <w:noProof w:val="0"/>
          <w:color w:val="000000"/>
          <w:position w:val="0"/>
          <w:sz w:val="20"/>
          <w:u w:val="none"/>
          <w:vertAlign w:val="baseline"/>
        </w:rPr>
        <w:t xml:space="preserve">But the Fifth Circuit rejected the government's proposed analogy to those laws: it found, unlike </w:t>
      </w:r>
      <w:hyperlink r:id="rId53" w:history="1">
        <w:r>
          <w:rPr>
            <w:rFonts w:ascii="arial" w:eastAsia="arial" w:hAnsi="arial" w:cs="arial"/>
            <w:b w:val="0"/>
            <w:i/>
            <w:strike w:val="0"/>
            <w:noProof w:val="0"/>
            <w:color w:val="0077CC"/>
            <w:position w:val="0"/>
            <w:sz w:val="20"/>
            <w:u w:val="single"/>
            <w:vertAlign w:val="baseline"/>
          </w:rPr>
          <w:t>§ 922(g)(8)</w:t>
        </w:r>
      </w:hyperlink>
      <w:r>
        <w:rPr>
          <w:rFonts w:ascii="arial" w:eastAsia="arial" w:hAnsi="arial" w:cs="arial"/>
          <w:b w:val="0"/>
          <w:i w:val="0"/>
          <w:strike w:val="0"/>
          <w:noProof w:val="0"/>
          <w:color w:val="000000"/>
          <w:position w:val="0"/>
          <w:sz w:val="20"/>
          <w:u w:val="none"/>
          <w:vertAlign w:val="baseline"/>
        </w:rPr>
        <w:t xml:space="preserve">, they permitted a person to prevent the state from seizing a firearm by posting a bond.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As noted, however, the Supreme Court granted the United States' petition for certiorari, and recently heard oral arguments.</w:t>
      </w:r>
      <w:r>
        <w:rPr>
          <w:rFonts w:ascii="arial" w:eastAsia="arial" w:hAnsi="arial" w:cs="arial"/>
          <w:vertAlign w:val="superscript"/>
        </w:rPr>
        <w:footnoteReference w:customMarkFollows="1" w:id="10"/>
        <w:t xml:space="preserve">9</w:t>
      </w:r>
    </w:p>
    <w:p>
      <w:pPr>
        <w:keepNext w:val="0"/>
        <w:spacing w:before="240" w:after="0" w:line="260" w:lineRule="atLeast"/>
        <w:ind w:left="0" w:right="0" w:firstLine="0"/>
        <w:jc w:val="both"/>
      </w:pPr>
      <w:bookmarkStart w:id="250" w:name="Bookmark_para_45"/>
      <w:bookmarkEnd w:id="250"/>
      <w:bookmarkStart w:id="251" w:name="Bookmark_I6B11G152HM68V0040000400"/>
      <w:bookmarkEnd w:id="251"/>
      <w:r>
        <w:rPr>
          <w:rFonts w:ascii="arial" w:eastAsia="arial" w:hAnsi="arial" w:cs="arial"/>
          <w:b w:val="0"/>
          <w:i w:val="0"/>
          <w:strike w:val="0"/>
          <w:noProof w:val="0"/>
          <w:color w:val="000000"/>
          <w:position w:val="0"/>
          <w:sz w:val="20"/>
          <w:u w:val="none"/>
          <w:vertAlign w:val="baseline"/>
        </w:rPr>
        <w:t xml:space="preserve">Other courts have accepted broader analogies to historical gun regulations. </w:t>
      </w:r>
      <w:bookmarkStart w:id="252" w:name="Bookmark_I6B11G162SF7R40010000400"/>
      <w:bookmarkEnd w:id="252"/>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United</w:t>
      </w:r>
      <w:r>
        <w:rPr>
          <w:rFonts w:ascii="arial" w:eastAsia="arial" w:hAnsi="arial" w:cs="arial"/>
          <w:b/>
          <w:i/>
          <w:strike w:val="0"/>
          <w:noProof w:val="0"/>
          <w:color w:val="000000"/>
          <w:position w:val="0"/>
          <w:sz w:val="20"/>
          <w:u w:val="none"/>
          <w:vertAlign w:val="baseline"/>
        </w:rPr>
        <w:t> [**35] </w:t>
      </w:r>
      <w:r>
        <w:rPr>
          <w:rFonts w:ascii="arial" w:eastAsia="arial" w:hAnsi="arial" w:cs="arial"/>
          <w:b w:val="0"/>
          <w:i/>
          <w:strike w:val="0"/>
          <w:noProof w:val="0"/>
          <w:color w:val="000000"/>
          <w:position w:val="0"/>
          <w:sz w:val="20"/>
          <w:u w:val="none"/>
          <w:vertAlign w:val="baseline"/>
        </w:rPr>
        <w:t xml:space="preserve"> States v. Alaniz</w:t>
      </w:r>
      <w:r>
        <w:rPr>
          <w:rFonts w:ascii="arial" w:eastAsia="arial" w:hAnsi="arial" w:cs="arial"/>
          <w:b w:val="0"/>
          <w:i w:val="0"/>
          <w:strike w:val="0"/>
          <w:noProof w:val="0"/>
          <w:color w:val="000000"/>
          <w:position w:val="0"/>
          <w:sz w:val="20"/>
          <w:u w:val="none"/>
          <w:vertAlign w:val="baseline"/>
        </w:rPr>
        <w:t xml:space="preserve">, for example, the Ninth Circuit upheld a federal sentencing enhancement increasing the Guideline sentencing range for drug trafficking if the defendant possessed a "dangerous weapon (including a firearm)."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53" w:name="Bookmark_I6B11G152HM68V0030000400"/>
      <w:bookmarkEnd w:id="253"/>
      <w:hyperlink r:id="rId54" w:history="1">
        <w:r>
          <w:rPr>
            <w:rFonts w:ascii="arial" w:eastAsia="arial" w:hAnsi="arial" w:cs="arial"/>
            <w:b w:val="0"/>
            <w:i/>
            <w:strike w:val="0"/>
            <w:noProof w:val="0"/>
            <w:color w:val="0077CC"/>
            <w:position w:val="0"/>
            <w:sz w:val="20"/>
            <w:u w:val="single"/>
            <w:vertAlign w:val="baseline"/>
          </w:rPr>
          <w:t>69 F.4th 1124, 1126, 1128-30 (9th Cir. 2023)</w:t>
        </w:r>
      </w:hyperlink>
      <w:r>
        <w:rPr>
          <w:rFonts w:ascii="arial" w:eastAsia="arial" w:hAnsi="arial" w:cs="arial"/>
          <w:b w:val="0"/>
          <w:i w:val="0"/>
          <w:strike w:val="0"/>
          <w:noProof w:val="0"/>
          <w:color w:val="000000"/>
          <w:position w:val="0"/>
          <w:sz w:val="20"/>
          <w:u w:val="none"/>
          <w:vertAlign w:val="baseline"/>
        </w:rPr>
        <w:t xml:space="preserve"> (quoting </w:t>
      </w:r>
      <w:hyperlink r:id="rId55" w:history="1">
        <w:r>
          <w:rPr>
            <w:rFonts w:ascii="arial" w:eastAsia="arial" w:hAnsi="arial" w:cs="arial"/>
            <w:b w:val="0"/>
            <w:i/>
            <w:strike w:val="0"/>
            <w:noProof w:val="0"/>
            <w:color w:val="0077CC"/>
            <w:position w:val="0"/>
            <w:sz w:val="20"/>
            <w:u w:val="single"/>
            <w:vertAlign w:val="baseline"/>
          </w:rPr>
          <w:t>U.S.S.G. § 2D1.1</w:t>
        </w:r>
      </w:hyperlink>
      <w:r>
        <w:rPr>
          <w:rFonts w:ascii="arial" w:eastAsia="arial" w:hAnsi="arial" w:cs="arial"/>
          <w:b w:val="0"/>
          <w:i w:val="0"/>
          <w:strike w:val="0"/>
          <w:noProof w:val="0"/>
          <w:color w:val="000000"/>
          <w:position w:val="0"/>
          <w:sz w:val="20"/>
          <w:u w:val="none"/>
          <w:vertAlign w:val="baseline"/>
        </w:rPr>
        <w:t xml:space="preserve">). The Circuit found evidence of a "longstanding tradition" of punishing those who committed robberies and burglaries while possessing a firearm. </w:t>
      </w:r>
      <w:bookmarkStart w:id="254" w:name="Bookmark_I6B11G162SF7R40010000400_2"/>
      <w:bookmarkEnd w:id="254"/>
      <w:bookmarkStart w:id="255" w:name="Bookmark_I6B11G162SF7R40030000400"/>
      <w:bookmarkEnd w:id="255"/>
      <w:bookmarkStart w:id="256" w:name="Bookmark_I6B11G152HM68V0050000400"/>
      <w:bookmarkEnd w:id="256"/>
      <w:hyperlink r:id="rId54" w:history="1">
        <w:r>
          <w:rPr>
            <w:rFonts w:ascii="arial" w:eastAsia="arial" w:hAnsi="arial" w:cs="arial"/>
            <w:b w:val="0"/>
            <w:i/>
            <w:strike w:val="0"/>
            <w:noProof w:val="0"/>
            <w:color w:val="0077CC"/>
            <w:position w:val="0"/>
            <w:sz w:val="20"/>
            <w:u w:val="single"/>
            <w:vertAlign w:val="baseline"/>
          </w:rPr>
          <w:t>Id.</w:t>
        </w:r>
      </w:hyperlink>
      <w:hyperlink r:id="rId54" w:history="1">
        <w:r>
          <w:rPr>
            <w:rFonts w:ascii="arial" w:eastAsia="arial" w:hAnsi="arial" w:cs="arial"/>
            <w:b w:val="0"/>
            <w:i/>
            <w:strike w:val="0"/>
            <w:noProof w:val="0"/>
            <w:color w:val="0077CC"/>
            <w:position w:val="0"/>
            <w:sz w:val="20"/>
            <w:u w:val="single"/>
            <w:vertAlign w:val="baseline"/>
          </w:rPr>
          <w:t xml:space="preserve"> at 1130</w:t>
        </w:r>
      </w:hyperlink>
      <w:r>
        <w:rPr>
          <w:rFonts w:ascii="arial" w:eastAsia="arial" w:hAnsi="arial" w:cs="arial"/>
          <w:b w:val="0"/>
          <w:i w:val="0"/>
          <w:strike w:val="0"/>
          <w:noProof w:val="0"/>
          <w:color w:val="000000"/>
          <w:position w:val="0"/>
          <w:sz w:val="20"/>
          <w:u w:val="none"/>
          <w:vertAlign w:val="baseline"/>
        </w:rPr>
        <w:t xml:space="preserve">. </w:t>
      </w:r>
      <w:bookmarkStart w:id="257" w:name="Bookmark_I6B11G162SF7R40030000400_2"/>
      <w:bookmarkEnd w:id="257"/>
      <w:r>
        <w:rPr>
          <w:rFonts w:ascii="arial" w:eastAsia="arial" w:hAnsi="arial" w:cs="arial"/>
          <w:b w:val="0"/>
          <w:i w:val="0"/>
          <w:strike w:val="0"/>
          <w:noProof w:val="0"/>
          <w:color w:val="000000"/>
          <w:position w:val="0"/>
          <w:sz w:val="20"/>
          <w:u w:val="none"/>
          <w:vertAlign w:val="baseline"/>
        </w:rPr>
        <w:t xml:space="preserve">"Like burglary or robbery," the panel wrote, "drug trafficking plainly poses substantial risks of confrontation that can lead to immediate violence."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did not matter there was no evidence of similar enhancements for other crimes that resembled modern prohibitions on drug trafficking, such as historical prohibitions on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58" w:name="Bookmark_I6B11G162SF7R40020000400"/>
      <w:bookmarkEnd w:id="258"/>
      <w:hyperlink r:id="rId54" w:history="1">
        <w:r>
          <w:rPr>
            <w:rFonts w:ascii="arial" w:eastAsia="arial" w:hAnsi="arial" w:cs="arial"/>
            <w:b w:val="0"/>
            <w:i/>
            <w:strike w:val="0"/>
            <w:noProof w:val="0"/>
            <w:color w:val="0077CC"/>
            <w:position w:val="0"/>
            <w:sz w:val="20"/>
            <w:u w:val="single"/>
            <w:vertAlign w:val="baseline"/>
          </w:rPr>
          <w:t>id.</w:t>
        </w:r>
      </w:hyperlink>
      <w:hyperlink r:id="rId54" w:history="1">
        <w:r>
          <w:rPr>
            <w:rFonts w:ascii="arial" w:eastAsia="arial" w:hAnsi="arial" w:cs="arial"/>
            <w:b w:val="0"/>
            <w:i/>
            <w:strike w:val="0"/>
            <w:noProof w:val="0"/>
            <w:color w:val="0077CC"/>
            <w:position w:val="0"/>
            <w:sz w:val="20"/>
            <w:u w:val="single"/>
            <w:vertAlign w:val="baseline"/>
          </w:rPr>
          <w:t xml:space="preserve"> at 1129-30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9" w:name="Bookmark_para_46"/>
      <w:bookmarkEnd w:id="259"/>
      <w:bookmarkStart w:id="260" w:name="Bookmark_I6B11G162SF7R40050000400"/>
      <w:bookmarkEnd w:id="260"/>
      <w:bookmarkStart w:id="261" w:name="Bookmark_I6B11G162HM6900020000400"/>
      <w:bookmarkEnd w:id="261"/>
      <w:r>
        <w:rPr>
          <w:rFonts w:ascii="arial" w:eastAsia="arial" w:hAnsi="arial" w:cs="arial"/>
          <w:b w:val="0"/>
          <w:i w:val="0"/>
          <w:strike w:val="0"/>
          <w:noProof w:val="0"/>
          <w:color w:val="000000"/>
          <w:position w:val="0"/>
          <w:sz w:val="20"/>
          <w:u w:val="none"/>
          <w:vertAlign w:val="baseline"/>
        </w:rPr>
        <w:t xml:space="preserve">The district court's decision in </w:t>
      </w:r>
      <w:r>
        <w:rPr>
          <w:rFonts w:ascii="arial" w:eastAsia="arial" w:hAnsi="arial" w:cs="arial"/>
          <w:b w:val="0"/>
          <w:i/>
          <w:strike w:val="0"/>
          <w:noProof w:val="0"/>
          <w:color w:val="000000"/>
          <w:position w:val="0"/>
          <w:sz w:val="20"/>
          <w:u w:val="none"/>
          <w:vertAlign w:val="baseline"/>
        </w:rPr>
        <w:t>Kipke</w:t>
      </w:r>
      <w:r>
        <w:rPr>
          <w:rFonts w:ascii="arial" w:eastAsia="arial" w:hAnsi="arial" w:cs="arial"/>
          <w:b w:val="0"/>
          <w:i w:val="0"/>
          <w:strike w:val="0"/>
          <w:noProof w:val="0"/>
          <w:color w:val="000000"/>
          <w:position w:val="0"/>
          <w:sz w:val="20"/>
          <w:u w:val="none"/>
          <w:vertAlign w:val="baseline"/>
        </w:rPr>
        <w:t xml:space="preserve">, cited above, is another case in the same vein. The state prohibited firearms in museums but cited no founding-era restrictions on weapons in museums specifically.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62" w:name="Bookmark_I6B11G162SF7R40040000400"/>
      <w:bookmarkEnd w:id="262"/>
      <w:hyperlink r:id="rId48" w:history="1">
        <w:r>
          <w:rPr>
            <w:rFonts w:ascii="arial" w:eastAsia="arial" w:hAnsi="arial" w:cs="arial"/>
            <w:b w:val="0"/>
            <w:i/>
            <w:strike w:val="0"/>
            <w:noProof w:val="0"/>
            <w:color w:val="0077CC"/>
            <w:position w:val="0"/>
            <w:sz w:val="20"/>
            <w:u w:val="single"/>
            <w:vertAlign w:val="baseline"/>
          </w:rPr>
          <w:t>2023 U.S. Dist. LEXIS 174934, 2023 WL 6381503, at *7</w:t>
        </w:r>
      </w:hyperlink>
      <w:r>
        <w:rPr>
          <w:rFonts w:ascii="arial" w:eastAsia="arial" w:hAnsi="arial" w:cs="arial"/>
          <w:b w:val="0"/>
          <w:i w:val="0"/>
          <w:strike w:val="0"/>
          <w:noProof w:val="0"/>
          <w:color w:val="000000"/>
          <w:position w:val="0"/>
          <w:sz w:val="20"/>
          <w:u w:val="none"/>
          <w:vertAlign w:val="baseline"/>
        </w:rPr>
        <w:t xml:space="preserve">. The district court nevertheless found museums were like schools in that "they serve an educational purpose and are often geared toward children."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state had cited "historical statutes that demonstrate a historical tradition of firearm regulation in places of gathering</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for education, literary, or scientific purposes," so the modern restriction was constitutional. </w:t>
      </w:r>
      <w:bookmarkStart w:id="263" w:name="Bookmark_I6B11G162HM6900010000400"/>
      <w:bookmarkEnd w:id="263"/>
      <w:hyperlink r:id="rId48" w:history="1">
        <w:r>
          <w:rPr>
            <w:rFonts w:ascii="arial" w:eastAsia="arial" w:hAnsi="arial" w:cs="arial"/>
            <w:b w:val="0"/>
            <w:i/>
            <w:strike w:val="0"/>
            <w:noProof w:val="0"/>
            <w:color w:val="0077CC"/>
            <w:position w:val="0"/>
            <w:sz w:val="20"/>
            <w:u w:val="single"/>
            <w:vertAlign w:val="baseline"/>
          </w:rPr>
          <w:t>2023 U.S. Dist. LEXIS 174934, [WL] at *8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4" w:name="Bookmark_para_47"/>
      <w:bookmarkEnd w:id="264"/>
      <w:bookmarkStart w:id="265" w:name="Bookmark_I6B11G162HM6900040000400"/>
      <w:bookmarkEnd w:id="265"/>
      <w:r>
        <w:rPr>
          <w:rFonts w:ascii="arial" w:eastAsia="arial" w:hAnsi="arial" w:cs="arial"/>
          <w:b w:val="0"/>
          <w:i w:val="0"/>
          <w:strike w:val="0"/>
          <w:noProof w:val="0"/>
          <w:color w:val="000000"/>
          <w:position w:val="0"/>
          <w:sz w:val="20"/>
          <w:u w:val="none"/>
          <w:vertAlign w:val="baseline"/>
        </w:rPr>
        <w:t xml:space="preserve">As these cases illustrate, again, it can be difficult to make principled decisions about similarities and differences between modern and historical regulations. That the relevant history pointed to by the Supreme Court is hundreds of years behind us makes understanding and faithfully comparing these historical laws to our own a daunting if not impossible task for a generalist judge. It is little wonder that before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lower courts tended to avoid "extensive historical analysis" when they could. </w:t>
      </w:r>
      <w:bookmarkStart w:id="266" w:name="Bookmark_I6B11G162HM6900030000400"/>
      <w:bookmarkEnd w:id="266"/>
      <w:hyperlink r:id="rId11" w:history="1">
        <w:r>
          <w:rPr>
            <w:rFonts w:ascii="arial" w:eastAsia="arial" w:hAnsi="arial" w:cs="arial"/>
            <w:b w:val="0"/>
            <w:i/>
            <w:strike w:val="0"/>
            <w:noProof w:val="0"/>
            <w:color w:val="0077CC"/>
            <w:position w:val="0"/>
            <w:sz w:val="20"/>
            <w:u w:val="single"/>
            <w:vertAlign w:val="baseline"/>
          </w:rPr>
          <w:t>142 S. Ct. at 2179 (Breyer, J. dissenting)</w:t>
        </w:r>
      </w:hyperlink>
      <w:r>
        <w:rPr>
          <w:rFonts w:ascii="arial" w:eastAsia="arial" w:hAnsi="arial" w:cs="arial"/>
          <w:b w:val="0"/>
          <w:i w:val="0"/>
          <w:strike w:val="0"/>
          <w:noProof w:val="0"/>
          <w:color w:val="000000"/>
          <w:position w:val="0"/>
          <w:sz w:val="20"/>
          <w:u w:val="none"/>
          <w:vertAlign w:val="baseline"/>
        </w:rPr>
        <w:t xml:space="preserve"> (quoting </w:t>
      </w:r>
      <w:bookmarkStart w:id="267" w:name="Bookmark_I6B11G162HM6900050000400"/>
      <w:bookmarkEnd w:id="267"/>
      <w:hyperlink r:id="rId32" w:history="1">
        <w:r>
          <w:rPr>
            <w:rFonts w:ascii="arial" w:eastAsia="arial" w:hAnsi="arial" w:cs="arial"/>
            <w:b w:val="0"/>
            <w:i/>
            <w:strike w:val="0"/>
            <w:noProof w:val="0"/>
            <w:color w:val="0077CC"/>
            <w:position w:val="0"/>
            <w:sz w:val="20"/>
            <w:u w:val="single"/>
            <w:vertAlign w:val="baseline"/>
          </w:rPr>
          <w:t>Young</w:t>
        </w:r>
      </w:hyperlink>
      <w:hyperlink r:id="rId32" w:history="1">
        <w:r>
          <w:rPr>
            <w:rFonts w:ascii="arial" w:eastAsia="arial" w:hAnsi="arial" w:cs="arial"/>
            <w:b w:val="0"/>
            <w:i/>
            <w:strike w:val="0"/>
            <w:noProof w:val="0"/>
            <w:color w:val="0077CC"/>
            <w:position w:val="0"/>
            <w:sz w:val="20"/>
            <w:u w:val="single"/>
            <w:vertAlign w:val="baseline"/>
          </w:rPr>
          <w:t>, 992 F.3d at 784-85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8" w:name="Bookmark_para_48"/>
      <w:bookmarkEnd w:id="268"/>
      <w:bookmarkStart w:id="269" w:name="Bookmark_I6B11G162D6NKK0030000400"/>
      <w:bookmarkEnd w:id="269"/>
      <w:r>
        <w:rPr>
          <w:rFonts w:ascii="arial" w:eastAsia="arial" w:hAnsi="arial" w:cs="arial"/>
          <w:b w:val="0"/>
          <w:i w:val="0"/>
          <w:strike w:val="0"/>
          <w:noProof w:val="0"/>
          <w:color w:val="000000"/>
          <w:position w:val="0"/>
          <w:sz w:val="20"/>
          <w:u w:val="none"/>
          <w:vertAlign w:val="baseline"/>
        </w:rPr>
        <w:t xml:space="preserve">The Supreme Court's sparse guidance for interpreting the relevant history in </w:t>
      </w:r>
      <w:r>
        <w:rPr>
          <w:rFonts w:ascii="arial" w:eastAsia="arial" w:hAnsi="arial" w:cs="arial"/>
          <w:b/>
          <w:i w:val="0"/>
          <w:strike w:val="0"/>
          <w:noProof w:val="0"/>
          <w:color w:val="000000"/>
          <w:position w:val="0"/>
          <w:sz w:val="20"/>
          <w:u w:val="none"/>
          <w:vertAlign w:val="baseline"/>
        </w:rPr>
        <w:t> [*1107]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does include some general directives. It warns, for example, "when it comes to interpreting the Constitution, not all history is created equal." </w:t>
      </w:r>
      <w:bookmarkStart w:id="270" w:name="Bookmark_I6B11G162D6NKK0020000400"/>
      <w:bookmarkEnd w:id="270"/>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2136</w:t>
        </w:r>
      </w:hyperlink>
      <w:r>
        <w:rPr>
          <w:rFonts w:ascii="arial" w:eastAsia="arial" w:hAnsi="arial" w:cs="arial"/>
          <w:b w:val="0"/>
          <w:i w:val="0"/>
          <w:strike w:val="0"/>
          <w:noProof w:val="0"/>
          <w:color w:val="000000"/>
          <w:position w:val="0"/>
          <w:sz w:val="20"/>
          <w:u w:val="none"/>
          <w:vertAlign w:val="baseline"/>
        </w:rPr>
        <w:t xml:space="preserve"> (majority opinion). </w:t>
      </w:r>
      <w:bookmarkStart w:id="271" w:name="Bookmark_I6B11G162D6NKK0050000400"/>
      <w:bookmarkEnd w:id="271"/>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was adopted in 1791; the Fourteenth in 1868. </w:t>
      </w:r>
      <w:bookmarkStart w:id="272" w:name="Bookmark_I6B11G162D6NKK0050000400_2"/>
      <w:bookmarkEnd w:id="272"/>
      <w:r>
        <w:rPr>
          <w:rFonts w:ascii="arial" w:eastAsia="arial" w:hAnsi="arial" w:cs="arial"/>
          <w:b w:val="0"/>
          <w:i w:val="0"/>
          <w:strike w:val="0"/>
          <w:noProof w:val="0"/>
          <w:color w:val="000000"/>
          <w:position w:val="0"/>
          <w:sz w:val="20"/>
          <w:u w:val="none"/>
          <w:vertAlign w:val="baseline"/>
        </w:rPr>
        <w:t xml:space="preserve">Historical evidence that long predates either date may not illuminate the scope of the right if linguistic or legal conventions changed in the intervening years."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Ancient historical practices might have become "obsolete" by the time the Constitution and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were adopted.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73" w:name="Bookmark_I6B11G162D6NKK0040000400"/>
      <w:bookmarkEnd w:id="273"/>
      <w:hyperlink r:id="rId56" w:history="1">
        <w:r>
          <w:rPr>
            <w:rFonts w:ascii="arial" w:eastAsia="arial" w:hAnsi="arial" w:cs="arial"/>
            <w:b w:val="0"/>
            <w:i/>
            <w:strike w:val="0"/>
            <w:noProof w:val="0"/>
            <w:color w:val="0077CC"/>
            <w:position w:val="0"/>
            <w:sz w:val="20"/>
            <w:u w:val="single"/>
            <w:vertAlign w:val="baseline"/>
          </w:rPr>
          <w:t>Dimick v. Schiedt</w:t>
        </w:r>
      </w:hyperlink>
      <w:hyperlink r:id="rId56" w:history="1">
        <w:r>
          <w:rPr>
            <w:rFonts w:ascii="arial" w:eastAsia="arial" w:hAnsi="arial" w:cs="arial"/>
            <w:b w:val="0"/>
            <w:i/>
            <w:strike w:val="0"/>
            <w:noProof w:val="0"/>
            <w:color w:val="0077CC"/>
            <w:position w:val="0"/>
            <w:sz w:val="20"/>
            <w:u w:val="single"/>
            <w:vertAlign w:val="baseline"/>
          </w:rPr>
          <w:t>, 293 U.S. 474, 477, 55 S. Ct. 296, 79 L. Ed. 603 (1935)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The Supreme Court also urged lower courts to "be careful when assessing evidence concerning English common-law rights."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common law, of course, developed over time. And English common-law practices and understandings at any given time in history cannot be indiscriminately attributed to the Framers of our own Constitution."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40" w:after="0" w:line="260" w:lineRule="atLeast"/>
        <w:ind w:left="0" w:right="0" w:firstLine="0"/>
        <w:jc w:val="both"/>
      </w:pPr>
      <w:bookmarkStart w:id="274" w:name="Bookmark_para_49"/>
      <w:bookmarkEnd w:id="274"/>
      <w:bookmarkStart w:id="275" w:name="Bookmark_I6B11G1628T41Y0020000400"/>
      <w:bookmarkEnd w:id="275"/>
      <w:bookmarkStart w:id="276" w:name="Bookmark_I6B11G1628T41Y0040000400"/>
      <w:bookmarkEnd w:id="276"/>
      <w:bookmarkStart w:id="277" w:name="Bookmark_I6B11G162N1RD20030000400"/>
      <w:bookmarkEnd w:id="277"/>
      <w:r>
        <w:rPr>
          <w:rFonts w:ascii="arial" w:eastAsia="arial" w:hAnsi="arial" w:cs="arial"/>
          <w:b w:val="0"/>
          <w:i w:val="0"/>
          <w:strike w:val="0"/>
          <w:noProof w:val="0"/>
          <w:color w:val="000000"/>
          <w:position w:val="0"/>
          <w:sz w:val="20"/>
          <w:u w:val="none"/>
          <w:vertAlign w:val="baseline"/>
        </w:rPr>
        <w:t xml:space="preserve">The Supreme Court also expressed skepticism about "postenactment history."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agreed "a regular course of practice can liquidate [and] settle the meaning of disputed or indeterminate terms [and] phrases."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78" w:name="Bookmark_I6B11G1628T41Y0010000400"/>
      <w:bookmarkEnd w:id="278"/>
      <w:hyperlink r:id="rId57" w:history="1">
        <w:r>
          <w:rPr>
            <w:rFonts w:ascii="arial" w:eastAsia="arial" w:hAnsi="arial" w:cs="arial"/>
            <w:b w:val="0"/>
            <w:i/>
            <w:strike w:val="0"/>
            <w:noProof w:val="0"/>
            <w:color w:val="0077CC"/>
            <w:position w:val="0"/>
            <w:sz w:val="20"/>
            <w:u w:val="single"/>
            <w:vertAlign w:val="baseline"/>
          </w:rPr>
          <w:t>Chiafalo v. Washington</w:t>
        </w:r>
      </w:hyperlink>
      <w:hyperlink r:id="rId57" w:history="1">
        <w:r>
          <w:rPr>
            <w:rFonts w:ascii="arial" w:eastAsia="arial" w:hAnsi="arial" w:cs="arial"/>
            <w:b w:val="0"/>
            <w:i/>
            <w:strike w:val="0"/>
            <w:noProof w:val="0"/>
            <w:color w:val="0077CC"/>
            <w:position w:val="0"/>
            <w:sz w:val="20"/>
            <w:u w:val="single"/>
            <w:vertAlign w:val="baseline"/>
          </w:rPr>
          <w:t>, 140 S. Ct. 2316, 2326, 207 L. Ed. 2d 761 (2020)</w:t>
        </w:r>
      </w:hyperlink>
      <w:r>
        <w:rPr>
          <w:rFonts w:ascii="arial" w:eastAsia="arial" w:hAnsi="arial" w:cs="arial"/>
          <w:b w:val="0"/>
          <w:i w:val="0"/>
          <w:strike w:val="0"/>
          <w:noProof w:val="0"/>
          <w:color w:val="000000"/>
          <w:position w:val="0"/>
          <w:sz w:val="20"/>
          <w:u w:val="none"/>
          <w:vertAlign w:val="baseline"/>
        </w:rPr>
        <w:t xml:space="preserve">). It also recognized if "a governmental practice has been open, widespread, and unchallenged since the early days of the Republic, the practice should guide our interpretation of an ambiguous constitutional provision." </w:t>
      </w:r>
      <w:bookmarkStart w:id="279" w:name="Bookmark_I6B11G1628T41Y0030000400"/>
      <w:bookmarkEnd w:id="279"/>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2137</w:t>
        </w:r>
      </w:hyperlink>
      <w:r>
        <w:rPr>
          <w:rFonts w:ascii="arial" w:eastAsia="arial" w:hAnsi="arial" w:cs="arial"/>
          <w:b w:val="0"/>
          <w:i w:val="0"/>
          <w:strike w:val="0"/>
          <w:noProof w:val="0"/>
          <w:color w:val="000000"/>
          <w:position w:val="0"/>
          <w:sz w:val="20"/>
          <w:u w:val="none"/>
          <w:vertAlign w:val="baseline"/>
        </w:rPr>
        <w:t xml:space="preserve"> (quoting </w:t>
      </w:r>
      <w:bookmarkStart w:id="280" w:name="Bookmark_I6B11G1628T41Y0050000400"/>
      <w:bookmarkEnd w:id="280"/>
      <w:hyperlink r:id="rId58" w:history="1">
        <w:r>
          <w:rPr>
            <w:rFonts w:ascii="arial" w:eastAsia="arial" w:hAnsi="arial" w:cs="arial"/>
            <w:b w:val="0"/>
            <w:i/>
            <w:strike w:val="0"/>
            <w:noProof w:val="0"/>
            <w:color w:val="0077CC"/>
            <w:position w:val="0"/>
            <w:sz w:val="20"/>
            <w:u w:val="single"/>
            <w:vertAlign w:val="baseline"/>
          </w:rPr>
          <w:t>N.L.R.B. v. Noel Canning</w:t>
        </w:r>
      </w:hyperlink>
      <w:hyperlink r:id="rId58" w:history="1">
        <w:r>
          <w:rPr>
            <w:rFonts w:ascii="arial" w:eastAsia="arial" w:hAnsi="arial" w:cs="arial"/>
            <w:b w:val="0"/>
            <w:i/>
            <w:strike w:val="0"/>
            <w:noProof w:val="0"/>
            <w:color w:val="0077CC"/>
            <w:position w:val="0"/>
            <w:sz w:val="20"/>
            <w:u w:val="single"/>
            <w:vertAlign w:val="baseline"/>
          </w:rPr>
          <w:t>, 573 U.S. 513, 572, 134 S. Ct. 2550, 189 L. Ed. 2d 538 (2014)</w:t>
        </w:r>
      </w:hyperlink>
      <w:r>
        <w:rPr>
          <w:rFonts w:ascii="arial" w:eastAsia="arial" w:hAnsi="arial" w:cs="arial"/>
          <w:b w:val="0"/>
          <w:i w:val="0"/>
          <w:strike w:val="0"/>
          <w:noProof w:val="0"/>
          <w:color w:val="000000"/>
          <w:position w:val="0"/>
          <w:sz w:val="20"/>
          <w:u w:val="none"/>
          <w:vertAlign w:val="baseline"/>
        </w:rPr>
        <w:t xml:space="preserve"> (Scalia, J., concurring in the judgment)). But it warned that if later history contradicts the text of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itself, "the text controls."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While recognizing the significance of the </w:t>
      </w:r>
      <w:hyperlink r:id="rId59"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as applying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to the states, the Court opined that discussions of the right to keep and bear arms from after the Civil War "do not provide as much insight into its original meanings as earlier sources,"</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81" w:name="Bookmark_I6B11G162N1RD20020000400"/>
      <w:bookmarkEnd w:id="281"/>
      <w:hyperlink r:id="rId22" w:history="1">
        <w:r>
          <w:rPr>
            <w:rFonts w:ascii="arial" w:eastAsia="arial" w:hAnsi="arial" w:cs="arial"/>
            <w:b w:val="0"/>
            <w:i/>
            <w:strike w:val="0"/>
            <w:noProof w:val="0"/>
            <w:color w:val="0077CC"/>
            <w:position w:val="0"/>
            <w:sz w:val="20"/>
            <w:u w:val="single"/>
            <w:vertAlign w:val="baseline"/>
          </w:rPr>
          <w:t>Heller</w:t>
        </w:r>
      </w:hyperlink>
      <w:hyperlink r:id="rId22" w:history="1">
        <w:r>
          <w:rPr>
            <w:rFonts w:ascii="arial" w:eastAsia="arial" w:hAnsi="arial" w:cs="arial"/>
            <w:b w:val="0"/>
            <w:i/>
            <w:strike w:val="0"/>
            <w:noProof w:val="0"/>
            <w:color w:val="0077CC"/>
            <w:position w:val="0"/>
            <w:sz w:val="20"/>
            <w:u w:val="single"/>
            <w:vertAlign w:val="baseline"/>
          </w:rPr>
          <w:t>, 554 U.S. at 614</w:t>
        </w:r>
      </w:hyperlink>
      <w:r>
        <w:rPr>
          <w:rFonts w:ascii="arial" w:eastAsia="arial" w:hAnsi="arial" w:cs="arial"/>
          <w:b w:val="0"/>
          <w:i w:val="0"/>
          <w:strike w:val="0"/>
          <w:noProof w:val="0"/>
          <w:color w:val="000000"/>
          <w:position w:val="0"/>
          <w:sz w:val="20"/>
          <w:u w:val="none"/>
          <w:vertAlign w:val="baseline"/>
        </w:rPr>
        <w:t xml:space="preserve">), though that later history can at least confirm what earlier history implies,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282" w:name="Bookmark_I6B11G162N1RD20040000400"/>
      <w:bookmarkEnd w:id="282"/>
      <w:hyperlink r:id="rId60" w:history="1">
        <w:r>
          <w:rPr>
            <w:rFonts w:ascii="arial" w:eastAsia="arial" w:hAnsi="arial" w:cs="arial"/>
            <w:b w:val="0"/>
            <w:i/>
            <w:strike w:val="0"/>
            <w:noProof w:val="0"/>
            <w:color w:val="0077CC"/>
            <w:position w:val="0"/>
            <w:sz w:val="20"/>
            <w:u w:val="single"/>
            <w:vertAlign w:val="baseline"/>
          </w:rPr>
          <w:t>Gamble v. United States</w:t>
        </w:r>
      </w:hyperlink>
      <w:hyperlink r:id="rId60" w:history="1">
        <w:r>
          <w:rPr>
            <w:rFonts w:ascii="arial" w:eastAsia="arial" w:hAnsi="arial" w:cs="arial"/>
            <w:b w:val="0"/>
            <w:i/>
            <w:strike w:val="0"/>
            <w:noProof w:val="0"/>
            <w:color w:val="0077CC"/>
            <w:position w:val="0"/>
            <w:sz w:val="20"/>
            <w:u w:val="single"/>
            <w:vertAlign w:val="baseline"/>
          </w:rPr>
          <w:t>, 587 U.S. 678, 139 S. Ct. 1960, 1975-76, 204 L. Ed. 2d 322 (2019)</w:t>
        </w:r>
      </w:hyperlink>
      <w:r>
        <w:rPr>
          <w:rFonts w:ascii="arial" w:eastAsia="arial" w:hAnsi="arial" w:cs="arial"/>
          <w:b w:val="0"/>
          <w:i w:val="0"/>
          <w:strike w:val="0"/>
          <w:noProof w:val="0"/>
          <w:color w:val="000000"/>
          <w:position w:val="0"/>
          <w:sz w:val="20"/>
          <w:u w:val="none"/>
          <w:vertAlign w:val="baseline"/>
        </w:rPr>
        <w:t xml:space="preserve"> and </w:t>
      </w:r>
      <w:bookmarkStart w:id="283" w:name="Bookmark_I6B11G172HM69D0010000400"/>
      <w:bookmarkEnd w:id="283"/>
      <w:hyperlink r:id="rId22" w:history="1">
        <w:r>
          <w:rPr>
            <w:rFonts w:ascii="arial" w:eastAsia="arial" w:hAnsi="arial" w:cs="arial"/>
            <w:b w:val="0"/>
            <w:i/>
            <w:strike w:val="0"/>
            <w:noProof w:val="0"/>
            <w:color w:val="0077CC"/>
            <w:position w:val="0"/>
            <w:sz w:val="20"/>
            <w:u w:val="single"/>
            <w:vertAlign w:val="baseline"/>
          </w:rPr>
          <w:t>Heller</w:t>
        </w:r>
      </w:hyperlink>
      <w:hyperlink r:id="rId22" w:history="1">
        <w:r>
          <w:rPr>
            <w:rFonts w:ascii="arial" w:eastAsia="arial" w:hAnsi="arial" w:cs="arial"/>
            <w:b w:val="0"/>
            <w:i/>
            <w:strike w:val="0"/>
            <w:noProof w:val="0"/>
            <w:color w:val="0077CC"/>
            <w:position w:val="0"/>
            <w:sz w:val="20"/>
            <w:u w:val="single"/>
            <w:vertAlign w:val="baseline"/>
          </w:rPr>
          <w:t>, 554 U.S. at 605-10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4" w:name="Bookmark_para_50"/>
      <w:bookmarkEnd w:id="284"/>
      <w:bookmarkStart w:id="285" w:name="Bookmark_I6B11G172HM69D0040000400"/>
      <w:bookmarkEnd w:id="285"/>
      <w:r>
        <w:rPr>
          <w:rFonts w:ascii="arial" w:eastAsia="arial" w:hAnsi="arial" w:cs="arial"/>
          <w:b w:val="0"/>
          <w:i w:val="0"/>
          <w:strike w:val="0"/>
          <w:noProof w:val="0"/>
          <w:color w:val="000000"/>
          <w:position w:val="0"/>
          <w:sz w:val="20"/>
          <w:u w:val="none"/>
          <w:vertAlign w:val="baseline"/>
        </w:rPr>
        <w:t xml:space="preserve">As some Justices noted, the Court's opinion in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left two "methodological" questions unanswered. </w:t>
      </w:r>
      <w:bookmarkStart w:id="286" w:name="Bookmark_I6B11G172D6NM10050000400"/>
      <w:bookmarkEnd w:id="286"/>
      <w:bookmarkStart w:id="287" w:name="Bookmark_I6B11G172HM69D0030000400"/>
      <w:bookmarkEnd w:id="287"/>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2162</w:t>
        </w:r>
      </w:hyperlink>
      <w:r>
        <w:rPr>
          <w:rFonts w:ascii="arial" w:eastAsia="arial" w:hAnsi="arial" w:cs="arial"/>
          <w:b w:val="0"/>
          <w:i w:val="0"/>
          <w:strike w:val="0"/>
          <w:noProof w:val="0"/>
          <w:color w:val="000000"/>
          <w:position w:val="0"/>
          <w:sz w:val="20"/>
          <w:u w:val="none"/>
          <w:vertAlign w:val="baseline"/>
        </w:rPr>
        <w:t xml:space="preserve"> (Barrett J., concurring); </w:t>
      </w:r>
      <w:r>
        <w:rPr>
          <w:rFonts w:ascii="arial" w:eastAsia="arial" w:hAnsi="arial" w:cs="arial"/>
          <w:b w:val="0"/>
          <w:i/>
          <w:strike w:val="0"/>
          <w:noProof w:val="0"/>
          <w:color w:val="000000"/>
          <w:position w:val="0"/>
          <w:sz w:val="20"/>
          <w:u w:val="none"/>
          <w:vertAlign w:val="baseline"/>
        </w:rPr>
        <w:t xml:space="preserve">see also </w:t>
      </w:r>
      <w:bookmarkStart w:id="288" w:name="Bookmark_I6B11G172HM69D0050000400"/>
      <w:bookmarkEnd w:id="288"/>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2137-38</w:t>
        </w:r>
      </w:hyperlink>
      <w:r>
        <w:rPr>
          <w:rFonts w:ascii="arial" w:eastAsia="arial" w:hAnsi="arial" w:cs="arial"/>
          <w:b w:val="0"/>
          <w:i w:val="0"/>
          <w:strike w:val="0"/>
          <w:noProof w:val="0"/>
          <w:color w:val="000000"/>
          <w:position w:val="0"/>
          <w:sz w:val="20"/>
          <w:u w:val="none"/>
          <w:vertAlign w:val="baseline"/>
        </w:rPr>
        <w:t xml:space="preserve"> (majority opinion); </w:t>
      </w:r>
      <w:bookmarkStart w:id="289" w:name="Bookmark_I6B11G172D6NM10020000400"/>
      <w:bookmarkEnd w:id="289"/>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2179-80</w:t>
        </w:r>
      </w:hyperlink>
      <w:r>
        <w:rPr>
          <w:rFonts w:ascii="arial" w:eastAsia="arial" w:hAnsi="arial" w:cs="arial"/>
          <w:b w:val="0"/>
          <w:i w:val="0"/>
          <w:strike w:val="0"/>
          <w:noProof w:val="0"/>
          <w:color w:val="000000"/>
          <w:position w:val="0"/>
          <w:sz w:val="20"/>
          <w:u w:val="none"/>
          <w:vertAlign w:val="baseline"/>
        </w:rPr>
        <w:t xml:space="preserve"> (Breyer J., dissenting). First, it is not clear how and in what circumstances lower courts should consider evidence that postdates the ratification of a particular constitutional provision in interpreting that provision. </w:t>
      </w:r>
      <w:bookmarkStart w:id="290" w:name="Bookmark_I6B11G172D6NM10050000400_2"/>
      <w:bookmarkEnd w:id="290"/>
      <w:bookmarkStart w:id="291" w:name="Bookmark_I6B11G172SF7RM0020000400"/>
      <w:bookmarkEnd w:id="291"/>
      <w:r>
        <w:rPr>
          <w:rFonts w:ascii="arial" w:eastAsia="arial" w:hAnsi="arial" w:cs="arial"/>
          <w:b w:val="0"/>
          <w:i/>
          <w:strike w:val="0"/>
          <w:noProof w:val="0"/>
          <w:color w:val="000000"/>
          <w:position w:val="0"/>
          <w:sz w:val="20"/>
          <w:u w:val="none"/>
          <w:vertAlign w:val="baseline"/>
        </w:rPr>
        <w:t xml:space="preserve">See </w:t>
      </w:r>
      <w:bookmarkStart w:id="292" w:name="Bookmark_I6B11G172D6NM10040000400"/>
      <w:bookmarkEnd w:id="292"/>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2162-63</w:t>
        </w:r>
      </w:hyperlink>
      <w:r>
        <w:rPr>
          <w:rFonts w:ascii="arial" w:eastAsia="arial" w:hAnsi="arial" w:cs="arial"/>
          <w:b w:val="0"/>
          <w:i w:val="0"/>
          <w:strike w:val="0"/>
          <w:noProof w:val="0"/>
          <w:color w:val="000000"/>
          <w:position w:val="0"/>
          <w:sz w:val="20"/>
          <w:u w:val="none"/>
          <w:vertAlign w:val="baseline"/>
        </w:rPr>
        <w:t xml:space="preserve"> (Barrett, J., concurring). </w:t>
      </w:r>
      <w:bookmarkStart w:id="293" w:name="Bookmark_I6B11G172SF7RM0020000400_2"/>
      <w:bookmarkEnd w:id="293"/>
      <w:r>
        <w:rPr>
          <w:rFonts w:ascii="arial" w:eastAsia="arial" w:hAnsi="arial" w:cs="arial"/>
          <w:b w:val="0"/>
          <w:i w:val="0"/>
          <w:strike w:val="0"/>
          <w:noProof w:val="0"/>
          <w:color w:val="000000"/>
          <w:position w:val="0"/>
          <w:sz w:val="20"/>
          <w:u w:val="none"/>
          <w:vertAlign w:val="baseline"/>
        </w:rPr>
        <w:t xml:space="preserve">In the case of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how long after 1791 may district courts look for evidence of historical analogues? </w:t>
      </w:r>
      <w:r>
        <w:rPr>
          <w:rFonts w:ascii="arial" w:eastAsia="arial" w:hAnsi="arial" w:cs="arial"/>
          <w:b w:val="0"/>
          <w:i/>
          <w:strike w:val="0"/>
          <w:noProof w:val="0"/>
          <w:color w:val="000000"/>
          <w:position w:val="0"/>
          <w:sz w:val="20"/>
          <w:u w:val="none"/>
          <w:vertAlign w:val="baseline"/>
        </w:rPr>
        <w:t xml:space="preserve">See </w:t>
      </w:r>
      <w:bookmarkStart w:id="294" w:name="Bookmark_I6B11G172SF7RM0010000400"/>
      <w:bookmarkEnd w:id="294"/>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2163</w:t>
        </w:r>
      </w:hyperlink>
      <w:r>
        <w:rPr>
          <w:rFonts w:ascii="arial" w:eastAsia="arial" w:hAnsi="arial" w:cs="arial"/>
          <w:b w:val="0"/>
          <w:i w:val="0"/>
          <w:strike w:val="0"/>
          <w:noProof w:val="0"/>
          <w:color w:val="000000"/>
          <w:position w:val="0"/>
          <w:sz w:val="20"/>
          <w:u w:val="none"/>
          <w:vertAlign w:val="baseline"/>
        </w:rPr>
        <w:t xml:space="preserve">. </w:t>
      </w:r>
      <w:bookmarkStart w:id="295" w:name="Bookmark_I6B11G172SF7RM0040000400"/>
      <w:bookmarkEnd w:id="295"/>
      <w:r>
        <w:rPr>
          <w:rFonts w:ascii="arial" w:eastAsia="arial" w:hAnsi="arial" w:cs="arial"/>
          <w:b w:val="0"/>
          <w:i w:val="0"/>
          <w:strike w:val="0"/>
          <w:noProof w:val="0"/>
          <w:color w:val="000000"/>
          <w:position w:val="0"/>
          <w:sz w:val="20"/>
          <w:u w:val="none"/>
          <w:vertAlign w:val="baseline"/>
        </w:rPr>
        <w:t xml:space="preserve">What types of evidence about what historical practices are most and least informative?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Second, and of particular import here, in cases challenging state laws under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courts of course are not enforcing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against states directly. </w:t>
      </w:r>
      <w:bookmarkStart w:id="296" w:name="Bookmark_I6B11G172SF7RM0030000400"/>
      <w:bookmarkEnd w:id="296"/>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2137</w:t>
        </w:r>
      </w:hyperlink>
      <w:r>
        <w:rPr>
          <w:rFonts w:ascii="arial" w:eastAsia="arial" w:hAnsi="arial" w:cs="arial"/>
          <w:b w:val="0"/>
          <w:i w:val="0"/>
          <w:strike w:val="0"/>
          <w:noProof w:val="0"/>
          <w:color w:val="000000"/>
          <w:position w:val="0"/>
          <w:sz w:val="20"/>
          <w:u w:val="none"/>
          <w:vertAlign w:val="baseline"/>
        </w:rPr>
        <w:t xml:space="preserve"> (majority opinion). States are "bound to respect the right to keep and bear arms because of the </w:t>
      </w:r>
      <w:hyperlink r:id="rId59"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not the Second."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general, "individual rights enumerated in the </w:t>
      </w:r>
      <w:hyperlink r:id="rId61" w:history="1">
        <w:r>
          <w:rPr>
            <w:rFonts w:ascii="arial" w:eastAsia="arial" w:hAnsi="arial" w:cs="arial"/>
            <w:b w:val="0"/>
            <w:i/>
            <w:strike w:val="0"/>
            <w:noProof w:val="0"/>
            <w:color w:val="0077CC"/>
            <w:position w:val="0"/>
            <w:sz w:val="20"/>
            <w:u w:val="single"/>
            <w:vertAlign w:val="baseline"/>
          </w:rPr>
          <w:t>Bill of Rights</w:t>
        </w:r>
      </w:hyperlink>
      <w:r>
        <w:rPr>
          <w:rFonts w:ascii="arial" w:eastAsia="arial" w:hAnsi="arial" w:cs="arial"/>
          <w:b w:val="0"/>
          <w:i w:val="0"/>
          <w:strike w:val="0"/>
          <w:noProof w:val="0"/>
          <w:color w:val="000000"/>
          <w:position w:val="0"/>
          <w:sz w:val="20"/>
          <w:u w:val="none"/>
          <w:vertAlign w:val="baseline"/>
        </w:rPr>
        <w:t xml:space="preserve"> and made applicable to the states through the </w:t>
      </w:r>
      <w:hyperlink r:id="rId59"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have the same scope as against the Federal Government."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the Supreme Court acknowledges "an ongoing</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scholarly debate on whether courts should </w:t>
      </w:r>
      <w:r>
        <w:rPr>
          <w:rFonts w:ascii="arial" w:eastAsia="arial" w:hAnsi="arial" w:cs="arial"/>
          <w:b w:val="0"/>
          <w:i/>
          <w:strike w:val="0"/>
          <w:noProof w:val="0"/>
          <w:color w:val="000000"/>
          <w:position w:val="0"/>
          <w:sz w:val="20"/>
          <w:u w:val="none"/>
          <w:vertAlign w:val="baseline"/>
        </w:rPr>
        <w:t>primarily</w:t>
      </w:r>
      <w:r>
        <w:rPr>
          <w:rFonts w:ascii="arial" w:eastAsia="arial" w:hAnsi="arial" w:cs="arial"/>
          <w:b w:val="0"/>
          <w:i w:val="0"/>
          <w:strike w:val="0"/>
          <w:noProof w:val="0"/>
          <w:color w:val="000000"/>
          <w:position w:val="0"/>
          <w:sz w:val="20"/>
          <w:u w:val="none"/>
          <w:vertAlign w:val="baseline"/>
        </w:rPr>
        <w:t xml:space="preserve"> rely on the prevailing understanding of an individual right when the </w:t>
      </w:r>
      <w:hyperlink r:id="rId59"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was ratified in 1868 when defining its </w:t>
      </w:r>
      <w:r>
        <w:rPr>
          <w:rFonts w:ascii="arial" w:eastAsia="arial" w:hAnsi="arial" w:cs="arial"/>
          <w:b/>
          <w:i w:val="0"/>
          <w:strike w:val="0"/>
          <w:noProof w:val="0"/>
          <w:color w:val="000000"/>
          <w:position w:val="0"/>
          <w:sz w:val="20"/>
          <w:u w:val="none"/>
          <w:vertAlign w:val="baseline"/>
        </w:rPr>
        <w:t> [*1108] </w:t>
      </w:r>
      <w:r>
        <w:rPr>
          <w:rFonts w:ascii="arial" w:eastAsia="arial" w:hAnsi="arial" w:cs="arial"/>
          <w:b w:val="0"/>
          <w:i w:val="0"/>
          <w:strike w:val="0"/>
          <w:noProof w:val="0"/>
          <w:color w:val="000000"/>
          <w:position w:val="0"/>
          <w:sz w:val="20"/>
          <w:u w:val="none"/>
          <w:vertAlign w:val="baseline"/>
        </w:rPr>
        <w:t xml:space="preserve"> scope (as well as the scope of the right against the Federal Government)."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40" w:after="0" w:line="260" w:lineRule="atLeast"/>
        <w:ind w:left="0" w:right="0" w:firstLine="0"/>
        <w:jc w:val="both"/>
      </w:pPr>
      <w:bookmarkStart w:id="297" w:name="Bookmark_para_51"/>
      <w:bookmarkEnd w:id="297"/>
      <w:bookmarkStart w:id="298" w:name="Bookmark_I6B11G172N1RD80010000400"/>
      <w:bookmarkEnd w:id="298"/>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the Court found it was not necessary to weigh in on that debate because "the public understanding of the right to keep and bear arms in both 1791 and 1868 was, for all relevant purposes, the same." </w:t>
      </w:r>
      <w:bookmarkStart w:id="299" w:name="Bookmark_I6B11G172SF7RM0050000400"/>
      <w:bookmarkEnd w:id="299"/>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2138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00" w:name="Bookmark_I6B11G172N1RD80020000400"/>
      <w:bookmarkEnd w:id="300"/>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2163</w:t>
        </w:r>
      </w:hyperlink>
      <w:r>
        <w:rPr>
          <w:rFonts w:ascii="arial" w:eastAsia="arial" w:hAnsi="arial" w:cs="arial"/>
          <w:b w:val="0"/>
          <w:i w:val="0"/>
          <w:strike w:val="0"/>
          <w:noProof w:val="0"/>
          <w:color w:val="000000"/>
          <w:position w:val="0"/>
          <w:sz w:val="20"/>
          <w:u w:val="none"/>
          <w:vertAlign w:val="baseline"/>
        </w:rPr>
        <w:t xml:space="preserve"> (Barrett, J., concurring). The Court did not explain that conclusion in any detail. This left several difficult questions unanswered. For example, what should a lower court do if evidence from the late 1700s contradicts evidence from the reconstruction era? Or what if evidence from the late 1700s is absent, but evidence from the late nineteenth century is plentiful and compelling? The Court did offer some guidelines for drawing analogies, as noted, but until the Supreme Court offers more clarity, courts like this one are left to muddle their way.</w:t>
      </w:r>
    </w:p>
    <w:p>
      <w:pPr>
        <w:keepNext w:val="0"/>
        <w:spacing w:before="200" w:after="0" w:line="260" w:lineRule="atLeast"/>
        <w:ind w:left="0" w:right="0" w:firstLine="0"/>
        <w:jc w:val="both"/>
      </w:pPr>
      <w:bookmarkStart w:id="301" w:name="Bookmark_para_52"/>
      <w:bookmarkEnd w:id="301"/>
      <w:bookmarkStart w:id="302" w:name="Bookmark_I6B11G172N1RD80050000400"/>
      <w:bookmarkEnd w:id="302"/>
      <w:r>
        <w:rPr>
          <w:rFonts w:ascii="arial" w:eastAsia="arial" w:hAnsi="arial" w:cs="arial"/>
          <w:b w:val="0"/>
          <w:i w:val="0"/>
          <w:strike w:val="0"/>
          <w:noProof w:val="0"/>
          <w:color w:val="000000"/>
          <w:position w:val="0"/>
          <w:sz w:val="20"/>
          <w:u w:val="none"/>
          <w:vertAlign w:val="baseline"/>
        </w:rPr>
        <w:t xml:space="preserve">As Justice Breyer wrote for the three dissenting justices in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judges are, as a group, not accustomed to "resolving difficult historical questions." </w:t>
      </w:r>
      <w:bookmarkStart w:id="303" w:name="Bookmark_I6B11G172N1RD80040000400"/>
      <w:bookmarkEnd w:id="303"/>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2177</w:t>
        </w:r>
      </w:hyperlink>
      <w:r>
        <w:rPr>
          <w:rFonts w:ascii="arial" w:eastAsia="arial" w:hAnsi="arial" w:cs="arial"/>
          <w:b w:val="0"/>
          <w:i w:val="0"/>
          <w:strike w:val="0"/>
          <w:noProof w:val="0"/>
          <w:color w:val="000000"/>
          <w:position w:val="0"/>
          <w:sz w:val="20"/>
          <w:u w:val="none"/>
          <w:vertAlign w:val="baseline"/>
        </w:rPr>
        <w:t>. This is not to</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say history is completely beyond our reach. Judges will hear and resolve disputes about historical traditions of firearm regulation without producing professional historical research, just as we hear "antitrust cases without producing cutting-edge microeconomic research" and "decide issues of toxic-tort causation without ever donning lab coats." William Baude &amp; Stephen Sachs, </w:t>
      </w:r>
      <w:r>
        <w:rPr>
          <w:rFonts w:ascii="arial" w:eastAsia="arial" w:hAnsi="arial" w:cs="arial"/>
          <w:b w:val="0"/>
          <w:i/>
          <w:strike w:val="0"/>
          <w:noProof w:val="0"/>
          <w:color w:val="000000"/>
          <w:position w:val="0"/>
          <w:sz w:val="20"/>
          <w:u w:val="none"/>
          <w:vertAlign w:val="baseline"/>
        </w:rPr>
        <w:t>Originalism and the Law of the Past</w:t>
      </w:r>
      <w:r>
        <w:rPr>
          <w:rFonts w:ascii="arial" w:eastAsia="arial" w:hAnsi="arial" w:cs="arial"/>
          <w:b w:val="0"/>
          <w:i w:val="0"/>
          <w:strike w:val="0"/>
          <w:noProof w:val="0"/>
          <w:color w:val="000000"/>
          <w:position w:val="0"/>
          <w:sz w:val="20"/>
          <w:u w:val="none"/>
          <w:vertAlign w:val="baseline"/>
        </w:rPr>
        <w:t>, 37 Law &amp; History Rev. 809, 816 (2019). By the same token, just as judges and court staff can bungle econometrics and misunderstand organic chemistry, they can fall victim to errors professional historians might easily avoid.</w:t>
      </w:r>
    </w:p>
    <w:p>
      <w:pPr>
        <w:keepNext w:val="0"/>
        <w:spacing w:before="200" w:after="0" w:line="260" w:lineRule="atLeast"/>
        <w:ind w:left="0" w:right="0" w:firstLine="0"/>
        <w:jc w:val="both"/>
      </w:pPr>
      <w:bookmarkStart w:id="304" w:name="Bookmark_para_53"/>
      <w:bookmarkEnd w:id="304"/>
      <w:bookmarkStart w:id="305" w:name="Bookmark_I6B11G172D6NM20020000400"/>
      <w:bookmarkEnd w:id="305"/>
      <w:r>
        <w:rPr>
          <w:rFonts w:ascii="arial" w:eastAsia="arial" w:hAnsi="arial" w:cs="arial"/>
          <w:b w:val="0"/>
          <w:i w:val="0"/>
          <w:strike w:val="0"/>
          <w:noProof w:val="0"/>
          <w:color w:val="000000"/>
          <w:position w:val="0"/>
          <w:sz w:val="20"/>
          <w:u w:val="none"/>
          <w:vertAlign w:val="baseline"/>
        </w:rPr>
        <w:t xml:space="preserve">Out of a desire to avoid such errors, this court initially ordered the parties to show cause why it should not appoint an independent expert historian under </w:t>
      </w:r>
      <w:hyperlink r:id="rId62" w:history="1">
        <w:r>
          <w:rPr>
            <w:rFonts w:ascii="arial" w:eastAsia="arial" w:hAnsi="arial" w:cs="arial"/>
            <w:b w:val="0"/>
            <w:i/>
            <w:strike w:val="0"/>
            <w:noProof w:val="0"/>
            <w:color w:val="0077CC"/>
            <w:position w:val="0"/>
            <w:sz w:val="20"/>
            <w:u w:val="single"/>
            <w:vertAlign w:val="baseline"/>
          </w:rPr>
          <w:t>Federal Rule of Evidence 706</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307" w:name="Bookmark_I6B11G172D6NM20010000400"/>
      <w:bookmarkEnd w:id="307"/>
      <w:hyperlink r:id="rId36" w:history="1">
        <w:r>
          <w:rPr>
            <w:rFonts w:ascii="arial" w:eastAsia="arial" w:hAnsi="arial" w:cs="arial"/>
            <w:b w:val="0"/>
            <w:i/>
            <w:strike w:val="0"/>
            <w:noProof w:val="0"/>
            <w:color w:val="0077CC"/>
            <w:position w:val="0"/>
            <w:sz w:val="20"/>
            <w:u w:val="single"/>
            <w:vertAlign w:val="baseline"/>
          </w:rPr>
          <w:t>644 F. Supp. 3d at 738</w:t>
        </w:r>
      </w:hyperlink>
      <w:r>
        <w:rPr>
          <w:rFonts w:ascii="arial" w:eastAsia="arial" w:hAnsi="arial" w:cs="arial"/>
          <w:b w:val="0"/>
          <w:i w:val="0"/>
          <w:strike w:val="0"/>
          <w:noProof w:val="0"/>
          <w:color w:val="000000"/>
          <w:position w:val="0"/>
          <w:sz w:val="20"/>
          <w:u w:val="none"/>
          <w:vertAlign w:val="baseline"/>
        </w:rPr>
        <w:t xml:space="preserve">. The parties argued an independent expert was unnecessary, among other reasons because the parties' own retained experts could explain the historical record.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Pls.' Resp., ECF No. 88; Def.'s Resp., ECF No. 87. Having reviewed the parties' responses and the current record, the court discharges its previous order to show cause. In reviewing the record and the parties' filings, the court has taken steps—as it would in any</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case involving subject matter with which it is unfamiliar—to inform its assessment of the evidence, the historical record and the many filed experts' opinions; it has consulted a few publicly available resources describing the fundamental conventions of historical scholarship with an audience of legal professionals in mind, summarized in the following paragraphs. The court similarly has reviewed a collection of historical essays by scholars with contrasting views about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and its history, some of which are cited below.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Jennifer Tucker et al., eds., </w:t>
      </w:r>
      <w:r>
        <w:rPr>
          <w:rFonts w:ascii="arial" w:eastAsia="arial" w:hAnsi="arial" w:cs="arial"/>
          <w:b w:val="0"/>
          <w:i/>
          <w:strike w:val="0"/>
          <w:noProof w:val="0"/>
          <w:color w:val="000000"/>
          <w:position w:val="0"/>
          <w:sz w:val="20"/>
          <w:u w:val="none"/>
          <w:vertAlign w:val="baseline"/>
        </w:rPr>
        <w:t>A Right to Bear Arms?</w:t>
      </w:r>
      <w:r>
        <w:rPr>
          <w:rFonts w:ascii="arial" w:eastAsia="arial" w:hAnsi="arial" w:cs="arial"/>
          <w:b w:val="0"/>
          <w:i w:val="0"/>
          <w:strike w:val="0"/>
          <w:noProof w:val="0"/>
          <w:color w:val="000000"/>
          <w:position w:val="0"/>
          <w:sz w:val="20"/>
          <w:u w:val="none"/>
          <w:vertAlign w:val="baseline"/>
        </w:rPr>
        <w:t xml:space="preserve"> (2019).</w:t>
      </w:r>
    </w:p>
    <w:p>
      <w:pPr>
        <w:keepNext w:val="0"/>
        <w:spacing w:before="240" w:after="0" w:line="260" w:lineRule="atLeast"/>
        <w:ind w:left="0" w:right="0" w:firstLine="0"/>
        <w:jc w:val="both"/>
      </w:pPr>
      <w:bookmarkStart w:id="308" w:name="Bookmark_para_54"/>
      <w:bookmarkEnd w:id="308"/>
      <w:r>
        <w:rPr>
          <w:rFonts w:ascii="arial" w:eastAsia="arial" w:hAnsi="arial" w:cs="arial"/>
          <w:b w:val="0"/>
          <w:i w:val="0"/>
          <w:strike w:val="0"/>
          <w:noProof w:val="0"/>
          <w:color w:val="000000"/>
          <w:position w:val="0"/>
          <w:sz w:val="20"/>
          <w:u w:val="none"/>
          <w:vertAlign w:val="baseline"/>
        </w:rPr>
        <w:t xml:space="preserve">Based on its review of these resources, the court accepts the proposition that an argument from history, like any that draws from another "established discipline," is convincing only if "it abides by the conventions of that discipline." Martin S. Flaherty, </w:t>
      </w:r>
      <w:r>
        <w:rPr>
          <w:rFonts w:ascii="arial" w:eastAsia="arial" w:hAnsi="arial" w:cs="arial"/>
          <w:b w:val="0"/>
          <w:i/>
          <w:strike w:val="0"/>
          <w:noProof w:val="0"/>
          <w:color w:val="000000"/>
          <w:position w:val="0"/>
          <w:sz w:val="20"/>
          <w:u w:val="none"/>
          <w:vertAlign w:val="baseline"/>
        </w:rPr>
        <w:t>History "Lite" in Modern American Constitutionalism</w:t>
      </w:r>
      <w:r>
        <w:rPr>
          <w:rFonts w:ascii="arial" w:eastAsia="arial" w:hAnsi="arial" w:cs="arial"/>
          <w:b w:val="0"/>
          <w:i w:val="0"/>
          <w:strike w:val="0"/>
          <w:noProof w:val="0"/>
          <w:color w:val="000000"/>
          <w:position w:val="0"/>
          <w:sz w:val="20"/>
          <w:u w:val="none"/>
          <w:vertAlign w:val="baseline"/>
        </w:rPr>
        <w:t xml:space="preserve">, </w:t>
      </w:r>
      <w:hyperlink r:id="rId63" w:history="1">
        <w:r>
          <w:rPr>
            <w:rFonts w:ascii="arial" w:eastAsia="arial" w:hAnsi="arial" w:cs="arial"/>
            <w:b w:val="0"/>
            <w:i/>
            <w:strike w:val="0"/>
            <w:noProof w:val="0"/>
            <w:color w:val="0077CC"/>
            <w:position w:val="0"/>
            <w:sz w:val="20"/>
            <w:u w:val="single"/>
            <w:vertAlign w:val="baseline"/>
          </w:rPr>
          <w:t>95 Colum. L. Rev. 523, 551 (1995)</w:t>
        </w:r>
      </w:hyperlink>
      <w:r>
        <w:rPr>
          <w:rFonts w:ascii="arial" w:eastAsia="arial" w:hAnsi="arial" w:cs="arial"/>
          <w:b w:val="0"/>
          <w:i w:val="0"/>
          <w:strike w:val="0"/>
          <w:noProof w:val="0"/>
          <w:color w:val="000000"/>
          <w:position w:val="0"/>
          <w:sz w:val="20"/>
          <w:u w:val="none"/>
          <w:vertAlign w:val="baseline"/>
        </w:rPr>
        <w:t xml:space="preserve">. "Just as scientific </w:t>
      </w:r>
      <w:r>
        <w:rPr>
          <w:rFonts w:ascii="arial" w:eastAsia="arial" w:hAnsi="arial" w:cs="arial"/>
          <w:b/>
          <w:i w:val="0"/>
          <w:strike w:val="0"/>
          <w:noProof w:val="0"/>
          <w:color w:val="000000"/>
          <w:position w:val="0"/>
          <w:sz w:val="20"/>
          <w:u w:val="none"/>
          <w:vertAlign w:val="baseline"/>
        </w:rPr>
        <w:t> [*1109] </w:t>
      </w:r>
      <w:r>
        <w:rPr>
          <w:rFonts w:ascii="arial" w:eastAsia="arial" w:hAnsi="arial" w:cs="arial"/>
          <w:b w:val="0"/>
          <w:i w:val="0"/>
          <w:strike w:val="0"/>
          <w:noProof w:val="0"/>
          <w:color w:val="000000"/>
          <w:position w:val="0"/>
          <w:sz w:val="20"/>
          <w:u w:val="none"/>
          <w:vertAlign w:val="baseline"/>
        </w:rPr>
        <w:t xml:space="preserve"> testimony must adhere to the scientific method, so too must historical testimony adhere to the historical method." Jonathan D. Martin, Note, </w:t>
      </w:r>
      <w:r>
        <w:rPr>
          <w:rFonts w:ascii="arial" w:eastAsia="arial" w:hAnsi="arial" w:cs="arial"/>
          <w:b w:val="0"/>
          <w:i/>
          <w:strike w:val="0"/>
          <w:noProof w:val="0"/>
          <w:color w:val="000000"/>
          <w:position w:val="0"/>
          <w:sz w:val="20"/>
          <w:u w:val="none"/>
          <w:vertAlign w:val="baseline"/>
        </w:rPr>
        <w:t>Historians at the Gate: Accommodating Expert Historical Testimony in Federal Courts</w:t>
      </w:r>
      <w:r>
        <w:rPr>
          <w:rFonts w:ascii="arial" w:eastAsia="arial" w:hAnsi="arial" w:cs="arial"/>
          <w:b w:val="0"/>
          <w:i w:val="0"/>
          <w:strike w:val="0"/>
          <w:noProof w:val="0"/>
          <w:color w:val="000000"/>
          <w:position w:val="0"/>
          <w:sz w:val="20"/>
          <w:u w:val="none"/>
          <w:vertAlign w:val="baseline"/>
        </w:rPr>
        <w:t xml:space="preserve">, </w:t>
      </w:r>
      <w:hyperlink r:id="rId64" w:history="1">
        <w:r>
          <w:rPr>
            <w:rFonts w:ascii="arial" w:eastAsia="arial" w:hAnsi="arial" w:cs="arial"/>
            <w:b w:val="0"/>
            <w:i/>
            <w:strike w:val="0"/>
            <w:noProof w:val="0"/>
            <w:color w:val="0077CC"/>
            <w:position w:val="0"/>
            <w:sz w:val="20"/>
            <w:u w:val="single"/>
            <w:vertAlign w:val="baseline"/>
          </w:rPr>
          <w:t>78 N.Y.U. L. Rev. 1518, 1521 (2003)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09" w:name="Bookmark_para_55"/>
      <w:bookmarkEnd w:id="309"/>
      <w:r>
        <w:rPr>
          <w:rFonts w:ascii="arial" w:eastAsia="arial" w:hAnsi="arial" w:cs="arial"/>
          <w:b w:val="0"/>
          <w:i w:val="0"/>
          <w:strike w:val="0"/>
          <w:noProof w:val="0"/>
          <w:color w:val="000000"/>
          <w:position w:val="0"/>
          <w:sz w:val="20"/>
          <w:u w:val="none"/>
          <w:vertAlign w:val="baseline"/>
        </w:rPr>
        <w:t>One historian wrote several years ago that</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historians, unlike legal professionals, can tend to "focus on the differentness and irretrievability" of the past. Laura Kalman, </w:t>
      </w:r>
      <w:r>
        <w:rPr>
          <w:rFonts w:ascii="arial" w:eastAsia="arial" w:hAnsi="arial" w:cs="arial"/>
          <w:b w:val="0"/>
          <w:i/>
          <w:strike w:val="0"/>
          <w:noProof w:val="0"/>
          <w:color w:val="000000"/>
          <w:position w:val="0"/>
          <w:sz w:val="20"/>
          <w:u w:val="none"/>
          <w:vertAlign w:val="baseline"/>
        </w:rPr>
        <w:t>Border Patrol: Reflections on the Turn to History in Legal Scholarship</w:t>
      </w:r>
      <w:r>
        <w:rPr>
          <w:rFonts w:ascii="arial" w:eastAsia="arial" w:hAnsi="arial" w:cs="arial"/>
          <w:b w:val="0"/>
          <w:i w:val="0"/>
          <w:strike w:val="0"/>
          <w:noProof w:val="0"/>
          <w:color w:val="000000"/>
          <w:position w:val="0"/>
          <w:sz w:val="20"/>
          <w:u w:val="none"/>
          <w:vertAlign w:val="baseline"/>
        </w:rPr>
        <w:t xml:space="preserve">, </w:t>
      </w:r>
      <w:hyperlink r:id="rId65" w:history="1">
        <w:r>
          <w:rPr>
            <w:rFonts w:ascii="arial" w:eastAsia="arial" w:hAnsi="arial" w:cs="arial"/>
            <w:b w:val="0"/>
            <w:i/>
            <w:strike w:val="0"/>
            <w:noProof w:val="0"/>
            <w:color w:val="0077CC"/>
            <w:position w:val="0"/>
            <w:sz w:val="20"/>
            <w:u w:val="single"/>
            <w:vertAlign w:val="baseline"/>
          </w:rPr>
          <w:t>66 Fordham L. Rev. 87, 103 (1997)</w:t>
        </w:r>
      </w:hyperlink>
      <w:r>
        <w:rPr>
          <w:rFonts w:ascii="arial" w:eastAsia="arial" w:hAnsi="arial" w:cs="arial"/>
          <w:b w:val="0"/>
          <w:i w:val="0"/>
          <w:strike w:val="0"/>
          <w:noProof w:val="0"/>
          <w:color w:val="000000"/>
          <w:position w:val="0"/>
          <w:sz w:val="20"/>
          <w:u w:val="none"/>
          <w:vertAlign w:val="baseline"/>
        </w:rPr>
        <w:t xml:space="preserve">. "Visiting an earlier period is, as historians like to say, rather like visiting a foreign country. One can read the words and follow the events, but understanding them requires an authentic feel for the culture." </w:t>
      </w:r>
      <w:hyperlink r:id="rId66" w:history="1">
        <w:r>
          <w:rPr>
            <w:rFonts w:ascii="arial" w:eastAsia="arial" w:hAnsi="arial" w:cs="arial"/>
            <w:b w:val="0"/>
            <w:i/>
            <w:strike w:val="0"/>
            <w:noProof w:val="0"/>
            <w:color w:val="0077CC"/>
            <w:position w:val="0"/>
            <w:sz w:val="20"/>
            <w:u w:val="single"/>
            <w:vertAlign w:val="baseline"/>
          </w:rPr>
          <w:t xml:space="preserve">Larry D. Kramer, </w:t>
        </w:r>
      </w:hyperlink>
      <w:hyperlink r:id="rId66" w:history="1">
        <w:r>
          <w:rPr>
            <w:rFonts w:ascii="arial" w:eastAsia="arial" w:hAnsi="arial" w:cs="arial"/>
            <w:b w:val="0"/>
            <w:i/>
            <w:strike w:val="0"/>
            <w:noProof w:val="0"/>
            <w:color w:val="0077CC"/>
            <w:position w:val="0"/>
            <w:sz w:val="20"/>
            <w:u w:val="single"/>
            <w:vertAlign w:val="baseline"/>
          </w:rPr>
          <w:t>When Lawyers Do History</w:t>
        </w:r>
      </w:hyperlink>
      <w:hyperlink r:id="rId66" w:history="1">
        <w:r>
          <w:rPr>
            <w:rFonts w:ascii="arial" w:eastAsia="arial" w:hAnsi="arial" w:cs="arial"/>
            <w:b w:val="0"/>
            <w:i/>
            <w:strike w:val="0"/>
            <w:noProof w:val="0"/>
            <w:color w:val="0077CC"/>
            <w:position w:val="0"/>
            <w:sz w:val="20"/>
            <w:u w:val="single"/>
            <w:vertAlign w:val="baseline"/>
          </w:rPr>
          <w:t>, 72 Geo. Wash. L. Rev. 387, 390 (2003)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David Lowenthal, </w:t>
      </w:r>
      <w:r>
        <w:rPr>
          <w:rFonts w:ascii="arial" w:eastAsia="arial" w:hAnsi="arial" w:cs="arial"/>
          <w:b w:val="0"/>
          <w:i/>
          <w:strike w:val="0"/>
          <w:noProof w:val="0"/>
          <w:color w:val="000000"/>
          <w:position w:val="0"/>
          <w:sz w:val="20"/>
          <w:u w:val="none"/>
          <w:vertAlign w:val="baseline"/>
        </w:rPr>
        <w:t>The Past Is a Foreign Country</w:t>
      </w:r>
      <w:r>
        <w:rPr>
          <w:rFonts w:ascii="arial" w:eastAsia="arial" w:hAnsi="arial" w:cs="arial"/>
          <w:b w:val="0"/>
          <w:i w:val="0"/>
          <w:strike w:val="0"/>
          <w:noProof w:val="0"/>
          <w:color w:val="000000"/>
          <w:position w:val="0"/>
          <w:sz w:val="20"/>
          <w:u w:val="none"/>
          <w:vertAlign w:val="baseline"/>
        </w:rPr>
        <w:t xml:space="preserve"> (1985).</w:t>
      </w:r>
    </w:p>
    <w:p>
      <w:pPr>
        <w:keepNext w:val="0"/>
        <w:spacing w:before="200" w:after="0" w:line="260" w:lineRule="atLeast"/>
        <w:ind w:left="0" w:right="0" w:firstLine="0"/>
        <w:jc w:val="both"/>
      </w:pPr>
      <w:bookmarkStart w:id="310" w:name="Bookmark_para_56"/>
      <w:bookmarkEnd w:id="310"/>
      <w:r>
        <w:rPr>
          <w:rFonts w:ascii="arial" w:eastAsia="arial" w:hAnsi="arial" w:cs="arial"/>
          <w:b w:val="0"/>
          <w:i w:val="0"/>
          <w:strike w:val="0"/>
          <w:noProof w:val="0"/>
          <w:color w:val="000000"/>
          <w:position w:val="0"/>
          <w:sz w:val="20"/>
          <w:u w:val="none"/>
          <w:vertAlign w:val="baseline"/>
        </w:rPr>
        <w:t xml:space="preserve">The foreignness of the past can at times be obvious: A student interpreting a fragmented text written in a forgotten language and an ancient alphabet is "unlikely to forget that she is dealing with the artifact of a culture different from her own." H. Jefferson Powell, </w:t>
      </w:r>
      <w:r>
        <w:rPr>
          <w:rFonts w:ascii="arial" w:eastAsia="arial" w:hAnsi="arial" w:cs="arial"/>
          <w:b w:val="0"/>
          <w:i/>
          <w:strike w:val="0"/>
          <w:noProof w:val="0"/>
          <w:color w:val="000000"/>
          <w:position w:val="0"/>
          <w:sz w:val="20"/>
          <w:u w:val="none"/>
          <w:vertAlign w:val="baseline"/>
        </w:rPr>
        <w:t>Rules for Originalists</w:t>
      </w:r>
      <w:r>
        <w:rPr>
          <w:rFonts w:ascii="arial" w:eastAsia="arial" w:hAnsi="arial" w:cs="arial"/>
          <w:b w:val="0"/>
          <w:i w:val="0"/>
          <w:strike w:val="0"/>
          <w:noProof w:val="0"/>
          <w:color w:val="000000"/>
          <w:position w:val="0"/>
          <w:sz w:val="20"/>
          <w:u w:val="none"/>
          <w:vertAlign w:val="baseline"/>
        </w:rPr>
        <w:t xml:space="preserve">, </w:t>
      </w:r>
      <w:hyperlink r:id="rId67" w:history="1">
        <w:r>
          <w:rPr>
            <w:rFonts w:ascii="arial" w:eastAsia="arial" w:hAnsi="arial" w:cs="arial"/>
            <w:b w:val="0"/>
            <w:i/>
            <w:strike w:val="0"/>
            <w:noProof w:val="0"/>
            <w:color w:val="0077CC"/>
            <w:position w:val="0"/>
            <w:sz w:val="20"/>
            <w:u w:val="single"/>
            <w:vertAlign w:val="baseline"/>
          </w:rPr>
          <w:t>73 Va. L. Rev. 659, 672-73 (1987)</w:t>
        </w:r>
      </w:hyperlink>
      <w:r>
        <w:rPr>
          <w:rFonts w:ascii="arial" w:eastAsia="arial" w:hAnsi="arial" w:cs="arial"/>
          <w:b w:val="0"/>
          <w:i w:val="0"/>
          <w:strike w:val="0"/>
          <w:noProof w:val="0"/>
          <w:color w:val="000000"/>
          <w:position w:val="0"/>
          <w:sz w:val="20"/>
          <w:u w:val="none"/>
          <w:vertAlign w:val="baseline"/>
        </w:rPr>
        <w:t xml:space="preserve">. The foreignness of the history that judges and lawyers are likely to encounter can be easier to overlook. A lawyer or judge might feel a kinship or common heritage with those who wrote the Constitution. </w:t>
      </w:r>
      <w:r>
        <w:rPr>
          <w:rFonts w:ascii="arial" w:eastAsia="arial" w:hAnsi="arial" w:cs="arial"/>
          <w:b w:val="0"/>
          <w:i/>
          <w:strike w:val="0"/>
          <w:noProof w:val="0"/>
          <w:color w:val="000000"/>
          <w:position w:val="0"/>
          <w:sz w:val="20"/>
          <w:u w:val="none"/>
          <w:vertAlign w:val="baseline"/>
        </w:rPr>
        <w:t xml:space="preserve">See </w:t>
      </w:r>
      <w:hyperlink r:id="rId67" w:history="1">
        <w:r>
          <w:rPr>
            <w:rFonts w:ascii="arial" w:eastAsia="arial" w:hAnsi="arial" w:cs="arial"/>
            <w:b w:val="0"/>
            <w:i/>
            <w:strike w:val="0"/>
            <w:noProof w:val="0"/>
            <w:color w:val="0077CC"/>
            <w:position w:val="0"/>
            <w:sz w:val="20"/>
            <w:u w:val="single"/>
            <w:vertAlign w:val="baseline"/>
          </w:rPr>
          <w:t>id.</w:t>
        </w:r>
      </w:hyperlink>
      <w:hyperlink r:id="rId67" w:history="1">
        <w:r>
          <w:rPr>
            <w:rFonts w:ascii="arial" w:eastAsia="arial" w:hAnsi="arial" w:cs="arial"/>
            <w:b w:val="0"/>
            <w:i/>
            <w:strike w:val="0"/>
            <w:noProof w:val="0"/>
            <w:color w:val="0077CC"/>
            <w:position w:val="0"/>
            <w:sz w:val="20"/>
            <w:u w:val="single"/>
            <w:vertAlign w:val="baseline"/>
          </w:rPr>
          <w:t xml:space="preserve"> at 673</w:t>
        </w:r>
      </w:hyperlink>
      <w:r>
        <w:rPr>
          <w:rFonts w:ascii="arial" w:eastAsia="arial" w:hAnsi="arial" w:cs="arial"/>
          <w:b w:val="0"/>
          <w:i w:val="0"/>
          <w:strike w:val="0"/>
          <w:noProof w:val="0"/>
          <w:color w:val="000000"/>
          <w:position w:val="0"/>
          <w:sz w:val="20"/>
          <w:u w:val="none"/>
          <w:vertAlign w:val="baseline"/>
        </w:rPr>
        <w:t>. And "the very ease with which we can bridge the gap between our thought and that of the founders makes it too easy to assume that there is no gap, that the historical distance between 1987 and 1787 or 1868 is effectively</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zero."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311" w:name="Bookmark_para_57"/>
      <w:bookmarkEnd w:id="311"/>
      <w:r>
        <w:rPr>
          <w:rFonts w:ascii="arial" w:eastAsia="arial" w:hAnsi="arial" w:cs="arial"/>
          <w:b w:val="0"/>
          <w:i w:val="0"/>
          <w:strike w:val="0"/>
          <w:noProof w:val="0"/>
          <w:color w:val="000000"/>
          <w:position w:val="0"/>
          <w:sz w:val="20"/>
          <w:u w:val="none"/>
          <w:vertAlign w:val="baseline"/>
        </w:rPr>
        <w:t xml:space="preserve">"This is a false assumption. The 1787 Constitution and the first twelve amendments were written and ratified by people whose intellectual universe was distant from ours in deeply significant ways."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differences between us just as often touch the most profound questions in life, everything from rules of friendship and business to attitudes about fundamental values to the way in which perceptions of reality itself are constructed and experienced." </w:t>
      </w:r>
      <w:hyperlink r:id="rId66" w:history="1">
        <w:r>
          <w:rPr>
            <w:rFonts w:ascii="arial" w:eastAsia="arial" w:hAnsi="arial" w:cs="arial"/>
            <w:b w:val="0"/>
            <w:i/>
            <w:strike w:val="0"/>
            <w:noProof w:val="0"/>
            <w:color w:val="0077CC"/>
            <w:position w:val="0"/>
            <w:sz w:val="20"/>
            <w:u w:val="single"/>
            <w:vertAlign w:val="baseline"/>
          </w:rPr>
          <w:t xml:space="preserve">Kramer (2003), </w:t>
        </w:r>
      </w:hyperlink>
      <w:hyperlink r:id="rId66" w:history="1">
        <w:r>
          <w:rPr>
            <w:rFonts w:ascii="arial" w:eastAsia="arial" w:hAnsi="arial" w:cs="arial"/>
            <w:b w:val="0"/>
            <w:i/>
            <w:strike w:val="0"/>
            <w:noProof w:val="0"/>
            <w:color w:val="0077CC"/>
            <w:position w:val="0"/>
            <w:sz w:val="20"/>
            <w:u w:val="single"/>
            <w:vertAlign w:val="baseline"/>
          </w:rPr>
          <w:t>supra</w:t>
        </w:r>
      </w:hyperlink>
      <w:hyperlink r:id="rId66" w:history="1">
        <w:r>
          <w:rPr>
            <w:rFonts w:ascii="arial" w:eastAsia="arial" w:hAnsi="arial" w:cs="arial"/>
            <w:b w:val="0"/>
            <w:i/>
            <w:strike w:val="0"/>
            <w:noProof w:val="0"/>
            <w:color w:val="0077CC"/>
            <w:position w:val="0"/>
            <w:sz w:val="20"/>
            <w:u w:val="single"/>
            <w:vertAlign w:val="baseline"/>
          </w:rPr>
          <w:t>, at 397</w:t>
        </w:r>
      </w:hyperlink>
      <w:r>
        <w:rPr>
          <w:rFonts w:ascii="arial" w:eastAsia="arial" w:hAnsi="arial" w:cs="arial"/>
          <w:b w:val="0"/>
          <w:i w:val="0"/>
          <w:strike w:val="0"/>
          <w:noProof w:val="0"/>
          <w:color w:val="000000"/>
          <w:position w:val="0"/>
          <w:sz w:val="20"/>
          <w:u w:val="none"/>
          <w:vertAlign w:val="baseline"/>
        </w:rPr>
        <w:t xml:space="preserve">. "[T]he founders thought, argued, reached decisions, and wrote about the issues that mattered to them, not about our contemporary problems." </w:t>
      </w:r>
      <w:hyperlink r:id="rId67" w:history="1">
        <w:r>
          <w:rPr>
            <w:rFonts w:ascii="arial" w:eastAsia="arial" w:hAnsi="arial" w:cs="arial"/>
            <w:b w:val="0"/>
            <w:i/>
            <w:strike w:val="0"/>
            <w:noProof w:val="0"/>
            <w:color w:val="0077CC"/>
            <w:position w:val="0"/>
            <w:sz w:val="20"/>
            <w:u w:val="single"/>
            <w:vertAlign w:val="baseline"/>
          </w:rPr>
          <w:t xml:space="preserve">Powell (1987), </w:t>
        </w:r>
      </w:hyperlink>
      <w:hyperlink r:id="rId67" w:history="1">
        <w:r>
          <w:rPr>
            <w:rFonts w:ascii="arial" w:eastAsia="arial" w:hAnsi="arial" w:cs="arial"/>
            <w:b w:val="0"/>
            <w:i/>
            <w:strike w:val="0"/>
            <w:noProof w:val="0"/>
            <w:color w:val="0077CC"/>
            <w:position w:val="0"/>
            <w:sz w:val="20"/>
            <w:u w:val="single"/>
            <w:vertAlign w:val="baseline"/>
          </w:rPr>
          <w:t>supra</w:t>
        </w:r>
      </w:hyperlink>
      <w:hyperlink r:id="rId67" w:history="1">
        <w:r>
          <w:rPr>
            <w:rFonts w:ascii="arial" w:eastAsia="arial" w:hAnsi="arial" w:cs="arial"/>
            <w:b w:val="0"/>
            <w:i/>
            <w:strike w:val="0"/>
            <w:noProof w:val="0"/>
            <w:color w:val="0077CC"/>
            <w:position w:val="0"/>
            <w:sz w:val="20"/>
            <w:u w:val="single"/>
            <w:vertAlign w:val="baseline"/>
          </w:rPr>
          <w:t>, at 669</w:t>
        </w:r>
      </w:hyperlink>
      <w:r>
        <w:rPr>
          <w:rFonts w:ascii="arial" w:eastAsia="arial" w:hAnsi="arial" w:cs="arial"/>
          <w:b w:val="0"/>
          <w:i w:val="0"/>
          <w:strike w:val="0"/>
          <w:noProof w:val="0"/>
          <w:color w:val="000000"/>
          <w:position w:val="0"/>
          <w:sz w:val="20"/>
          <w:u w:val="none"/>
          <w:vertAlign w:val="baseline"/>
        </w:rPr>
        <w:t xml:space="preserve">. For an historical analogy to be persuasive, it cannot be distorted by "anachronism or reductionism or lack of context or simple misstatement." </w:t>
      </w:r>
      <w:hyperlink r:id="rId66" w:history="1">
        <w:r>
          <w:rPr>
            <w:rFonts w:ascii="arial" w:eastAsia="arial" w:hAnsi="arial" w:cs="arial"/>
            <w:b w:val="0"/>
            <w:i/>
            <w:strike w:val="0"/>
            <w:noProof w:val="0"/>
            <w:color w:val="0077CC"/>
            <w:position w:val="0"/>
            <w:sz w:val="20"/>
            <w:u w:val="single"/>
            <w:vertAlign w:val="baseline"/>
          </w:rPr>
          <w:t xml:space="preserve">Kramer (2003), </w:t>
        </w:r>
      </w:hyperlink>
      <w:hyperlink r:id="rId66" w:history="1">
        <w:r>
          <w:rPr>
            <w:rFonts w:ascii="arial" w:eastAsia="arial" w:hAnsi="arial" w:cs="arial"/>
            <w:b w:val="0"/>
            <w:i/>
            <w:strike w:val="0"/>
            <w:noProof w:val="0"/>
            <w:color w:val="0077CC"/>
            <w:position w:val="0"/>
            <w:sz w:val="20"/>
            <w:u w:val="single"/>
            <w:vertAlign w:val="baseline"/>
          </w:rPr>
          <w:t>supra</w:t>
        </w:r>
      </w:hyperlink>
      <w:hyperlink r:id="rId66" w:history="1">
        <w:r>
          <w:rPr>
            <w:rFonts w:ascii="arial" w:eastAsia="arial" w:hAnsi="arial" w:cs="arial"/>
            <w:b w:val="0"/>
            <w:i/>
            <w:strike w:val="0"/>
            <w:noProof w:val="0"/>
            <w:color w:val="0077CC"/>
            <w:position w:val="0"/>
            <w:sz w:val="20"/>
            <w:u w:val="single"/>
            <w:vertAlign w:val="baseline"/>
          </w:rPr>
          <w:t>, at 395</w:t>
        </w:r>
      </w:hyperlink>
      <w:r>
        <w:rPr>
          <w:rFonts w:ascii="arial" w:eastAsia="arial" w:hAnsi="arial" w:cs="arial"/>
          <w:b w:val="0"/>
          <w:i w:val="0"/>
          <w:strike w:val="0"/>
          <w:noProof w:val="0"/>
          <w:color w:val="000000"/>
          <w:position w:val="0"/>
          <w:sz w:val="20"/>
          <w:u w:val="none"/>
          <w:vertAlign w:val="baseline"/>
        </w:rPr>
        <w:t xml:space="preserve">. "To understand what a particular historical actor meant when he wrote about the right to bear arms requires scholars to immerse themselves in the surviving evidence from this period and to analyze published and unpublished sources, private comments as well as public statements." Saul Cornell, </w:t>
      </w:r>
      <w:r>
        <w:rPr>
          <w:rFonts w:ascii="arial" w:eastAsia="arial" w:hAnsi="arial" w:cs="arial"/>
          <w:b w:val="0"/>
          <w:i/>
          <w:strike w:val="0"/>
          <w:noProof w:val="0"/>
          <w:color w:val="000000"/>
          <w:position w:val="0"/>
          <w:sz w:val="20"/>
          <w:u w:val="none"/>
          <w:vertAlign w:val="baseline"/>
        </w:rPr>
        <w:t>Commonplace or Anachronism: The Standard Model</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strike w:val="0"/>
          <w:noProof w:val="0"/>
          <w:color w:val="000000"/>
          <w:position w:val="0"/>
          <w:sz w:val="20"/>
          <w:u w:val="none"/>
          <w:vertAlign w:val="baseline"/>
        </w:rPr>
        <w:t>, and the Problem of History in Contemporary Constitutional Theory</w:t>
      </w:r>
      <w:r>
        <w:rPr>
          <w:rFonts w:ascii="arial" w:eastAsia="arial" w:hAnsi="arial" w:cs="arial"/>
          <w:b w:val="0"/>
          <w:i w:val="0"/>
          <w:strike w:val="0"/>
          <w:noProof w:val="0"/>
          <w:color w:val="000000"/>
          <w:position w:val="0"/>
          <w:sz w:val="20"/>
          <w:u w:val="none"/>
          <w:vertAlign w:val="baseline"/>
        </w:rPr>
        <w:t xml:space="preserve">, </w:t>
      </w:r>
      <w:hyperlink r:id="rId68" w:history="1">
        <w:r>
          <w:rPr>
            <w:rFonts w:ascii="arial" w:eastAsia="arial" w:hAnsi="arial" w:cs="arial"/>
            <w:b w:val="0"/>
            <w:i/>
            <w:strike w:val="0"/>
            <w:noProof w:val="0"/>
            <w:color w:val="0077CC"/>
            <w:position w:val="0"/>
            <w:sz w:val="20"/>
            <w:u w:val="single"/>
            <w:vertAlign w:val="baseline"/>
          </w:rPr>
          <w:t>16 Const. Comment. 221, 225 (1999)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3" w:name="Bookmark_para_58"/>
      <w:bookmarkEnd w:id="313"/>
      <w:r>
        <w:rPr>
          <w:rFonts w:ascii="arial" w:eastAsia="arial" w:hAnsi="arial" w:cs="arial"/>
          <w:b w:val="0"/>
          <w:i w:val="0"/>
          <w:strike w:val="0"/>
          <w:noProof w:val="0"/>
          <w:color w:val="000000"/>
          <w:position w:val="0"/>
          <w:sz w:val="20"/>
          <w:u w:val="none"/>
          <w:vertAlign w:val="baseline"/>
        </w:rPr>
        <w:t>Moreover, "[c]omplex historical</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assertions are always probabilistic in character." </w:t>
      </w:r>
      <w:hyperlink r:id="rId67" w:history="1">
        <w:r>
          <w:rPr>
            <w:rFonts w:ascii="arial" w:eastAsia="arial" w:hAnsi="arial" w:cs="arial"/>
            <w:b w:val="0"/>
            <w:i/>
            <w:strike w:val="0"/>
            <w:noProof w:val="0"/>
            <w:color w:val="0077CC"/>
            <w:position w:val="0"/>
            <w:sz w:val="20"/>
            <w:u w:val="single"/>
            <w:vertAlign w:val="baseline"/>
          </w:rPr>
          <w:t>Powell</w:t>
        </w:r>
      </w:hyperlink>
      <w:hyperlink r:id="rId67" w:history="1">
        <w:r>
          <w:rPr>
            <w:rFonts w:ascii="arial" w:eastAsia="arial" w:hAnsi="arial" w:cs="arial"/>
            <w:b w:val="0"/>
            <w:i/>
            <w:strike w:val="0"/>
            <w:noProof w:val="0"/>
            <w:color w:val="0077CC"/>
            <w:position w:val="0"/>
            <w:sz w:val="20"/>
            <w:u w:val="single"/>
            <w:vertAlign w:val="baseline"/>
          </w:rPr>
          <w:t xml:space="preserve"> (1987), </w:t>
        </w:r>
      </w:hyperlink>
      <w:hyperlink r:id="rId67" w:history="1">
        <w:r>
          <w:rPr>
            <w:rFonts w:ascii="arial" w:eastAsia="arial" w:hAnsi="arial" w:cs="arial"/>
            <w:b w:val="0"/>
            <w:i/>
            <w:strike w:val="0"/>
            <w:noProof w:val="0"/>
            <w:color w:val="0077CC"/>
            <w:position w:val="0"/>
            <w:sz w:val="20"/>
            <w:u w:val="single"/>
            <w:vertAlign w:val="baseline"/>
          </w:rPr>
          <w:t>supra</w:t>
        </w:r>
      </w:hyperlink>
      <w:hyperlink r:id="rId67" w:history="1">
        <w:r>
          <w:rPr>
            <w:rFonts w:ascii="arial" w:eastAsia="arial" w:hAnsi="arial" w:cs="arial"/>
            <w:b w:val="0"/>
            <w:i/>
            <w:strike w:val="0"/>
            <w:noProof w:val="0"/>
            <w:color w:val="0077CC"/>
            <w:position w:val="0"/>
            <w:sz w:val="20"/>
            <w:u w:val="single"/>
            <w:vertAlign w:val="baseline"/>
          </w:rPr>
          <w:t>, at 678</w:t>
        </w:r>
      </w:hyperlink>
      <w:r>
        <w:rPr>
          <w:rFonts w:ascii="arial" w:eastAsia="arial" w:hAnsi="arial" w:cs="arial"/>
          <w:b w:val="0"/>
          <w:i w:val="0"/>
          <w:strike w:val="0"/>
          <w:noProof w:val="0"/>
          <w:color w:val="000000"/>
          <w:position w:val="0"/>
          <w:sz w:val="20"/>
          <w:u w:val="none"/>
          <w:vertAlign w:val="baseline"/>
        </w:rPr>
        <w:t xml:space="preserve">. "At best, history yields probabilities, not certainties."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(italics omitted). "The historical distance between the present and 1787, or even 1870, is great enough so as to reduce to a practical nullity the possibility that [the founders'] opinions and divisions would precisely parallel our own." </w:t>
      </w:r>
      <w:hyperlink r:id="rId67" w:history="1">
        <w:r>
          <w:rPr>
            <w:rFonts w:ascii="arial" w:eastAsia="arial" w:hAnsi="arial" w:cs="arial"/>
            <w:b w:val="0"/>
            <w:i/>
            <w:strike w:val="0"/>
            <w:noProof w:val="0"/>
            <w:color w:val="0077CC"/>
            <w:position w:val="0"/>
            <w:sz w:val="20"/>
            <w:u w:val="single"/>
            <w:vertAlign w:val="baseline"/>
          </w:rPr>
          <w:t>Id.</w:t>
        </w:r>
      </w:hyperlink>
      <w:hyperlink r:id="rId67" w:history="1">
        <w:r>
          <w:rPr>
            <w:rFonts w:ascii="arial" w:eastAsia="arial" w:hAnsi="arial" w:cs="arial"/>
            <w:b w:val="0"/>
            <w:i/>
            <w:strike w:val="0"/>
            <w:noProof w:val="0"/>
            <w:color w:val="0077CC"/>
            <w:position w:val="0"/>
            <w:sz w:val="20"/>
            <w:u w:val="single"/>
            <w:vertAlign w:val="baseline"/>
          </w:rPr>
          <w:t xml:space="preserve"> at </w:t>
        </w:r>
      </w:hyperlink>
      <w:hyperlink r:id="rId67" w:history="1">
        <w:r>
          <w:rPr>
            <w:rFonts w:ascii="arial" w:eastAsia="arial" w:hAnsi="arial" w:cs="arial"/>
            <w:b/>
            <w:i/>
            <w:strike w:val="0"/>
            <w:noProof w:val="0"/>
            <w:color w:val="0077CC"/>
            <w:position w:val="0"/>
            <w:sz w:val="20"/>
            <w:u w:val="single"/>
            <w:vertAlign w:val="baseline"/>
          </w:rPr>
          <w:t> [*1110] </w:t>
        </w:r>
      </w:hyperlink>
      <w:hyperlink r:id="rId67" w:history="1">
        <w:r>
          <w:rPr>
            <w:rFonts w:ascii="arial" w:eastAsia="arial" w:hAnsi="arial" w:cs="arial"/>
            <w:b w:val="0"/>
            <w:i/>
            <w:strike w:val="0"/>
            <w:noProof w:val="0"/>
            <w:color w:val="0077CC"/>
            <w:position w:val="0"/>
            <w:sz w:val="20"/>
            <w:u w:val="single"/>
            <w:vertAlign w:val="baseline"/>
          </w:rPr>
          <w:t xml:space="preserve"> 677</w:t>
        </w:r>
      </w:hyperlink>
      <w:r>
        <w:rPr>
          <w:rFonts w:ascii="arial" w:eastAsia="arial" w:hAnsi="arial" w:cs="arial"/>
          <w:b w:val="0"/>
          <w:i w:val="0"/>
          <w:strike w:val="0"/>
          <w:noProof w:val="0"/>
          <w:color w:val="000000"/>
          <w:position w:val="0"/>
          <w:sz w:val="20"/>
          <w:u w:val="none"/>
          <w:vertAlign w:val="baseline"/>
        </w:rPr>
        <w:t xml:space="preserve">. "[O]ne must respect the limits of historical interpretation, which preserve a healthy space for concluding that something remained open or was not fully appreciated or understood." </w:t>
      </w:r>
      <w:hyperlink r:id="rId66" w:history="1">
        <w:r>
          <w:rPr>
            <w:rFonts w:ascii="arial" w:eastAsia="arial" w:hAnsi="arial" w:cs="arial"/>
            <w:b w:val="0"/>
            <w:i/>
            <w:strike w:val="0"/>
            <w:noProof w:val="0"/>
            <w:color w:val="0077CC"/>
            <w:position w:val="0"/>
            <w:sz w:val="20"/>
            <w:u w:val="single"/>
            <w:vertAlign w:val="baseline"/>
          </w:rPr>
          <w:t>Kramer (2003) at 407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4" w:name="Bookmark_para_59"/>
      <w:bookmarkEnd w:id="314"/>
      <w:r>
        <w:rPr>
          <w:rFonts w:ascii="arial" w:eastAsia="arial" w:hAnsi="arial" w:cs="arial"/>
          <w:b w:val="0"/>
          <w:i w:val="0"/>
          <w:strike w:val="0"/>
          <w:noProof w:val="0"/>
          <w:color w:val="000000"/>
          <w:position w:val="0"/>
          <w:sz w:val="20"/>
          <w:u w:val="none"/>
          <w:vertAlign w:val="baseline"/>
        </w:rPr>
        <w:t xml:space="preserve">Heeding these admonitions is no easy task. "One needs continually to monitor and double-check one's intuitions and interpretations." </w:t>
      </w:r>
      <w:hyperlink r:id="rId66" w:history="1">
        <w:r>
          <w:rPr>
            <w:rFonts w:ascii="arial" w:eastAsia="arial" w:hAnsi="arial" w:cs="arial"/>
            <w:b w:val="0"/>
            <w:i/>
            <w:strike w:val="0"/>
            <w:noProof w:val="0"/>
            <w:color w:val="0077CC"/>
            <w:position w:val="0"/>
            <w:sz w:val="20"/>
            <w:u w:val="single"/>
            <w:vertAlign w:val="baseline"/>
          </w:rPr>
          <w:t>Id.</w:t>
        </w:r>
      </w:hyperlink>
      <w:hyperlink r:id="rId66" w:history="1">
        <w:r>
          <w:rPr>
            <w:rFonts w:ascii="arial" w:eastAsia="arial" w:hAnsi="arial" w:cs="arial"/>
            <w:b w:val="0"/>
            <w:i/>
            <w:strike w:val="0"/>
            <w:noProof w:val="0"/>
            <w:color w:val="0077CC"/>
            <w:position w:val="0"/>
            <w:sz w:val="20"/>
            <w:u w:val="single"/>
            <w:vertAlign w:val="baseline"/>
          </w:rPr>
          <w:t xml:space="preserve"> at 397</w:t>
        </w:r>
      </w:hyperlink>
      <w:r>
        <w:rPr>
          <w:rFonts w:ascii="arial" w:eastAsia="arial" w:hAnsi="arial" w:cs="arial"/>
          <w:b w:val="0"/>
          <w:i w:val="0"/>
          <w:strike w:val="0"/>
          <w:noProof w:val="0"/>
          <w:color w:val="000000"/>
          <w:position w:val="0"/>
          <w:sz w:val="20"/>
          <w:u w:val="none"/>
          <w:vertAlign w:val="baseline"/>
        </w:rPr>
        <w:t xml:space="preserve">. This is particularly true of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"to the unending chagrin and frustration of professional historians."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 e.g.</w:t>
      </w:r>
      <w:r>
        <w:rPr>
          <w:rFonts w:ascii="arial" w:eastAsia="arial" w:hAnsi="arial" w:cs="arial"/>
          <w:b w:val="0"/>
          <w:i w:val="0"/>
          <w:strike w:val="0"/>
          <w:noProof w:val="0"/>
          <w:color w:val="000000"/>
          <w:position w:val="0"/>
          <w:sz w:val="20"/>
          <w:u w:val="none"/>
          <w:vertAlign w:val="baseline"/>
        </w:rPr>
        <w:t xml:space="preserve">, Jennifer Tucker, Introduction at 8, in Tucker (2019),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("Debates about firearms history seem especially vulnerable to 'presentism': the anachronistic Introduction of present-day perspectives into depictions or interpretations of the past."); Jack Rakove, </w:t>
      </w:r>
      <w:r>
        <w:rPr>
          <w:rFonts w:ascii="arial" w:eastAsia="arial" w:hAnsi="arial" w:cs="arial"/>
          <w:b w:val="0"/>
          <w:i/>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strike w:val="0"/>
          <w:noProof w:val="0"/>
          <w:color w:val="000000"/>
          <w:position w:val="0"/>
          <w:sz w:val="20"/>
          <w:u w:val="none"/>
          <w:vertAlign w:val="baseline"/>
        </w:rPr>
        <w:t>: The Highest Stage of Originalism</w:t>
      </w:r>
      <w:r>
        <w:rPr>
          <w:rFonts w:ascii="arial" w:eastAsia="arial" w:hAnsi="arial" w:cs="arial"/>
          <w:b w:val="0"/>
          <w:i w:val="0"/>
          <w:strike w:val="0"/>
          <w:noProof w:val="0"/>
          <w:color w:val="000000"/>
          <w:position w:val="0"/>
          <w:sz w:val="20"/>
          <w:u w:val="none"/>
          <w:vertAlign w:val="baseline"/>
        </w:rPr>
        <w:t xml:space="preserve">, 76 Chi.-Ken L. Rev. 103, 105 (2000) ("[H]istorical operations in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theater of combat are often mounted by campaigners not intimately familiar</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with the terrain. These are raiders who know what they are looking for, and having found it, they care little about collateral damage to the surrounding countryside that historians better know as context."). The sharply divided "culture" of guns in modern America complicates the exercise further still.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Joseph Blocher, "Firearm Localism," </w:t>
      </w:r>
      <w:hyperlink r:id="rId69" w:history="1">
        <w:r>
          <w:rPr>
            <w:rFonts w:ascii="arial" w:eastAsia="arial" w:hAnsi="arial" w:cs="arial"/>
            <w:b w:val="0"/>
            <w:i/>
            <w:strike w:val="0"/>
            <w:noProof w:val="0"/>
            <w:color w:val="0077CC"/>
            <w:position w:val="0"/>
            <w:sz w:val="20"/>
            <w:u w:val="single"/>
            <w:vertAlign w:val="baseline"/>
          </w:rPr>
          <w:t>123 Yale L.J. 82, 90-107 (2013)</w:t>
        </w:r>
      </w:hyperlink>
      <w:r>
        <w:rPr>
          <w:rFonts w:ascii="arial" w:eastAsia="arial" w:hAnsi="arial" w:cs="arial"/>
          <w:b w:val="0"/>
          <w:i w:val="0"/>
          <w:strike w:val="0"/>
          <w:noProof w:val="0"/>
          <w:color w:val="000000"/>
          <w:position w:val="0"/>
          <w:sz w:val="20"/>
          <w:u w:val="none"/>
          <w:vertAlign w:val="baseline"/>
        </w:rPr>
        <w:t xml:space="preserve"> (discussing competing "cultures").</w:t>
      </w:r>
    </w:p>
    <w:p>
      <w:pPr>
        <w:keepNext w:val="0"/>
        <w:spacing w:before="240" w:after="0" w:line="260" w:lineRule="atLeast"/>
        <w:ind w:left="0" w:right="0" w:firstLine="0"/>
        <w:jc w:val="both"/>
      </w:pPr>
      <w:bookmarkStart w:id="315" w:name="Bookmark_para_60"/>
      <w:bookmarkEnd w:id="315"/>
      <w:bookmarkStart w:id="316" w:name="Bookmark_I6B11G172D6NM20040000400"/>
      <w:bookmarkEnd w:id="316"/>
      <w:r>
        <w:rPr>
          <w:rFonts w:ascii="arial" w:eastAsia="arial" w:hAnsi="arial" w:cs="arial"/>
          <w:b w:val="0"/>
          <w:i w:val="0"/>
          <w:strike w:val="0"/>
          <w:noProof w:val="0"/>
          <w:color w:val="000000"/>
          <w:position w:val="0"/>
          <w:sz w:val="20"/>
          <w:u w:val="none"/>
          <w:vertAlign w:val="baseline"/>
        </w:rPr>
        <w:t xml:space="preserve">For all these reasons, it would be unreasonable to expect "professional quality history" in judicial opinions. Saul Cornell, </w:t>
      </w:r>
      <w:r>
        <w:rPr>
          <w:rFonts w:ascii="arial" w:eastAsia="arial" w:hAnsi="arial" w:cs="arial"/>
          <w:b w:val="0"/>
          <w:i/>
          <w:strike w:val="0"/>
          <w:noProof w:val="0"/>
          <w:color w:val="000000"/>
          <w:position w:val="0"/>
          <w:sz w:val="20"/>
          <w:u w:val="none"/>
          <w:vertAlign w:val="baseline"/>
        </w:rPr>
        <w:t>Originalism on Trial: The Use and Abuse of History in</w:t>
      </w:r>
      <w:r>
        <w:rPr>
          <w:rFonts w:ascii="arial" w:eastAsia="arial" w:hAnsi="arial" w:cs="arial"/>
          <w:b w:val="0"/>
          <w:i w:val="0"/>
          <w:strike w:val="0"/>
          <w:noProof w:val="0"/>
          <w:color w:val="000000"/>
          <w:position w:val="0"/>
          <w:sz w:val="20"/>
          <w:u w:val="none"/>
          <w:vertAlign w:val="baseline"/>
        </w:rPr>
        <w:t xml:space="preserve"> District of Columbia v. Heller, </w:t>
      </w:r>
      <w:hyperlink r:id="rId70" w:history="1">
        <w:r>
          <w:rPr>
            <w:rFonts w:ascii="arial" w:eastAsia="arial" w:hAnsi="arial" w:cs="arial"/>
            <w:b w:val="0"/>
            <w:i/>
            <w:strike w:val="0"/>
            <w:noProof w:val="0"/>
            <w:color w:val="0077CC"/>
            <w:position w:val="0"/>
            <w:sz w:val="20"/>
            <w:u w:val="single"/>
            <w:vertAlign w:val="baseline"/>
          </w:rPr>
          <w:t>69 Ohio St. L.J. 625, 639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Transcript of Remarks by Gordon S. Wood &amp; Scott D. Gerber, </w:t>
      </w:r>
      <w:r>
        <w:rPr>
          <w:rFonts w:ascii="arial" w:eastAsia="arial" w:hAnsi="arial" w:cs="arial"/>
          <w:b w:val="0"/>
          <w:i/>
          <w:strike w:val="0"/>
          <w:noProof w:val="0"/>
          <w:color w:val="000000"/>
          <w:position w:val="0"/>
          <w:sz w:val="20"/>
          <w:u w:val="none"/>
          <w:vertAlign w:val="baseline"/>
        </w:rPr>
        <w:t>The Supreme Court and the Uses of History</w:t>
      </w:r>
      <w:r>
        <w:rPr>
          <w:rFonts w:ascii="arial" w:eastAsia="arial" w:hAnsi="arial" w:cs="arial"/>
          <w:b w:val="0"/>
          <w:i w:val="0"/>
          <w:strike w:val="0"/>
          <w:noProof w:val="0"/>
          <w:color w:val="000000"/>
          <w:position w:val="0"/>
          <w:sz w:val="20"/>
          <w:u w:val="none"/>
          <w:vertAlign w:val="baseline"/>
        </w:rPr>
        <w:t xml:space="preserve">, </w:t>
      </w:r>
      <w:hyperlink r:id="rId71" w:history="1">
        <w:r>
          <w:rPr>
            <w:rFonts w:ascii="arial" w:eastAsia="arial" w:hAnsi="arial" w:cs="arial"/>
            <w:b w:val="0"/>
            <w:i/>
            <w:strike w:val="0"/>
            <w:noProof w:val="0"/>
            <w:color w:val="0077CC"/>
            <w:position w:val="0"/>
            <w:sz w:val="20"/>
            <w:u w:val="single"/>
            <w:vertAlign w:val="baseline"/>
          </w:rPr>
          <w:t>39 Ohio N.U. L. Rev. 435, 443-44 (2013)</w:t>
        </w:r>
      </w:hyperlink>
      <w:r>
        <w:rPr>
          <w:rFonts w:ascii="arial" w:eastAsia="arial" w:hAnsi="arial" w:cs="arial"/>
          <w:b w:val="0"/>
          <w:i w:val="0"/>
          <w:strike w:val="0"/>
          <w:noProof w:val="0"/>
          <w:color w:val="000000"/>
          <w:position w:val="0"/>
          <w:sz w:val="20"/>
          <w:u w:val="none"/>
          <w:vertAlign w:val="baseline"/>
        </w:rPr>
        <w:t xml:space="preserve">; </w:t>
      </w:r>
      <w:hyperlink r:id="rId66" w:history="1">
        <w:r>
          <w:rPr>
            <w:rFonts w:ascii="arial" w:eastAsia="arial" w:hAnsi="arial" w:cs="arial"/>
            <w:b w:val="0"/>
            <w:i/>
            <w:strike w:val="0"/>
            <w:noProof w:val="0"/>
            <w:color w:val="0077CC"/>
            <w:position w:val="0"/>
            <w:sz w:val="20"/>
            <w:u w:val="single"/>
            <w:vertAlign w:val="baseline"/>
          </w:rPr>
          <w:t xml:space="preserve">Kramer (2003), </w:t>
        </w:r>
      </w:hyperlink>
      <w:hyperlink r:id="rId66" w:history="1">
        <w:r>
          <w:rPr>
            <w:rFonts w:ascii="arial" w:eastAsia="arial" w:hAnsi="arial" w:cs="arial"/>
            <w:b w:val="0"/>
            <w:i/>
            <w:strike w:val="0"/>
            <w:noProof w:val="0"/>
            <w:color w:val="0077CC"/>
            <w:position w:val="0"/>
            <w:sz w:val="20"/>
            <w:u w:val="single"/>
            <w:vertAlign w:val="baseline"/>
          </w:rPr>
          <w:t>supra</w:t>
        </w:r>
      </w:hyperlink>
      <w:hyperlink r:id="rId66" w:history="1">
        <w:r>
          <w:rPr>
            <w:rFonts w:ascii="arial" w:eastAsia="arial" w:hAnsi="arial" w:cs="arial"/>
            <w:b w:val="0"/>
            <w:i/>
            <w:strike w:val="0"/>
            <w:noProof w:val="0"/>
            <w:color w:val="0077CC"/>
            <w:position w:val="0"/>
            <w:sz w:val="20"/>
            <w:u w:val="single"/>
            <w:vertAlign w:val="baseline"/>
          </w:rPr>
          <w:t>, at 391</w:t>
        </w:r>
      </w:hyperlink>
      <w:r>
        <w:rPr>
          <w:rFonts w:ascii="arial" w:eastAsia="arial" w:hAnsi="arial" w:cs="arial"/>
          <w:b w:val="0"/>
          <w:i w:val="0"/>
          <w:strike w:val="0"/>
          <w:noProof w:val="0"/>
          <w:color w:val="000000"/>
          <w:position w:val="0"/>
          <w:sz w:val="20"/>
          <w:u w:val="none"/>
          <w:vertAlign w:val="baseline"/>
        </w:rPr>
        <w:t xml:space="preserve">. Courts of course do their best to assess the positions of the parties, their attorneys and the experts those parties retain, as the Supreme Court noted in </w:t>
      </w:r>
      <w:bookmarkStart w:id="317" w:name="Bookmark_I6B11G172D6NM20030000400"/>
      <w:bookmarkEnd w:id="317"/>
      <w:hyperlink r:id="rId11" w:history="1">
        <w:r>
          <w:rPr>
            <w:rFonts w:ascii="arial" w:eastAsia="arial" w:hAnsi="arial" w:cs="arial"/>
            <w:b w:val="0"/>
            <w:i/>
            <w:strike w:val="0"/>
            <w:noProof w:val="0"/>
            <w:color w:val="0077CC"/>
            <w:position w:val="0"/>
            <w:sz w:val="20"/>
            <w:u w:val="single"/>
            <w:vertAlign w:val="baseline"/>
          </w:rPr>
          <w:t>Bruen</w:t>
        </w:r>
      </w:hyperlink>
      <w:hyperlink r:id="rId11" w:history="1">
        <w:r>
          <w:rPr>
            <w:rFonts w:ascii="arial" w:eastAsia="arial" w:hAnsi="arial" w:cs="arial"/>
            <w:b w:val="0"/>
            <w:i/>
            <w:strike w:val="0"/>
            <w:noProof w:val="0"/>
            <w:color w:val="0077CC"/>
            <w:position w:val="0"/>
            <w:sz w:val="20"/>
            <w:u w:val="single"/>
            <w:vertAlign w:val="baseline"/>
          </w:rPr>
          <w:t>, 142 S. Ct. at 2130 n.6</w:t>
        </w:r>
      </w:hyperlink>
      <w:r>
        <w:rPr>
          <w:rFonts w:ascii="arial" w:eastAsia="arial" w:hAnsi="arial" w:cs="arial"/>
          <w:b w:val="0"/>
          <w:i w:val="0"/>
          <w:strike w:val="0"/>
          <w:noProof w:val="0"/>
          <w:color w:val="000000"/>
          <w:position w:val="0"/>
          <w:sz w:val="20"/>
          <w:u w:val="none"/>
          <w:vertAlign w:val="baseline"/>
        </w:rPr>
        <w:t xml:space="preserve">. A generalist judge should hesitate to reject the work of those who have devoted their careers to the study of history. </w:t>
      </w:r>
      <w:bookmarkStart w:id="318" w:name="Bookmark_I6B11G172SF7RN0010000400"/>
      <w:bookmarkEnd w:id="318"/>
      <w:hyperlink r:id="rId66" w:history="1">
        <w:r>
          <w:rPr>
            <w:rFonts w:ascii="arial" w:eastAsia="arial" w:hAnsi="arial" w:cs="arial"/>
            <w:b w:val="0"/>
            <w:i/>
            <w:strike w:val="0"/>
            <w:noProof w:val="0"/>
            <w:color w:val="0077CC"/>
            <w:position w:val="0"/>
            <w:sz w:val="20"/>
            <w:u w:val="single"/>
            <w:vertAlign w:val="baseline"/>
          </w:rPr>
          <w:t xml:space="preserve">Kramer (2003), </w:t>
        </w:r>
      </w:hyperlink>
      <w:hyperlink r:id="rId66" w:history="1">
        <w:r>
          <w:rPr>
            <w:rFonts w:ascii="arial" w:eastAsia="arial" w:hAnsi="arial" w:cs="arial"/>
            <w:b w:val="0"/>
            <w:i/>
            <w:strike w:val="0"/>
            <w:noProof w:val="0"/>
            <w:color w:val="0077CC"/>
            <w:position w:val="0"/>
            <w:sz w:val="20"/>
            <w:u w:val="single"/>
            <w:vertAlign w:val="baseline"/>
          </w:rPr>
          <w:t>supra</w:t>
        </w:r>
      </w:hyperlink>
      <w:hyperlink r:id="rId66" w:history="1">
        <w:r>
          <w:rPr>
            <w:rFonts w:ascii="arial" w:eastAsia="arial" w:hAnsi="arial" w:cs="arial"/>
            <w:b w:val="0"/>
            <w:i/>
            <w:strike w:val="0"/>
            <w:noProof w:val="0"/>
            <w:color w:val="0077CC"/>
            <w:position w:val="0"/>
            <w:sz w:val="20"/>
            <w:u w:val="single"/>
            <w:vertAlign w:val="baseline"/>
          </w:rPr>
          <w:t>, at 390-91</w:t>
        </w:r>
      </w:hyperlink>
      <w:r>
        <w:rPr>
          <w:rFonts w:ascii="arial" w:eastAsia="arial" w:hAnsi="arial" w:cs="arial"/>
          <w:b w:val="0"/>
          <w:i w:val="0"/>
          <w:strike w:val="0"/>
          <w:noProof w:val="0"/>
          <w:color w:val="000000"/>
          <w:position w:val="0"/>
          <w:sz w:val="20"/>
          <w:u w:val="none"/>
          <w:vertAlign w:val="baseline"/>
        </w:rPr>
        <w:t xml:space="preserve">; </w:t>
      </w:r>
      <w:hyperlink r:id="rId63" w:history="1">
        <w:r>
          <w:rPr>
            <w:rFonts w:ascii="arial" w:eastAsia="arial" w:hAnsi="arial" w:cs="arial"/>
            <w:b w:val="0"/>
            <w:i/>
            <w:strike w:val="0"/>
            <w:noProof w:val="0"/>
            <w:color w:val="0077CC"/>
            <w:position w:val="0"/>
            <w:sz w:val="20"/>
            <w:u w:val="single"/>
            <w:vertAlign w:val="baseline"/>
          </w:rPr>
          <w:t>Flaherty (1995) at 553-54</w:t>
        </w:r>
      </w:hyperlink>
      <w:r>
        <w:rPr>
          <w:rFonts w:ascii="arial" w:eastAsia="arial" w:hAnsi="arial" w:cs="arial"/>
          <w:b w:val="0"/>
          <w:i w:val="0"/>
          <w:strike w:val="0"/>
          <w:noProof w:val="0"/>
          <w:color w:val="000000"/>
          <w:position w:val="0"/>
          <w:sz w:val="20"/>
          <w:u w:val="none"/>
          <w:vertAlign w:val="baseline"/>
        </w:rPr>
        <w:t xml:space="preserve">. Historians themselves normally begin by mastering the "secondary literature," the work of expert colleagues who have gone before. </w:t>
      </w:r>
      <w:hyperlink r:id="rId66" w:history="1">
        <w:r>
          <w:rPr>
            <w:rFonts w:ascii="arial" w:eastAsia="arial" w:hAnsi="arial" w:cs="arial"/>
            <w:b w:val="0"/>
            <w:i/>
            <w:strike w:val="0"/>
            <w:noProof w:val="0"/>
            <w:color w:val="0077CC"/>
            <w:position w:val="0"/>
            <w:sz w:val="20"/>
            <w:u w:val="single"/>
            <w:vertAlign w:val="baseline"/>
          </w:rPr>
          <w:t>Kramer (2003), at 390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Schrag Decl. ¶¶ 13, 34, </w:t>
      </w:r>
      <w:bookmarkStart w:id="319" w:name="Bookmark_I6B11G172D6NM20050000400"/>
      <w:bookmarkEnd w:id="319"/>
      <w:r>
        <w:rPr>
          <w:rFonts w:ascii="arial" w:eastAsia="arial" w:hAnsi="arial" w:cs="arial"/>
          <w:b w:val="0"/>
          <w:i/>
          <w:strike w:val="0"/>
          <w:noProof w:val="0"/>
          <w:color w:val="000000"/>
          <w:position w:val="0"/>
          <w:sz w:val="20"/>
          <w:u w:val="none"/>
          <w:vertAlign w:val="baseline"/>
        </w:rPr>
        <w:t>Miller v. Bonta</w:t>
      </w:r>
      <w:r>
        <w:rPr>
          <w:rFonts w:ascii="arial" w:eastAsia="arial" w:hAnsi="arial" w:cs="arial"/>
          <w:b w:val="0"/>
          <w:i w:val="0"/>
          <w:strike w:val="0"/>
          <w:noProof w:val="0"/>
          <w:color w:val="000000"/>
          <w:position w:val="0"/>
          <w:sz w:val="20"/>
          <w:u w:val="none"/>
          <w:vertAlign w:val="baseline"/>
        </w:rPr>
        <w:t>, No. 19-1537 (S.D. Cal. Aug. 29, 2022), ECF No. 129-1.</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That is because,"[i]f historical</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scholarship in a given area has settled on a certain account, or more likely, on a framework for debate, historical assertions that acknowledge that account or framework will simply be more persuasive." </w:t>
      </w:r>
      <w:hyperlink r:id="rId63" w:history="1">
        <w:r>
          <w:rPr>
            <w:rFonts w:ascii="arial" w:eastAsia="arial" w:hAnsi="arial" w:cs="arial"/>
            <w:b w:val="0"/>
            <w:i/>
            <w:strike w:val="0"/>
            <w:noProof w:val="0"/>
            <w:color w:val="0077CC"/>
            <w:position w:val="0"/>
            <w:sz w:val="20"/>
            <w:u w:val="single"/>
            <w:vertAlign w:val="baseline"/>
          </w:rPr>
          <w:t xml:space="preserve">Flaherty (1995), </w:t>
        </w:r>
      </w:hyperlink>
      <w:hyperlink r:id="rId63" w:history="1">
        <w:r>
          <w:rPr>
            <w:rFonts w:ascii="arial" w:eastAsia="arial" w:hAnsi="arial" w:cs="arial"/>
            <w:b w:val="0"/>
            <w:i/>
            <w:strike w:val="0"/>
            <w:noProof w:val="0"/>
            <w:color w:val="0077CC"/>
            <w:position w:val="0"/>
            <w:sz w:val="20"/>
            <w:u w:val="single"/>
            <w:vertAlign w:val="baseline"/>
          </w:rPr>
          <w:t>supra</w:t>
        </w:r>
      </w:hyperlink>
      <w:hyperlink r:id="rId63" w:history="1">
        <w:r>
          <w:rPr>
            <w:rFonts w:ascii="arial" w:eastAsia="arial" w:hAnsi="arial" w:cs="arial"/>
            <w:b w:val="0"/>
            <w:i/>
            <w:strike w:val="0"/>
            <w:noProof w:val="0"/>
            <w:color w:val="0077CC"/>
            <w:position w:val="0"/>
            <w:sz w:val="20"/>
            <w:u w:val="single"/>
            <w:vertAlign w:val="baseline"/>
          </w:rPr>
          <w:t>, at 554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none"/>
          <w:vertAlign w:val="baseline"/>
        </w:rPr>
        <w:t>Heller, McDonald</w:t>
      </w:r>
      <w:r>
        <w:rPr>
          <w:rFonts w:ascii="arial" w:eastAsia="arial" w:hAnsi="arial" w:cs="arial"/>
          <w:b/>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none"/>
          <w:vertAlign w:val="baseline"/>
        </w:rPr>
        <w:t>Bruen</w:t>
      </w:r>
      <w:r>
        <w:rPr>
          <w:rFonts w:ascii="arial" w:eastAsia="arial" w:hAnsi="arial" w:cs="arial"/>
          <w:b/>
          <w:i w:val="0"/>
          <w:strike w:val="0"/>
          <w:noProof w:val="0"/>
          <w:color w:val="000000"/>
          <w:position w:val="0"/>
          <w:sz w:val="20"/>
          <w:u w:val="none"/>
          <w:vertAlign w:val="baseline"/>
        </w:rPr>
        <w:t xml:space="preserve"> settled the law but did not close the evidentiary record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1" w:name="Bookmark_para_61"/>
      <w:bookmarkEnd w:id="321"/>
      <w:r>
        <w:rPr>
          <w:rFonts w:ascii="arial" w:eastAsia="arial" w:hAnsi="arial" w:cs="arial"/>
          <w:b w:val="0"/>
          <w:i w:val="0"/>
          <w:strike w:val="0"/>
          <w:noProof w:val="0"/>
          <w:color w:val="000000"/>
          <w:position w:val="0"/>
          <w:sz w:val="20"/>
          <w:u w:val="none"/>
          <w:vertAlign w:val="baseline"/>
        </w:rPr>
        <w:t xml:space="preserve">It is difficult, if not impossible, to assess the history of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without running head-on into one such "framework for debate"—a broad agreement among many historians that the Supreme Court has misinterpreted the </w:t>
      </w:r>
      <w:hyperlink r:id="rId10" w:history="1">
        <w:r>
          <w:rPr>
            <w:rFonts w:ascii="arial" w:eastAsia="arial" w:hAnsi="arial" w:cs="arial"/>
            <w:b w:val="0"/>
            <w:i/>
            <w:strike w:val="0"/>
            <w:noProof w:val="0"/>
            <w:color w:val="0077CC"/>
            <w:position w:val="0"/>
            <w:sz w:val="20"/>
            <w:u w:val="single"/>
            <w:vertAlign w:val="baseline"/>
          </w:rPr>
          <w:t>Second Amendment's</w:t>
        </w:r>
      </w:hyperlink>
      <w:r>
        <w:rPr>
          <w:rFonts w:ascii="arial" w:eastAsia="arial" w:hAnsi="arial" w:cs="arial"/>
          <w:b w:val="0"/>
          <w:i w:val="0"/>
          <w:strike w:val="0"/>
          <w:noProof w:val="0"/>
          <w:color w:val="000000"/>
          <w:position w:val="0"/>
          <w:sz w:val="20"/>
          <w:u w:val="none"/>
          <w:vertAlign w:val="baseline"/>
        </w:rPr>
        <w:t xml:space="preserve"> history as protecting an individual right to self-defense. The trail to that conclusion begins in the many briefs the parties have filed over the course of this litigation, runs through the parties' expert reports and ends in those experts' own scholarship. </w:t>
      </w:r>
      <w:bookmarkStart w:id="322" w:name="Bookmark_I6B11G172SF7RN0030000400"/>
      <w:bookmarkEnd w:id="322"/>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Reply in Support of Second Mot. Prelim. Inj. at 1, ECF No. 46 (contrasting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xml:space="preserve"> with later Ninth Circuit historical analyses); </w:t>
      </w:r>
      <w:hyperlink r:id="rId68" w:history="1">
        <w:r>
          <w:rPr>
            <w:rFonts w:ascii="arial" w:eastAsia="arial" w:hAnsi="arial" w:cs="arial"/>
            <w:b w:val="0"/>
            <w:i/>
            <w:strike w:val="0"/>
            <w:noProof w:val="0"/>
            <w:color w:val="0077CC"/>
            <w:position w:val="0"/>
            <w:sz w:val="20"/>
            <w:u w:val="single"/>
            <w:vertAlign w:val="baseline"/>
          </w:rPr>
          <w:t xml:space="preserve">Cornell (1999), </w:t>
        </w:r>
      </w:hyperlink>
      <w:hyperlink r:id="rId68" w:history="1">
        <w:r>
          <w:rPr>
            <w:rFonts w:ascii="arial" w:eastAsia="arial" w:hAnsi="arial" w:cs="arial"/>
            <w:b w:val="0"/>
            <w:i/>
            <w:strike w:val="0"/>
            <w:noProof w:val="0"/>
            <w:color w:val="0077CC"/>
            <w:position w:val="0"/>
            <w:sz w:val="20"/>
            <w:u w:val="single"/>
            <w:vertAlign w:val="baseline"/>
          </w:rPr>
          <w:t>supra</w:t>
        </w:r>
      </w:hyperlink>
      <w:hyperlink r:id="rId68" w:history="1">
        <w:r>
          <w:rPr>
            <w:rFonts w:ascii="arial" w:eastAsia="arial" w:hAnsi="arial" w:cs="arial"/>
            <w:b w:val="0"/>
            <w:i/>
            <w:strike w:val="0"/>
            <w:noProof w:val="0"/>
            <w:color w:val="0077CC"/>
            <w:position w:val="0"/>
            <w:sz w:val="20"/>
            <w:u w:val="single"/>
            <w:vertAlign w:val="baseline"/>
          </w:rPr>
          <w:t>, at 225</w:t>
        </w:r>
      </w:hyperlink>
      <w:r>
        <w:rPr>
          <w:rFonts w:ascii="arial" w:eastAsia="arial" w:hAnsi="arial" w:cs="arial"/>
          <w:b w:val="0"/>
          <w:i w:val="0"/>
          <w:strike w:val="0"/>
          <w:noProof w:val="0"/>
          <w:color w:val="000000"/>
          <w:position w:val="0"/>
          <w:sz w:val="20"/>
          <w:u w:val="none"/>
          <w:vertAlign w:val="baseline"/>
        </w:rPr>
        <w:t xml:space="preserve">. Other federal courts have </w:t>
      </w:r>
      <w:r>
        <w:rPr>
          <w:rFonts w:ascii="arial" w:eastAsia="arial" w:hAnsi="arial" w:cs="arial"/>
          <w:b/>
          <w:i w:val="0"/>
          <w:strike w:val="0"/>
          <w:noProof w:val="0"/>
          <w:color w:val="000000"/>
          <w:position w:val="0"/>
          <w:sz w:val="20"/>
          <w:u w:val="none"/>
          <w:vertAlign w:val="baseline"/>
        </w:rPr>
        <w:t> [*1111] </w:t>
      </w:r>
      <w:r>
        <w:rPr>
          <w:rFonts w:ascii="arial" w:eastAsia="arial" w:hAnsi="arial" w:cs="arial"/>
          <w:b w:val="0"/>
          <w:i w:val="0"/>
          <w:strike w:val="0"/>
          <w:noProof w:val="0"/>
          <w:color w:val="000000"/>
          <w:position w:val="0"/>
          <w:sz w:val="20"/>
          <w:u w:val="none"/>
          <w:vertAlign w:val="baseline"/>
        </w:rPr>
        <w:t xml:space="preserve"> confronted this phenomenon as well. </w:t>
      </w:r>
      <w:r>
        <w:rPr>
          <w:rFonts w:ascii="arial" w:eastAsia="arial" w:hAnsi="arial" w:cs="arial"/>
          <w:b w:val="0"/>
          <w:i/>
          <w:strike w:val="0"/>
          <w:noProof w:val="0"/>
          <w:color w:val="000000"/>
          <w:position w:val="0"/>
          <w:sz w:val="20"/>
          <w:u w:val="none"/>
          <w:vertAlign w:val="baseline"/>
        </w:rPr>
        <w:t xml:space="preserve">See, e.g., </w:t>
      </w:r>
      <w:bookmarkStart w:id="323" w:name="Bookmark_I6B11G172SF7RN0020000400"/>
      <w:bookmarkEnd w:id="323"/>
      <w:hyperlink r:id="rId72" w:history="1">
        <w:r>
          <w:rPr>
            <w:rFonts w:ascii="arial" w:eastAsia="arial" w:hAnsi="arial" w:cs="arial"/>
            <w:b w:val="0"/>
            <w:i/>
            <w:strike w:val="0"/>
            <w:noProof w:val="0"/>
            <w:color w:val="0077CC"/>
            <w:position w:val="0"/>
            <w:sz w:val="20"/>
            <w:u w:val="single"/>
            <w:vertAlign w:val="baseline"/>
          </w:rPr>
          <w:t>United States v. Gibson</w:t>
        </w:r>
      </w:hyperlink>
      <w:hyperlink r:id="rId72" w:history="1">
        <w:r>
          <w:rPr>
            <w:rFonts w:ascii="arial" w:eastAsia="arial" w:hAnsi="arial" w:cs="arial"/>
            <w:b w:val="0"/>
            <w:i/>
            <w:strike w:val="0"/>
            <w:noProof w:val="0"/>
            <w:color w:val="0077CC"/>
            <w:position w:val="0"/>
            <w:sz w:val="20"/>
            <w:u w:val="single"/>
            <w:vertAlign w:val="baseline"/>
          </w:rPr>
          <w:t>, No. 23-20084, 2023 U.S. Dist. LEXIS 213708, 2023 WL 8292372, at *3 (W.D. Tenn. Nov. 8, 2023)</w:t>
        </w:r>
      </w:hyperlink>
      <w:r>
        <w:rPr>
          <w:rFonts w:ascii="arial" w:eastAsia="arial" w:hAnsi="arial" w:cs="arial"/>
          <w:b w:val="0"/>
          <w:i w:val="0"/>
          <w:strike w:val="0"/>
          <w:noProof w:val="0"/>
          <w:color w:val="000000"/>
          <w:position w:val="0"/>
          <w:sz w:val="20"/>
          <w:u w:val="none"/>
          <w:vertAlign w:val="baseline"/>
        </w:rPr>
        <w:t xml:space="preserve">; </w:t>
      </w:r>
      <w:bookmarkStart w:id="324" w:name="Bookmark_I6B11G172SF7RN0040000400"/>
      <w:bookmarkEnd w:id="324"/>
      <w:hyperlink r:id="rId73" w:history="1">
        <w:r>
          <w:rPr>
            <w:rFonts w:ascii="arial" w:eastAsia="arial" w:hAnsi="arial" w:cs="arial"/>
            <w:b w:val="0"/>
            <w:i/>
            <w:strike w:val="0"/>
            <w:noProof w:val="0"/>
            <w:color w:val="0077CC"/>
            <w:position w:val="0"/>
            <w:sz w:val="20"/>
            <w:u w:val="single"/>
            <w:vertAlign w:val="baseline"/>
          </w:rPr>
          <w:t>United States v. Bullock</w:t>
        </w:r>
      </w:hyperlink>
      <w:hyperlink r:id="rId73" w:history="1">
        <w:r>
          <w:rPr>
            <w:rFonts w:ascii="arial" w:eastAsia="arial" w:hAnsi="arial" w:cs="arial"/>
            <w:b w:val="0"/>
            <w:i/>
            <w:strike w:val="0"/>
            <w:noProof w:val="0"/>
            <w:color w:val="0077CC"/>
            <w:position w:val="0"/>
            <w:sz w:val="20"/>
            <w:u w:val="single"/>
            <w:vertAlign w:val="baseline"/>
          </w:rPr>
          <w:t>, 679 F. Supp. 3d 501, No. 18-165, 2023 U.S. Dist. LEXIS 112397, 2023 WL 4232309, at *5 (S.D. Miss. June 28, 2023)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5" w:name="Bookmark_para_62"/>
      <w:bookmarkEnd w:id="325"/>
      <w:bookmarkStart w:id="326" w:name="Bookmark_II08CDXTHM7G003RRS7S007D3"/>
      <w:bookmarkEnd w:id="326"/>
      <w:bookmarkStart w:id="327" w:name="Bookmark_I6B11G172D6NM70020000400"/>
      <w:bookmarkEnd w:id="327"/>
      <w:bookmarkStart w:id="328" w:name="Bookmark_I6B11G172D6NM70040000400"/>
      <w:bookmarkEnd w:id="328"/>
      <w:r>
        <w:rPr>
          <w:rFonts w:ascii="arial" w:eastAsia="arial" w:hAnsi="arial" w:cs="arial"/>
          <w:b w:val="0"/>
          <w:i w:val="0"/>
          <w:strike w:val="0"/>
          <w:noProof w:val="0"/>
          <w:color w:val="000000"/>
          <w:position w:val="0"/>
          <w:sz w:val="20"/>
          <w:u w:val="none"/>
          <w:vertAlign w:val="baseline"/>
        </w:rPr>
        <w:t xml:space="preserve">This court, of course, must and will follow the Supreme Court's decision in </w:t>
      </w:r>
      <w:bookmarkStart w:id="329" w:name="Bookmark_I6B11G172D6NM70010000400"/>
      <w:bookmarkEnd w:id="329"/>
      <w:hyperlink r:id="rId74" w:history="1">
        <w:r>
          <w:rPr>
            <w:rFonts w:ascii="arial" w:eastAsia="arial" w:hAnsi="arial" w:cs="arial"/>
            <w:b w:val="0"/>
            <w:i/>
            <w:strike w:val="0"/>
            <w:noProof w:val="0"/>
            <w:color w:val="0077CC"/>
            <w:position w:val="0"/>
            <w:sz w:val="20"/>
            <w:u w:val="single"/>
            <w:vertAlign w:val="baseline"/>
          </w:rPr>
          <w:t>Heller</w:t>
        </w:r>
      </w:hyperlink>
      <w:r>
        <w:rPr>
          <w:rFonts w:ascii="arial" w:eastAsia="arial" w:hAnsi="arial" w:cs="arial"/>
          <w:b w:val="0"/>
          <w:i w:val="0"/>
          <w:strike w:val="0"/>
          <w:noProof w:val="0"/>
          <w:color w:val="000000"/>
          <w:position w:val="0"/>
          <w:sz w:val="20"/>
          <w:u w:val="none"/>
          <w:vertAlign w:val="baseline"/>
        </w:rPr>
        <w:t xml:space="preserve">. The right to keep and bear arms is a fundamental constitutional right, not a "second-class" right. </w:t>
      </w:r>
      <w:r>
        <w:rPr>
          <w:rFonts w:ascii="arial" w:eastAsia="arial" w:hAnsi="arial" w:cs="arial"/>
          <w:b w:val="0"/>
          <w:i/>
          <w:strike w:val="0"/>
          <w:noProof w:val="0"/>
          <w:color w:val="000000"/>
          <w:position w:val="0"/>
          <w:sz w:val="20"/>
          <w:u w:val="none"/>
          <w:vertAlign w:val="baseline"/>
        </w:rPr>
        <w:t xml:space="preserve">E.g., </w:t>
      </w:r>
      <w:bookmarkStart w:id="330" w:name="Bookmark_I6B11G172D6NM70030000400"/>
      <w:bookmarkEnd w:id="330"/>
      <w:hyperlink r:id="rId25" w:history="1">
        <w:r>
          <w:rPr>
            <w:rFonts w:ascii="arial" w:eastAsia="arial" w:hAnsi="arial" w:cs="arial"/>
            <w:b w:val="0"/>
            <w:i/>
            <w:strike w:val="0"/>
            <w:noProof w:val="0"/>
            <w:color w:val="0077CC"/>
            <w:position w:val="0"/>
            <w:sz w:val="20"/>
            <w:u w:val="single"/>
            <w:vertAlign w:val="baseline"/>
          </w:rPr>
          <w:t>McDonald</w:t>
        </w:r>
      </w:hyperlink>
      <w:hyperlink r:id="rId25" w:history="1">
        <w:r>
          <w:rPr>
            <w:rFonts w:ascii="arial" w:eastAsia="arial" w:hAnsi="arial" w:cs="arial"/>
            <w:b w:val="0"/>
            <w:i/>
            <w:strike w:val="0"/>
            <w:noProof w:val="0"/>
            <w:color w:val="0077CC"/>
            <w:position w:val="0"/>
            <w:sz w:val="20"/>
            <w:u w:val="single"/>
            <w:vertAlign w:val="baseline"/>
          </w:rPr>
          <w:t>, 561 U.S. at 780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Protecting that right</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is part of every federal judge's duty to "faithfully and impartially discharge all the duties incumbent upon [them] under the Constitution and laws of the United State States." </w:t>
      </w:r>
      <w:hyperlink r:id="rId75" w:history="1">
        <w:r>
          <w:rPr>
            <w:rFonts w:ascii="arial" w:eastAsia="arial" w:hAnsi="arial" w:cs="arial"/>
            <w:b w:val="0"/>
            <w:i/>
            <w:strike w:val="0"/>
            <w:noProof w:val="0"/>
            <w:color w:val="0077CC"/>
            <w:position w:val="0"/>
            <w:sz w:val="20"/>
            <w:u w:val="single"/>
            <w:vertAlign w:val="baseline"/>
          </w:rPr>
          <w:t>28 U.S.C. § 453</w:t>
        </w:r>
      </w:hyperlink>
      <w:r>
        <w:rPr>
          <w:rFonts w:ascii="arial" w:eastAsia="arial" w:hAnsi="arial" w:cs="arial"/>
          <w:b w:val="0"/>
          <w:i w:val="0"/>
          <w:strike w:val="0"/>
          <w:noProof w:val="0"/>
          <w:color w:val="000000"/>
          <w:position w:val="0"/>
          <w:sz w:val="20"/>
          <w:u w:val="none"/>
          <w:vertAlign w:val="baseline"/>
        </w:rPr>
        <w:t>. One way judges faithfully and impartially discharge their duties is by not closing their eyes to conflicting evidence.</w:t>
      </w:r>
    </w:p>
    <w:p>
      <w:pPr>
        <w:keepNext w:val="0"/>
        <w:spacing w:before="240" w:after="0" w:line="260" w:lineRule="atLeast"/>
        <w:ind w:left="0" w:right="0" w:firstLine="0"/>
        <w:jc w:val="both"/>
      </w:pPr>
      <w:bookmarkStart w:id="331" w:name="Bookmark_para_63"/>
      <w:bookmarkEnd w:id="331"/>
      <w:r>
        <w:rPr>
          <w:rFonts w:ascii="arial" w:eastAsia="arial" w:hAnsi="arial" w:cs="arial"/>
          <w:b w:val="0"/>
          <w:i w:val="0"/>
          <w:strike w:val="0"/>
          <w:noProof w:val="0"/>
          <w:color w:val="000000"/>
          <w:position w:val="0"/>
          <w:sz w:val="20"/>
          <w:u w:val="none"/>
          <w:vertAlign w:val="baseline"/>
        </w:rPr>
        <w:t xml:space="preserve">Regardless of whether historical scholars are correct about the history of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and the Supreme Court's analysis, however, this is a new and a different case than </w:t>
      </w:r>
      <w:r>
        <w:rPr>
          <w:rFonts w:ascii="arial" w:eastAsia="arial" w:hAnsi="arial" w:cs="arial"/>
          <w:b w:val="0"/>
          <w:i/>
          <w:strike w:val="0"/>
          <w:noProof w:val="0"/>
          <w:color w:val="000000"/>
          <w:position w:val="0"/>
          <w:sz w:val="20"/>
          <w:u w:val="none"/>
          <w:vertAlign w:val="baseline"/>
        </w:rPr>
        <w:t>Heller, McDonald</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w:t>
      </w:r>
      <w:bookmarkStart w:id="332" w:name="Bookmark_I6B11G1728T42G0010000400"/>
      <w:bookmarkEnd w:id="332"/>
      <w:r>
        <w:rPr>
          <w:rFonts w:ascii="arial" w:eastAsia="arial" w:hAnsi="arial" w:cs="arial"/>
          <w:b w:val="0"/>
          <w:i w:val="0"/>
          <w:strike w:val="0"/>
          <w:noProof w:val="0"/>
          <w:color w:val="000000"/>
          <w:position w:val="0"/>
          <w:sz w:val="20"/>
          <w:u w:val="none"/>
          <w:vertAlign w:val="baseline"/>
        </w:rPr>
        <w:t xml:space="preserve">None of the Supreme Court's previous decisions addressed the California laws Baird and Gallardo now challenge. </w:t>
      </w:r>
      <w:bookmarkStart w:id="333" w:name="Bookmark_I6B11G1728T42G0030000400"/>
      <w:bookmarkEnd w:id="333"/>
      <w:r>
        <w:rPr>
          <w:rFonts w:ascii="arial" w:eastAsia="arial" w:hAnsi="arial" w:cs="arial"/>
          <w:b w:val="0"/>
          <w:i w:val="0"/>
          <w:strike w:val="0"/>
          <w:noProof w:val="0"/>
          <w:color w:val="000000"/>
          <w:position w:val="0"/>
          <w:sz w:val="20"/>
          <w:u w:val="none"/>
          <w:vertAlign w:val="baseline"/>
        </w:rPr>
        <w:t xml:space="preserve">The Supreme Court set forth the basic legal test in </w:t>
      </w:r>
      <w:r>
        <w:rPr>
          <w:rFonts w:ascii="arial" w:eastAsia="arial" w:hAnsi="arial" w:cs="arial"/>
          <w:b w:val="0"/>
          <w:i/>
          <w:strike w:val="0"/>
          <w:noProof w:val="0"/>
          <w:color w:val="000000"/>
          <w:position w:val="0"/>
          <w:sz w:val="20"/>
          <w:u w:val="none"/>
          <w:vertAlign w:val="baseline"/>
        </w:rPr>
        <w:t>Heller, McDonald</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w:t>
      </w:r>
      <w:bookmarkStart w:id="334" w:name="Bookmark_I6B11G1728T42G0050000400"/>
      <w:bookmarkEnd w:id="334"/>
      <w:r>
        <w:rPr>
          <w:rFonts w:ascii="arial" w:eastAsia="arial" w:hAnsi="arial" w:cs="arial"/>
          <w:b w:val="0"/>
          <w:i w:val="0"/>
          <w:strike w:val="0"/>
          <w:noProof w:val="0"/>
          <w:color w:val="000000"/>
          <w:position w:val="0"/>
          <w:sz w:val="20"/>
          <w:u w:val="none"/>
          <w:vertAlign w:val="baseline"/>
        </w:rPr>
        <w:t xml:space="preserve">But it did not proscribe the record this court must use to adjudicate Baird and Gallardo's challenge to California's laws. Rather, the Court trusted lower courts would deploy the same "'evidentiary principles and default rules'" they have used to resolve "particular cases or controversies" many times before. </w:t>
      </w:r>
      <w:bookmarkStart w:id="335" w:name="Bookmark_I6B11G172D6NM70050000400"/>
      <w:bookmarkEnd w:id="335"/>
      <w:hyperlink r:id="rId11" w:history="1">
        <w:r>
          <w:rPr>
            <w:rFonts w:ascii="arial" w:eastAsia="arial" w:hAnsi="arial" w:cs="arial"/>
            <w:b w:val="0"/>
            <w:i/>
            <w:strike w:val="0"/>
            <w:noProof w:val="0"/>
            <w:color w:val="0077CC"/>
            <w:position w:val="0"/>
            <w:sz w:val="20"/>
            <w:u w:val="single"/>
            <w:vertAlign w:val="baseline"/>
          </w:rPr>
          <w:t>142 S. Ct. at 2130 n.6</w:t>
        </w:r>
      </w:hyperlink>
      <w:r>
        <w:rPr>
          <w:rFonts w:ascii="arial" w:eastAsia="arial" w:hAnsi="arial" w:cs="arial"/>
          <w:b w:val="0"/>
          <w:i w:val="0"/>
          <w:strike w:val="0"/>
          <w:noProof w:val="0"/>
          <w:color w:val="000000"/>
          <w:position w:val="0"/>
          <w:sz w:val="20"/>
          <w:u w:val="none"/>
          <w:vertAlign w:val="baseline"/>
        </w:rPr>
        <w:t xml:space="preserve"> (quoting </w:t>
      </w:r>
      <w:hyperlink r:id="rId76" w:history="1">
        <w:r>
          <w:rPr>
            <w:rFonts w:ascii="arial" w:eastAsia="arial" w:hAnsi="arial" w:cs="arial"/>
            <w:b w:val="0"/>
            <w:i/>
            <w:strike w:val="0"/>
            <w:noProof w:val="0"/>
            <w:color w:val="0077CC"/>
            <w:position w:val="0"/>
            <w:sz w:val="20"/>
            <w:u w:val="single"/>
            <w:vertAlign w:val="baseline"/>
          </w:rPr>
          <w:t xml:space="preserve">Baude &amp; Sachs (2019), </w:t>
        </w:r>
      </w:hyperlink>
      <w:hyperlink r:id="rId76" w:history="1">
        <w:r>
          <w:rPr>
            <w:rFonts w:ascii="arial" w:eastAsia="arial" w:hAnsi="arial" w:cs="arial"/>
            <w:b w:val="0"/>
            <w:i/>
            <w:strike w:val="0"/>
            <w:noProof w:val="0"/>
            <w:color w:val="0077CC"/>
            <w:position w:val="0"/>
            <w:sz w:val="20"/>
            <w:u w:val="single"/>
            <w:vertAlign w:val="baseline"/>
          </w:rPr>
          <w:t>supra</w:t>
        </w:r>
      </w:hyperlink>
      <w:hyperlink r:id="rId76" w:history="1">
        <w:r>
          <w:rPr>
            <w:rFonts w:ascii="arial" w:eastAsia="arial" w:hAnsi="arial" w:cs="arial"/>
            <w:b w:val="0"/>
            <w:i/>
            <w:strike w:val="0"/>
            <w:noProof w:val="0"/>
            <w:color w:val="0077CC"/>
            <w:position w:val="0"/>
            <w:sz w:val="20"/>
            <w:u w:val="single"/>
            <w:vertAlign w:val="baseline"/>
          </w:rPr>
          <w:t>, at 810-11</w:t>
        </w:r>
      </w:hyperlink>
      <w:r>
        <w:rPr>
          <w:rFonts w:ascii="arial" w:eastAsia="arial" w:hAnsi="arial" w:cs="arial"/>
          <w:b w:val="0"/>
          <w:i w:val="0"/>
          <w:strike w:val="0"/>
          <w:noProof w:val="0"/>
          <w:color w:val="000000"/>
          <w:position w:val="0"/>
          <w:sz w:val="20"/>
          <w:u w:val="none"/>
          <w:vertAlign w:val="baseline"/>
        </w:rPr>
        <w:t xml:space="preserve">). </w:t>
      </w:r>
      <w:bookmarkStart w:id="336" w:name="Bookmark_I6B11G1728T42G0050000400_2"/>
      <w:bookmarkEnd w:id="336"/>
      <w:bookmarkStart w:id="337" w:name="Bookmark_I6B11G1728T42G0030000400_2"/>
      <w:bookmarkEnd w:id="337"/>
      <w:r>
        <w:rPr>
          <w:rFonts w:ascii="arial" w:eastAsia="arial" w:hAnsi="arial" w:cs="arial"/>
          <w:b w:val="0"/>
          <w:i w:val="0"/>
          <w:strike w:val="0"/>
          <w:noProof w:val="0"/>
          <w:color w:val="000000"/>
          <w:position w:val="0"/>
          <w:sz w:val="20"/>
          <w:u w:val="none"/>
          <w:vertAlign w:val="baseline"/>
        </w:rPr>
        <w:t xml:space="preserve">District courts may "decide a case based on the historical record compiled by the parties" in that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If a state cites no history in response to a plaintiff's assertion of a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right, a court</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has no obligation to search through history for reasons to uphold the state's laws. </w:t>
      </w:r>
      <w:r>
        <w:rPr>
          <w:rFonts w:ascii="arial" w:eastAsia="arial" w:hAnsi="arial" w:cs="arial"/>
          <w:b w:val="0"/>
          <w:i/>
          <w:strike w:val="0"/>
          <w:noProof w:val="0"/>
          <w:color w:val="000000"/>
          <w:position w:val="0"/>
          <w:sz w:val="20"/>
          <w:u w:val="none"/>
          <w:vertAlign w:val="baseline"/>
        </w:rPr>
        <w:t xml:space="preserve">See </w:t>
      </w:r>
      <w:bookmarkStart w:id="338" w:name="Bookmark_I6B11G1728T42G0020000400"/>
      <w:bookmarkEnd w:id="338"/>
      <w:hyperlink r:id="rId35" w:history="1">
        <w:r>
          <w:rPr>
            <w:rFonts w:ascii="arial" w:eastAsia="arial" w:hAnsi="arial" w:cs="arial"/>
            <w:b w:val="0"/>
            <w:i/>
            <w:strike w:val="0"/>
            <w:noProof w:val="0"/>
            <w:color w:val="0077CC"/>
            <w:position w:val="0"/>
            <w:sz w:val="20"/>
            <w:u w:val="single"/>
            <w:vertAlign w:val="baseline"/>
          </w:rPr>
          <w:t>Baird</w:t>
        </w:r>
      </w:hyperlink>
      <w:hyperlink r:id="rId35" w:history="1">
        <w:r>
          <w:rPr>
            <w:rFonts w:ascii="arial" w:eastAsia="arial" w:hAnsi="arial" w:cs="arial"/>
            <w:b w:val="0"/>
            <w:i/>
            <w:strike w:val="0"/>
            <w:noProof w:val="0"/>
            <w:color w:val="0077CC"/>
            <w:position w:val="0"/>
            <w:sz w:val="20"/>
            <w:u w:val="single"/>
            <w:vertAlign w:val="baseline"/>
          </w:rPr>
          <w:t>, 81 F.4th at 1047</w:t>
        </w:r>
      </w:hyperlink>
      <w:r>
        <w:rPr>
          <w:rFonts w:ascii="arial" w:eastAsia="arial" w:hAnsi="arial" w:cs="arial"/>
          <w:b w:val="0"/>
          <w:i w:val="0"/>
          <w:strike w:val="0"/>
          <w:noProof w:val="0"/>
          <w:color w:val="000000"/>
          <w:position w:val="0"/>
          <w:sz w:val="20"/>
          <w:u w:val="none"/>
          <w:vertAlign w:val="baseline"/>
        </w:rPr>
        <w:t xml:space="preserve"> ("It is the parties' duty, not the court's, to collect and present historic analogues.").</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But, as California has here, a state may rely on its own evidence and its own record in each new case; California is not bound by New York's failure to cite evidence or make certain arguments in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and it is not confined to the District of Columbia's record in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xml:space="preserve">. </w:t>
      </w:r>
      <w:bookmarkStart w:id="342" w:name="Bookmark_I6B11G172SF7RV0040000400"/>
      <w:bookmarkEnd w:id="342"/>
      <w:r>
        <w:rPr>
          <w:rFonts w:ascii="arial" w:eastAsia="arial" w:hAnsi="arial" w:cs="arial"/>
          <w:b w:val="0"/>
          <w:i w:val="0"/>
          <w:strike w:val="0"/>
          <w:noProof w:val="0"/>
          <w:color w:val="000000"/>
          <w:position w:val="0"/>
          <w:sz w:val="20"/>
          <w:u w:val="none"/>
          <w:vertAlign w:val="baseline"/>
        </w:rPr>
        <w:t xml:space="preserve">The point is, this court must and will follow the legal dictates of </w:t>
      </w:r>
      <w:bookmarkStart w:id="343" w:name="Bookmark_I6B11G1728T42G0040000400"/>
      <w:bookmarkEnd w:id="343"/>
      <w:hyperlink r:id="rId74" w:history="1">
        <w:r>
          <w:rPr>
            <w:rFonts w:ascii="arial" w:eastAsia="arial" w:hAnsi="arial" w:cs="arial"/>
            <w:b w:val="0"/>
            <w:i/>
            <w:strike w:val="0"/>
            <w:noProof w:val="0"/>
            <w:color w:val="0077CC"/>
            <w:position w:val="0"/>
            <w:sz w:val="20"/>
            <w:u w:val="single"/>
            <w:vertAlign w:val="baseline"/>
          </w:rPr>
          <w:t>Heller</w:t>
        </w:r>
      </w:hyperlink>
      <w:hyperlink r:id="rId74" w:history="1">
        <w:r>
          <w:rPr>
            <w:rFonts w:ascii="arial" w:eastAsia="arial" w:hAnsi="arial" w:cs="arial"/>
            <w:b w:val="0"/>
            <w:i/>
            <w:strike w:val="0"/>
            <w:noProof w:val="0"/>
            <w:color w:val="0077CC"/>
            <w:position w:val="0"/>
            <w:sz w:val="20"/>
            <w:u w:val="single"/>
            <w:vertAlign w:val="baseline"/>
          </w:rPr>
          <w:t xml:space="preserve"> </w:t>
        </w:r>
      </w:hyperlink>
      <w:r>
        <w:rPr>
          <w:rFonts w:ascii="arial" w:eastAsia="arial" w:hAnsi="arial" w:cs="arial"/>
          <w:b w:val="0"/>
          <w:i w:val="0"/>
          <w:strike w:val="0"/>
          <w:noProof w:val="0"/>
          <w:color w:val="000000"/>
          <w:position w:val="0"/>
          <w:sz w:val="20"/>
          <w:u w:val="none"/>
          <w:vertAlign w:val="baseline"/>
        </w:rPr>
        <w:t xml:space="preserve">and </w:t>
      </w:r>
      <w:bookmarkStart w:id="344" w:name="Bookmark_I6B11G172SF7RV0040000400_2"/>
      <w:bookmarkEnd w:id="344"/>
      <w:bookmarkStart w:id="345" w:name="Bookmark_I6B11G1728T42G0050000400_3"/>
      <w:bookmarkEnd w:id="345"/>
      <w:bookmarkStart w:id="346" w:name="Bookmark_I6B11G172SF7RV0010000400"/>
      <w:bookmarkEnd w:id="346"/>
      <w:hyperlink r:id="rId11" w:history="1">
        <w:r>
          <w:rPr>
            <w:rFonts w:ascii="arial" w:eastAsia="arial" w:hAnsi="arial" w:cs="arial"/>
            <w:b w:val="0"/>
            <w:i/>
            <w:strike w:val="0"/>
            <w:noProof w:val="0"/>
            <w:color w:val="0077CC"/>
            <w:position w:val="0"/>
            <w:sz w:val="20"/>
            <w:u w:val="single"/>
            <w:vertAlign w:val="baseline"/>
          </w:rPr>
          <w:t>Bruen</w:t>
        </w:r>
      </w:hyperlink>
      <w:r>
        <w:rPr>
          <w:rFonts w:ascii="arial" w:eastAsia="arial" w:hAnsi="arial" w:cs="arial"/>
          <w:b w:val="0"/>
          <w:i w:val="0"/>
          <w:strike w:val="0"/>
          <w:noProof w:val="0"/>
          <w:color w:val="000000"/>
          <w:position w:val="0"/>
          <w:sz w:val="20"/>
          <w:u w:val="none"/>
          <w:vertAlign w:val="baseline"/>
        </w:rPr>
        <w:t xml:space="preserve">, but it has no obligation to perpetuate any mistaken or incomplete accounts of what happened in the past that the parties and their amici presented to the Supreme Court in those cases. Otherwise, the Supreme Court would not have written that historical analysis often requires "nuanced judgments about which evidence to consult and how to interpret it" when it instructed lower courts like this one to answer the questions presented in each case. </w:t>
      </w:r>
      <w:bookmarkStart w:id="347" w:name="Bookmark_I6B11G172SF7RV0030000400"/>
      <w:bookmarkEnd w:id="347"/>
      <w:hyperlink r:id="rId11" w:history="1">
        <w:r>
          <w:rPr>
            <w:rFonts w:ascii="arial" w:eastAsia="arial" w:hAnsi="arial" w:cs="arial"/>
            <w:b w:val="0"/>
            <w:i/>
            <w:strike w:val="0"/>
            <w:noProof w:val="0"/>
            <w:color w:val="0077CC"/>
            <w:position w:val="0"/>
            <w:sz w:val="20"/>
            <w:u w:val="single"/>
            <w:vertAlign w:val="baseline"/>
          </w:rPr>
          <w:t>Bruen</w:t>
        </w:r>
      </w:hyperlink>
      <w:hyperlink r:id="rId11" w:history="1">
        <w:r>
          <w:rPr>
            <w:rFonts w:ascii="arial" w:eastAsia="arial" w:hAnsi="arial" w:cs="arial"/>
            <w:b w:val="0"/>
            <w:i/>
            <w:strike w:val="0"/>
            <w:noProof w:val="0"/>
            <w:color w:val="0077CC"/>
            <w:position w:val="0"/>
            <w:sz w:val="20"/>
            <w:u w:val="single"/>
            <w:vertAlign w:val="baseline"/>
          </w:rPr>
          <w:t>, 142 S. Ct. at &amp; 2130 &amp; n.6</w:t>
        </w:r>
      </w:hyperlink>
      <w:r>
        <w:rPr>
          <w:rFonts w:ascii="arial" w:eastAsia="arial" w:hAnsi="arial" w:cs="arial"/>
          <w:b w:val="0"/>
          <w:i w:val="0"/>
          <w:strike w:val="0"/>
          <w:noProof w:val="0"/>
          <w:color w:val="000000"/>
          <w:position w:val="0"/>
          <w:sz w:val="20"/>
          <w:u w:val="none"/>
          <w:vertAlign w:val="baseline"/>
        </w:rPr>
        <w:t xml:space="preserve"> (emphasis omitted) (quoting </w:t>
      </w:r>
      <w:bookmarkStart w:id="348" w:name="Bookmark_I6B11G172SF7RV0050000400"/>
      <w:bookmarkEnd w:id="348"/>
      <w:hyperlink r:id="rId25" w:history="1">
        <w:r>
          <w:rPr>
            <w:rFonts w:ascii="arial" w:eastAsia="arial" w:hAnsi="arial" w:cs="arial"/>
            <w:b w:val="0"/>
            <w:i/>
            <w:strike w:val="0"/>
            <w:noProof w:val="0"/>
            <w:color w:val="0077CC"/>
            <w:position w:val="0"/>
            <w:sz w:val="20"/>
            <w:u w:val="single"/>
            <w:vertAlign w:val="baseline"/>
          </w:rPr>
          <w:t>McDonald</w:t>
        </w:r>
      </w:hyperlink>
      <w:hyperlink r:id="rId25" w:history="1">
        <w:r>
          <w:rPr>
            <w:rFonts w:ascii="arial" w:eastAsia="arial" w:hAnsi="arial" w:cs="arial"/>
            <w:b w:val="0"/>
            <w:i/>
            <w:strike w:val="0"/>
            <w:noProof w:val="0"/>
            <w:color w:val="0077CC"/>
            <w:position w:val="0"/>
            <w:sz w:val="20"/>
            <w:u w:val="single"/>
            <w:vertAlign w:val="baseline"/>
          </w:rPr>
          <w:t>, 561 U.S. at 803-04</w:t>
        </w:r>
      </w:hyperlink>
      <w:r>
        <w:rPr>
          <w:rFonts w:ascii="arial" w:eastAsia="arial" w:hAnsi="arial" w:cs="arial"/>
          <w:b w:val="0"/>
          <w:i w:val="0"/>
          <w:strike w:val="0"/>
          <w:noProof w:val="0"/>
          <w:color w:val="000000"/>
          <w:position w:val="0"/>
          <w:sz w:val="20"/>
          <w:u w:val="none"/>
          <w:vertAlign w:val="baseline"/>
        </w:rPr>
        <w:t>) (Scalia, J., concurring)).</w:t>
      </w:r>
    </w:p>
    <w:p>
      <w:pPr>
        <w:keepNext w:val="0"/>
        <w:spacing w:before="240" w:after="0" w:line="260" w:lineRule="atLeast"/>
        <w:ind w:left="0" w:right="0" w:firstLine="0"/>
        <w:jc w:val="both"/>
      </w:pPr>
      <w:bookmarkStart w:id="349" w:name="Bookmark_para_64"/>
      <w:bookmarkEnd w:id="349"/>
      <w:bookmarkStart w:id="350" w:name="Bookmark_I6B11G172HM69N0050000400"/>
      <w:bookmarkEnd w:id="350"/>
      <w:r>
        <w:rPr>
          <w:rFonts w:ascii="arial" w:eastAsia="arial" w:hAnsi="arial" w:cs="arial"/>
          <w:b w:val="0"/>
          <w:i w:val="0"/>
          <w:strike w:val="0"/>
          <w:noProof w:val="0"/>
          <w:color w:val="000000"/>
          <w:position w:val="0"/>
          <w:sz w:val="20"/>
          <w:u w:val="none"/>
          <w:vertAlign w:val="baseline"/>
        </w:rPr>
        <w:t>Moreover, lower courts can assist the Supreme Court by clearly and fairly identifying any relevant conflicts in any given case. Judges on lower courts</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manifest their respect for the Supreme Court not only by following the Court's precedents, but also "in the respectful expression of</w:t>
      </w:r>
      <w:r>
        <w:rPr>
          <w:rFonts w:ascii="arial" w:eastAsia="arial" w:hAnsi="arial" w:cs="arial"/>
          <w:b/>
          <w:i w:val="0"/>
          <w:strike w:val="0"/>
          <w:noProof w:val="0"/>
          <w:color w:val="000000"/>
          <w:position w:val="0"/>
          <w:sz w:val="20"/>
          <w:u w:val="none"/>
          <w:vertAlign w:val="baseline"/>
        </w:rPr>
        <w:t> [*1112] </w:t>
      </w:r>
      <w:r>
        <w:rPr>
          <w:rFonts w:ascii="arial" w:eastAsia="arial" w:hAnsi="arial" w:cs="arial"/>
          <w:b w:val="0"/>
          <w:i w:val="0"/>
          <w:strike w:val="0"/>
          <w:noProof w:val="0"/>
          <w:color w:val="000000"/>
          <w:position w:val="0"/>
          <w:sz w:val="20"/>
          <w:u w:val="none"/>
          <w:vertAlign w:val="baseline"/>
        </w:rPr>
        <w:t xml:space="preserve"> difference—that too is the essence of the judicial craft." J. Harvie Wilkinson III, </w:t>
      </w:r>
      <w:r>
        <w:rPr>
          <w:rFonts w:ascii="arial" w:eastAsia="arial" w:hAnsi="arial" w:cs="arial"/>
          <w:b w:val="0"/>
          <w:i/>
          <w:strike w:val="0"/>
          <w:noProof w:val="0"/>
          <w:color w:val="000000"/>
          <w:position w:val="0"/>
          <w:sz w:val="20"/>
          <w:u w:val="none"/>
          <w:vertAlign w:val="baseline"/>
        </w:rPr>
        <w:t>Of Guns, Abortions, and the Unraveling Rule of Law</w:t>
      </w:r>
      <w:r>
        <w:rPr>
          <w:rFonts w:ascii="arial" w:eastAsia="arial" w:hAnsi="arial" w:cs="arial"/>
          <w:b w:val="0"/>
          <w:i w:val="0"/>
          <w:strike w:val="0"/>
          <w:noProof w:val="0"/>
          <w:color w:val="000000"/>
          <w:position w:val="0"/>
          <w:sz w:val="20"/>
          <w:u w:val="none"/>
          <w:vertAlign w:val="baseline"/>
        </w:rPr>
        <w:t xml:space="preserve">, </w:t>
      </w:r>
      <w:hyperlink r:id="rId77" w:history="1">
        <w:r>
          <w:rPr>
            <w:rFonts w:ascii="arial" w:eastAsia="arial" w:hAnsi="arial" w:cs="arial"/>
            <w:b w:val="0"/>
            <w:i/>
            <w:strike w:val="0"/>
            <w:noProof w:val="0"/>
            <w:color w:val="0077CC"/>
            <w:position w:val="0"/>
            <w:sz w:val="20"/>
            <w:u w:val="single"/>
            <w:vertAlign w:val="baseline"/>
          </w:rPr>
          <w:t>95 Va. L. Rev. 253, 255-56 (2009)</w:t>
        </w:r>
      </w:hyperlink>
      <w:r>
        <w:rPr>
          <w:rFonts w:ascii="arial" w:eastAsia="arial" w:hAnsi="arial" w:cs="arial"/>
          <w:b w:val="0"/>
          <w:i w:val="0"/>
          <w:strike w:val="0"/>
          <w:noProof w:val="0"/>
          <w:color w:val="000000"/>
          <w:position w:val="0"/>
          <w:sz w:val="20"/>
          <w:u w:val="none"/>
          <w:vertAlign w:val="baseline"/>
        </w:rPr>
        <w:t xml:space="preserve">. The Supreme Court relies in part on the lower courts to identify problems that might justify a second look at its decisions. </w:t>
      </w:r>
      <w:r>
        <w:rPr>
          <w:rFonts w:ascii="arial" w:eastAsia="arial" w:hAnsi="arial" w:cs="arial"/>
          <w:b w:val="0"/>
          <w:i/>
          <w:strike w:val="0"/>
          <w:noProof w:val="0"/>
          <w:color w:val="000000"/>
          <w:position w:val="0"/>
          <w:sz w:val="20"/>
          <w:u w:val="none"/>
          <w:vertAlign w:val="baseline"/>
        </w:rPr>
        <w:t xml:space="preserve">See, e.g., </w:t>
      </w:r>
      <w:bookmarkStart w:id="351" w:name="Bookmark_I6B11G172HM69N0040000400"/>
      <w:bookmarkEnd w:id="351"/>
      <w:hyperlink r:id="rId78" w:history="1">
        <w:r>
          <w:rPr>
            <w:rFonts w:ascii="arial" w:eastAsia="arial" w:hAnsi="arial" w:cs="arial"/>
            <w:b w:val="0"/>
            <w:i/>
            <w:strike w:val="0"/>
            <w:noProof w:val="0"/>
            <w:color w:val="0077CC"/>
            <w:position w:val="0"/>
            <w:sz w:val="20"/>
            <w:u w:val="single"/>
            <w:vertAlign w:val="baseline"/>
          </w:rPr>
          <w:t>Dobbs v. Jackson Women's Health Org.</w:t>
        </w:r>
      </w:hyperlink>
      <w:hyperlink r:id="rId78" w:history="1">
        <w:r>
          <w:rPr>
            <w:rFonts w:ascii="arial" w:eastAsia="arial" w:hAnsi="arial" w:cs="arial"/>
            <w:b w:val="0"/>
            <w:i/>
            <w:strike w:val="0"/>
            <w:noProof w:val="0"/>
            <w:color w:val="0077CC"/>
            <w:position w:val="0"/>
            <w:sz w:val="20"/>
            <w:u w:val="single"/>
            <w:vertAlign w:val="baseline"/>
          </w:rPr>
          <w:t>, 597 U.S. 215, 284-86, 142 S. Ct. 2228, 213 L. Ed. 2d 545 (2022)</w:t>
        </w:r>
      </w:hyperlink>
      <w:r>
        <w:rPr>
          <w:rFonts w:ascii="arial" w:eastAsia="arial" w:hAnsi="arial" w:cs="arial"/>
          <w:b w:val="0"/>
          <w:i w:val="0"/>
          <w:strike w:val="0"/>
          <w:noProof w:val="0"/>
          <w:color w:val="000000"/>
          <w:position w:val="0"/>
          <w:sz w:val="20"/>
          <w:u w:val="none"/>
          <w:vertAlign w:val="baseline"/>
        </w:rPr>
        <w:t xml:space="preserve">; </w:t>
      </w:r>
      <w:bookmarkStart w:id="352" w:name="Bookmark_I6B11G182N1RDS0010000400"/>
      <w:bookmarkEnd w:id="352"/>
      <w:hyperlink r:id="rId79" w:history="1">
        <w:r>
          <w:rPr>
            <w:rFonts w:ascii="arial" w:eastAsia="arial" w:hAnsi="arial" w:cs="arial"/>
            <w:b w:val="0"/>
            <w:i/>
            <w:strike w:val="0"/>
            <w:noProof w:val="0"/>
            <w:color w:val="0077CC"/>
            <w:position w:val="0"/>
            <w:sz w:val="20"/>
            <w:u w:val="single"/>
            <w:vertAlign w:val="baseline"/>
          </w:rPr>
          <w:t>Pearson v. Callahan</w:t>
        </w:r>
      </w:hyperlink>
      <w:hyperlink r:id="rId79" w:history="1">
        <w:r>
          <w:rPr>
            <w:rFonts w:ascii="arial" w:eastAsia="arial" w:hAnsi="arial" w:cs="arial"/>
            <w:b w:val="0"/>
            <w:i/>
            <w:strike w:val="0"/>
            <w:noProof w:val="0"/>
            <w:color w:val="0077CC"/>
            <w:position w:val="0"/>
            <w:sz w:val="20"/>
            <w:u w:val="single"/>
            <w:vertAlign w:val="baseline"/>
          </w:rPr>
          <w:t>, 555 U.S. 223, 234-35, 129 S. Ct. 808, 172 L. Ed. 2d 565 (2009)</w:t>
        </w:r>
      </w:hyperlink>
      <w:r>
        <w:rPr>
          <w:rFonts w:ascii="arial" w:eastAsia="arial" w:hAnsi="arial" w:cs="arial"/>
          <w:b w:val="0"/>
          <w:i w:val="0"/>
          <w:strike w:val="0"/>
          <w:noProof w:val="0"/>
          <w:color w:val="000000"/>
          <w:position w:val="0"/>
          <w:sz w:val="20"/>
          <w:u w:val="none"/>
          <w:vertAlign w:val="baseline"/>
        </w:rPr>
        <w:t xml:space="preserve">; </w:t>
      </w:r>
      <w:bookmarkStart w:id="353" w:name="Bookmark_I6B11G182N1RDS0030000400"/>
      <w:bookmarkEnd w:id="353"/>
      <w:hyperlink r:id="rId80" w:history="1">
        <w:r>
          <w:rPr>
            <w:rFonts w:ascii="arial" w:eastAsia="arial" w:hAnsi="arial" w:cs="arial"/>
            <w:b w:val="0"/>
            <w:i/>
            <w:strike w:val="0"/>
            <w:noProof w:val="0"/>
            <w:color w:val="0077CC"/>
            <w:position w:val="0"/>
            <w:sz w:val="20"/>
            <w:u w:val="single"/>
            <w:vertAlign w:val="baseline"/>
          </w:rPr>
          <w:t>Payne v. Tennessee</w:t>
        </w:r>
      </w:hyperlink>
      <w:hyperlink r:id="rId80" w:history="1">
        <w:r>
          <w:rPr>
            <w:rFonts w:ascii="arial" w:eastAsia="arial" w:hAnsi="arial" w:cs="arial"/>
            <w:b w:val="0"/>
            <w:i/>
            <w:strike w:val="0"/>
            <w:noProof w:val="0"/>
            <w:color w:val="0077CC"/>
            <w:position w:val="0"/>
            <w:sz w:val="20"/>
            <w:u w:val="single"/>
            <w:vertAlign w:val="baseline"/>
          </w:rPr>
          <w:t>, 501 U.S. 808, 829-30, 111 S. Ct. 2597, 115 L. Ed. 2d 720 (1991)</w:t>
        </w:r>
      </w:hyperlink>
      <w:r>
        <w:rPr>
          <w:rFonts w:ascii="arial" w:eastAsia="arial" w:hAnsi="arial" w:cs="arial"/>
          <w:b w:val="0"/>
          <w:i w:val="0"/>
          <w:strike w:val="0"/>
          <w:noProof w:val="0"/>
          <w:color w:val="000000"/>
          <w:position w:val="0"/>
          <w:sz w:val="20"/>
          <w:u w:val="none"/>
          <w:vertAlign w:val="baseline"/>
        </w:rPr>
        <w:t>. In crafting and issuing this order, this court manifests its respect for the Supreme Court and its awesome responsibilities.</w:t>
      </w:r>
    </w:p>
    <w:p>
      <w:pPr>
        <w:keepNext w:val="0"/>
        <w:spacing w:before="200" w:after="0" w:line="260" w:lineRule="atLeast"/>
        <w:ind w:left="0" w:right="0" w:firstLine="0"/>
        <w:jc w:val="both"/>
      </w:pPr>
      <w:bookmarkStart w:id="354" w:name="Bookmark_para_65"/>
      <w:bookmarkEnd w:id="354"/>
      <w:r>
        <w:rPr>
          <w:rFonts w:ascii="arial" w:eastAsia="arial" w:hAnsi="arial" w:cs="arial"/>
          <w:b w:val="0"/>
          <w:i w:val="0"/>
          <w:strike w:val="0"/>
          <w:noProof w:val="0"/>
          <w:color w:val="000000"/>
          <w:position w:val="0"/>
          <w:sz w:val="20"/>
          <w:u w:val="none"/>
          <w:vertAlign w:val="baseline"/>
        </w:rPr>
        <w:t xml:space="preserve">There is a second and more practical reason to think carefully about the historical debate as well. Some participants in that debate also have weighed in here. As noted above, California has retained Robert Spitzer and Saul Cornell, two historians who have expressed disagreement with the Supreme Court's historical reasoning in </w:t>
      </w:r>
      <w:r>
        <w:rPr>
          <w:rFonts w:ascii="arial" w:eastAsia="arial" w:hAnsi="arial" w:cs="arial"/>
          <w:b w:val="0"/>
          <w:i/>
          <w:strike w:val="0"/>
          <w:noProof w:val="0"/>
          <w:color w:val="000000"/>
          <w:position w:val="0"/>
          <w:sz w:val="20"/>
          <w:u w:val="none"/>
          <w:vertAlign w:val="baseline"/>
        </w:rPr>
        <w:t>Heller. See generally</w:t>
      </w:r>
      <w:r>
        <w:rPr>
          <w:rFonts w:ascii="arial" w:eastAsia="arial" w:hAnsi="arial" w:cs="arial"/>
          <w:b w:val="0"/>
          <w:i w:val="0"/>
          <w:strike w:val="0"/>
          <w:noProof w:val="0"/>
          <w:color w:val="000000"/>
          <w:position w:val="0"/>
          <w:sz w:val="20"/>
          <w:u w:val="none"/>
          <w:vertAlign w:val="baseline"/>
        </w:rPr>
        <w:t xml:space="preserve"> Cornell Decl., ECF No. 90-7; Spitzer Decl., ECF No. 90-6. Brennan Rivas, the state's third historical expert witness, also has publicly criticized the reasoning the Supreme Court ultimately adopted in </w:t>
      </w:r>
      <w:r>
        <w:rPr>
          <w:rFonts w:ascii="arial" w:eastAsia="arial" w:hAnsi="arial" w:cs="arial"/>
          <w:b w:val="0"/>
          <w:i/>
          <w:strike w:val="0"/>
          <w:noProof w:val="0"/>
          <w:color w:val="000000"/>
          <w:position w:val="0"/>
          <w:sz w:val="20"/>
          <w:u w:val="none"/>
          <w:vertAlign w:val="baseline"/>
        </w:rPr>
        <w:t>Bruen. See</w:t>
      </w:r>
      <w:r>
        <w:rPr>
          <w:rFonts w:ascii="arial" w:eastAsia="arial" w:hAnsi="arial" w:cs="arial"/>
          <w:b w:val="0"/>
          <w:i w:val="0"/>
          <w:strike w:val="0"/>
          <w:noProof w:val="0"/>
          <w:color w:val="000000"/>
          <w:position w:val="0"/>
          <w:sz w:val="20"/>
          <w:u w:val="none"/>
          <w:vertAlign w:val="baseline"/>
        </w:rPr>
        <w:t xml:space="preserve"> Brennan Rivas, "Gun Control, Texas Style" (Dec. 1, 2021).</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By contrast, the plaintiffs' retained expert,</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Clayton Cramer, embraces the Court's historical conclusions and publicly favors a broad interpretation of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Cramer Decl., ECF No. 96-3; </w:t>
      </w:r>
      <w:r>
        <w:rPr>
          <w:rFonts w:ascii="arial" w:eastAsia="arial" w:hAnsi="arial" w:cs="arial"/>
          <w:b w:val="0"/>
          <w:i/>
          <w:strike w:val="0"/>
          <w:noProof w:val="0"/>
          <w:color w:val="000000"/>
          <w:position w:val="0"/>
          <w:sz w:val="20"/>
          <w:u w:val="none"/>
          <w:vertAlign w:val="baseline"/>
        </w:rPr>
        <w:t>see also, e.g.</w:t>
      </w:r>
      <w:r>
        <w:rPr>
          <w:rFonts w:ascii="arial" w:eastAsia="arial" w:hAnsi="arial" w:cs="arial"/>
          <w:b w:val="0"/>
          <w:i w:val="0"/>
          <w:strike w:val="0"/>
          <w:noProof w:val="0"/>
          <w:color w:val="000000"/>
          <w:position w:val="0"/>
          <w:sz w:val="20"/>
          <w:u w:val="none"/>
          <w:vertAlign w:val="baseline"/>
        </w:rPr>
        <w:t xml:space="preserve">, Clayton E. Cramer &amp; Joseph Edward Olson, </w:t>
      </w:r>
      <w:r>
        <w:rPr>
          <w:rFonts w:ascii="arial" w:eastAsia="arial" w:hAnsi="arial" w:cs="arial"/>
          <w:b w:val="0"/>
          <w:i/>
          <w:strike w:val="0"/>
          <w:noProof w:val="0"/>
          <w:color w:val="000000"/>
          <w:position w:val="0"/>
          <w:sz w:val="20"/>
          <w:u w:val="none"/>
          <w:vertAlign w:val="baseline"/>
        </w:rPr>
        <w:t xml:space="preserve">What Did "Bear Arms" Mean in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6 Georgetown J. L. &amp; Pub. Policy 511 (2008) (claiming "the founding generation—and at least two generations after them—did not understand 'bear arms' as limited to military or collective militia duty"). He has written of his hope to win "the battle" for gun rights "not just in the courts, but in the hearts and minds of the American people as well," Clayton Cramer, "Gun Control and the Death of a Thousand Cuts," Shotgun News (Jan. 1, 2011),</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and he publishes similar sentiments on his personal blog,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Clayton Cramer, "</w:t>
      </w:r>
      <w:r>
        <w:rPr>
          <w:rFonts w:ascii="arial" w:eastAsia="arial" w:hAnsi="arial" w:cs="arial"/>
          <w:b w:val="0"/>
          <w:i/>
          <w:strike w:val="0"/>
          <w:noProof w:val="0"/>
          <w:color w:val="000000"/>
          <w:position w:val="0"/>
          <w:sz w:val="20"/>
          <w:u w:val="none"/>
          <w:vertAlign w:val="baseline"/>
        </w:rPr>
        <w:t>Miller v. Bonta</w:t>
      </w:r>
      <w:r>
        <w:rPr>
          <w:rFonts w:ascii="arial" w:eastAsia="arial" w:hAnsi="arial" w:cs="arial"/>
          <w:b w:val="0"/>
          <w:i w:val="0"/>
          <w:strike w:val="0"/>
          <w:noProof w:val="0"/>
          <w:color w:val="000000"/>
          <w:position w:val="0"/>
          <w:sz w:val="20"/>
          <w:u w:val="none"/>
          <w:vertAlign w:val="baseline"/>
        </w:rPr>
        <w:t xml:space="preserve"> (S.D. Cal. 2023) Victory (Oct. 19, 2023).</w:t>
      </w:r>
      <w:r>
        <w:rPr>
          <w:rFonts w:ascii="arial" w:eastAsia="arial" w:hAnsi="arial" w:cs="arial"/>
          <w:vertAlign w:val="superscript"/>
        </w:rPr>
        <w:footnoteReference w:customMarkFollows="1" w:id="17"/>
        <w:t xml:space="preserve">16</w:t>
      </w:r>
    </w:p>
    <w:p>
      <w:pPr>
        <w:keepNext w:val="0"/>
        <w:spacing w:before="200" w:after="0" w:line="260" w:lineRule="atLeast"/>
        <w:ind w:left="0" w:right="0" w:firstLine="0"/>
        <w:jc w:val="both"/>
      </w:pPr>
      <w:bookmarkStart w:id="358" w:name="Bookmark_para_66"/>
      <w:bookmarkEnd w:id="358"/>
      <w:r>
        <w:rPr>
          <w:rFonts w:ascii="arial" w:eastAsia="arial" w:hAnsi="arial" w:cs="arial"/>
          <w:b w:val="0"/>
          <w:i w:val="0"/>
          <w:strike w:val="0"/>
          <w:noProof w:val="0"/>
          <w:color w:val="000000"/>
          <w:position w:val="0"/>
          <w:sz w:val="20"/>
          <w:u w:val="none"/>
          <w:vertAlign w:val="baseline"/>
        </w:rPr>
        <w:t xml:space="preserve">When historians serve as retained experts, they like lawyers "can be guilty of 'law-office history.'" </w:t>
      </w:r>
      <w:hyperlink r:id="rId64" w:history="1">
        <w:r>
          <w:rPr>
            <w:rFonts w:ascii="arial" w:eastAsia="arial" w:hAnsi="arial" w:cs="arial"/>
            <w:b w:val="0"/>
            <w:i/>
            <w:strike w:val="0"/>
            <w:noProof w:val="0"/>
            <w:color w:val="0077CC"/>
            <w:position w:val="0"/>
            <w:sz w:val="20"/>
            <w:u w:val="single"/>
            <w:vertAlign w:val="baseline"/>
          </w:rPr>
          <w:t xml:space="preserve">Martin (2003), </w:t>
        </w:r>
      </w:hyperlink>
      <w:hyperlink r:id="rId64" w:history="1">
        <w:r>
          <w:rPr>
            <w:rFonts w:ascii="arial" w:eastAsia="arial" w:hAnsi="arial" w:cs="arial"/>
            <w:b w:val="0"/>
            <w:i/>
            <w:strike w:val="0"/>
            <w:noProof w:val="0"/>
            <w:color w:val="0077CC"/>
            <w:position w:val="0"/>
            <w:sz w:val="20"/>
            <w:u w:val="single"/>
            <w:vertAlign w:val="baseline"/>
          </w:rPr>
          <w:t>supra</w:t>
        </w:r>
      </w:hyperlink>
      <w:hyperlink r:id="rId64" w:history="1">
        <w:r>
          <w:rPr>
            <w:rFonts w:ascii="arial" w:eastAsia="arial" w:hAnsi="arial" w:cs="arial"/>
            <w:b w:val="0"/>
            <w:i/>
            <w:strike w:val="0"/>
            <w:noProof w:val="0"/>
            <w:color w:val="0077CC"/>
            <w:position w:val="0"/>
            <w:sz w:val="20"/>
            <w:u w:val="single"/>
            <w:vertAlign w:val="baseline"/>
          </w:rPr>
          <w:t>, at 1528</w:t>
        </w:r>
      </w:hyperlink>
      <w:r>
        <w:rPr>
          <w:rFonts w:ascii="arial" w:eastAsia="arial" w:hAnsi="arial" w:cs="arial"/>
          <w:b w:val="0"/>
          <w:i w:val="0"/>
          <w:strike w:val="0"/>
          <w:noProof w:val="0"/>
          <w:color w:val="000000"/>
          <w:position w:val="0"/>
          <w:sz w:val="20"/>
          <w:u w:val="none"/>
          <w:vertAlign w:val="baseline"/>
        </w:rPr>
        <w:t xml:space="preserve">. "[T]he longer and more intimately involved historians are in a case, the greater the possibility that they may begin unconsciously tailoring the research to fit a predetermined conclusion." </w:t>
      </w:r>
      <w:hyperlink r:id="rId64" w:history="1">
        <w:r>
          <w:rPr>
            <w:rFonts w:ascii="arial" w:eastAsia="arial" w:hAnsi="arial" w:cs="arial"/>
            <w:b w:val="0"/>
            <w:i/>
            <w:strike w:val="0"/>
            <w:noProof w:val="0"/>
            <w:color w:val="0077CC"/>
            <w:position w:val="0"/>
            <w:sz w:val="20"/>
            <w:u w:val="single"/>
            <w:vertAlign w:val="baseline"/>
          </w:rPr>
          <w:t>Id.</w:t>
        </w:r>
      </w:hyperlink>
      <w:hyperlink r:id="rId64" w:history="1">
        <w:r>
          <w:rPr>
            <w:rFonts w:ascii="arial" w:eastAsia="arial" w:hAnsi="arial" w:cs="arial"/>
            <w:b w:val="0"/>
            <w:i/>
            <w:strike w:val="0"/>
            <w:noProof w:val="0"/>
            <w:color w:val="0077CC"/>
            <w:position w:val="0"/>
            <w:sz w:val="20"/>
            <w:u w:val="single"/>
            <w:vertAlign w:val="baseline"/>
          </w:rPr>
          <w:t xml:space="preserve"> at 1542</w:t>
        </w:r>
      </w:hyperlink>
      <w:r>
        <w:rPr>
          <w:rFonts w:ascii="arial" w:eastAsia="arial" w:hAnsi="arial" w:cs="arial"/>
          <w:b w:val="0"/>
          <w:i w:val="0"/>
          <w:strike w:val="0"/>
          <w:noProof w:val="0"/>
          <w:color w:val="000000"/>
          <w:position w:val="0"/>
          <w:sz w:val="20"/>
          <w:u w:val="none"/>
          <w:vertAlign w:val="baseline"/>
        </w:rPr>
        <w:t xml:space="preserve"> (quoting Paul Soifer, </w:t>
      </w:r>
      <w:r>
        <w:rPr>
          <w:rFonts w:ascii="arial" w:eastAsia="arial" w:hAnsi="arial" w:cs="arial"/>
          <w:b w:val="0"/>
          <w:i/>
          <w:strike w:val="0"/>
          <w:noProof w:val="0"/>
          <w:color w:val="000000"/>
          <w:position w:val="0"/>
          <w:sz w:val="20"/>
          <w:u w:val="none"/>
          <w:vertAlign w:val="baseline"/>
        </w:rPr>
        <w:t>The Litigation Historian: Objectivity, Responsibility, and Sources</w:t>
      </w:r>
      <w:r>
        <w:rPr>
          <w:rFonts w:ascii="arial" w:eastAsia="arial" w:hAnsi="arial" w:cs="arial"/>
          <w:b w:val="0"/>
          <w:i w:val="0"/>
          <w:strike w:val="0"/>
          <w:noProof w:val="0"/>
          <w:color w:val="000000"/>
          <w:position w:val="0"/>
          <w:sz w:val="20"/>
          <w:u w:val="none"/>
          <w:vertAlign w:val="baseline"/>
        </w:rPr>
        <w:t>, Pub. Historian, Spring 1983,</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at 47, 50). But zealous identification with a cause need not render an expert's opinions unreliable, nor the cause unjust. </w:t>
      </w:r>
      <w:r>
        <w:rPr>
          <w:rFonts w:ascii="arial" w:eastAsia="arial" w:hAnsi="arial" w:cs="arial"/>
          <w:b w:val="0"/>
          <w:i/>
          <w:strike w:val="0"/>
          <w:noProof w:val="0"/>
          <w:color w:val="000000"/>
          <w:position w:val="0"/>
          <w:sz w:val="20"/>
          <w:u w:val="none"/>
          <w:vertAlign w:val="baseline"/>
        </w:rPr>
        <w:t xml:space="preserve">Cf. </w:t>
      </w:r>
      <w:hyperlink r:id="rId64" w:history="1">
        <w:r>
          <w:rPr>
            <w:rFonts w:ascii="arial" w:eastAsia="arial" w:hAnsi="arial" w:cs="arial"/>
            <w:b w:val="0"/>
            <w:i/>
            <w:strike w:val="0"/>
            <w:noProof w:val="0"/>
            <w:color w:val="0077CC"/>
            <w:position w:val="0"/>
            <w:sz w:val="20"/>
            <w:u w:val="single"/>
            <w:vertAlign w:val="baseline"/>
          </w:rPr>
          <w:t>id.</w:t>
        </w:r>
      </w:hyperlink>
      <w:hyperlink r:id="rId64" w:history="1">
        <w:r>
          <w:rPr>
            <w:rFonts w:ascii="arial" w:eastAsia="arial" w:hAnsi="arial" w:cs="arial"/>
            <w:b w:val="0"/>
            <w:i/>
            <w:strike w:val="0"/>
            <w:noProof w:val="0"/>
            <w:color w:val="0077CC"/>
            <w:position w:val="0"/>
            <w:sz w:val="20"/>
            <w:u w:val="single"/>
            <w:vertAlign w:val="baseline"/>
          </w:rPr>
          <w:t xml:space="preserve"> at 1527-30</w:t>
        </w:r>
      </w:hyperlink>
      <w:r>
        <w:rPr>
          <w:rFonts w:ascii="arial" w:eastAsia="arial" w:hAnsi="arial" w:cs="arial"/>
          <w:b w:val="0"/>
          <w:i w:val="0"/>
          <w:strike w:val="0"/>
          <w:noProof w:val="0"/>
          <w:color w:val="000000"/>
          <w:position w:val="0"/>
          <w:sz w:val="20"/>
          <w:u w:val="none"/>
          <w:vertAlign w:val="baseline"/>
        </w:rPr>
        <w:t xml:space="preserve"> (documenting expert witnesses' roles—and misgivings about those roles—in </w:t>
      </w:r>
      <w:r>
        <w:rPr>
          <w:rFonts w:ascii="arial" w:eastAsia="arial" w:hAnsi="arial" w:cs="arial"/>
          <w:b w:val="0"/>
          <w:i/>
          <w:strike w:val="0"/>
          <w:noProof w:val="0"/>
          <w:color w:val="000000"/>
          <w:position w:val="0"/>
          <w:sz w:val="20"/>
          <w:u w:val="none"/>
          <w:vertAlign w:val="baseline"/>
        </w:rPr>
        <w:t>Brown v. Board of Education</w:t>
      </w:r>
      <w:r>
        <w:rPr>
          <w:rFonts w:ascii="arial" w:eastAsia="arial" w:hAnsi="arial" w:cs="arial"/>
          <w:b w:val="0"/>
          <w:i w:val="0"/>
          <w:strike w:val="0"/>
          <w:noProof w:val="0"/>
          <w:color w:val="000000"/>
          <w:position w:val="0"/>
          <w:sz w:val="20"/>
          <w:u w:val="none"/>
          <w:vertAlign w:val="baseline"/>
        </w:rPr>
        <w:t xml:space="preserve"> and later cases). Understanding the broader context of an expert's scholarship and opinions, however, may be necessary to put those opinions in perspective. So in this case: Cornell's and Spitzer's opinions may be reliable even though they have often disagreed with the Supreme Court and criticized its conclusions about history; </w:t>
      </w:r>
      <w:r>
        <w:rPr>
          <w:rFonts w:ascii="arial" w:eastAsia="arial" w:hAnsi="arial" w:cs="arial"/>
          <w:b/>
          <w:i w:val="0"/>
          <w:strike w:val="0"/>
          <w:noProof w:val="0"/>
          <w:color w:val="000000"/>
          <w:position w:val="0"/>
          <w:sz w:val="20"/>
          <w:u w:val="none"/>
          <w:vertAlign w:val="baseline"/>
        </w:rPr>
        <w:t> [*1113] </w:t>
      </w:r>
      <w:r>
        <w:rPr>
          <w:rFonts w:ascii="arial" w:eastAsia="arial" w:hAnsi="arial" w:cs="arial"/>
          <w:b w:val="0"/>
          <w:i w:val="0"/>
          <w:strike w:val="0"/>
          <w:noProof w:val="0"/>
          <w:color w:val="000000"/>
          <w:position w:val="0"/>
          <w:sz w:val="20"/>
          <w:u w:val="none"/>
          <w:vertAlign w:val="baseline"/>
        </w:rPr>
        <w:t xml:space="preserve"> Cramer's views may be unreliable or not credible despite his agreement with the Supreme Court's interpretation of historical evidence.</w:t>
      </w:r>
    </w:p>
    <w:p>
      <w:pPr>
        <w:keepNext w:val="0"/>
        <w:spacing w:before="200" w:after="0" w:line="260" w:lineRule="atLeast"/>
        <w:ind w:left="0" w:right="0" w:firstLine="0"/>
        <w:jc w:val="both"/>
      </w:pPr>
      <w:bookmarkStart w:id="359" w:name="Bookmark_para_67"/>
      <w:bookmarkEnd w:id="359"/>
      <w:r>
        <w:rPr>
          <w:rFonts w:ascii="arial" w:eastAsia="arial" w:hAnsi="arial" w:cs="arial"/>
          <w:b w:val="0"/>
          <w:i w:val="0"/>
          <w:strike w:val="0"/>
          <w:noProof w:val="0"/>
          <w:color w:val="000000"/>
          <w:position w:val="0"/>
          <w:sz w:val="20"/>
          <w:u w:val="none"/>
          <w:vertAlign w:val="baseline"/>
        </w:rPr>
        <w:t xml:space="preserve">In short, understanding the debate about the historical reasoning in </w:t>
      </w:r>
      <w:r>
        <w:rPr>
          <w:rFonts w:ascii="arial" w:eastAsia="arial" w:hAnsi="arial" w:cs="arial"/>
          <w:b w:val="0"/>
          <w:i/>
          <w:strike w:val="0"/>
          <w:noProof w:val="0"/>
          <w:color w:val="000000"/>
          <w:position w:val="0"/>
          <w:sz w:val="20"/>
          <w:u w:val="none"/>
          <w:vertAlign w:val="baseline"/>
        </w:rPr>
        <w:t>Heller, McDonald</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is indispensable to understanding the historical record in this case. In reviewing that debate the court participates in an exercise courts elsewhere are carrying out, and keeping that debate in mind assists this court in weighing the opinions of the parties' retained expert witnesses. The court now turns to the debate with those purposes in mind.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The "standard model" draws criticism</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60" w:name="Bookmark_para_68"/>
      <w:bookmarkEnd w:id="360"/>
      <w:r>
        <w:rPr>
          <w:rFonts w:ascii="arial" w:eastAsia="arial" w:hAnsi="arial" w:cs="arial"/>
          <w:b w:val="0"/>
          <w:i w:val="0"/>
          <w:strike w:val="0"/>
          <w:noProof w:val="0"/>
          <w:color w:val="000000"/>
          <w:position w:val="0"/>
          <w:sz w:val="20"/>
          <w:u w:val="none"/>
          <w:vertAlign w:val="baseline"/>
        </w:rPr>
        <w:t>There is no dispute that</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most historians—an "overwhelming majority" by one account—remain "unconvinced" by what is known as the "Standard Model" of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rights. Patrick Charles, </w:t>
      </w:r>
      <w:r>
        <w:rPr>
          <w:rFonts w:ascii="arial" w:eastAsia="arial" w:hAnsi="arial" w:cs="arial"/>
          <w:b w:val="0"/>
          <w:i/>
          <w:strike w:val="0"/>
          <w:noProof w:val="0"/>
          <w:color w:val="000000"/>
          <w:position w:val="0"/>
          <w:sz w:val="20"/>
          <w:u w:val="none"/>
          <w:vertAlign w:val="baseline"/>
        </w:rPr>
        <w:t>The Reasonable Regulation Right to Arms: The Gun-Rights Second Amendment Before the Standard Model</w:t>
      </w:r>
      <w:r>
        <w:rPr>
          <w:rFonts w:ascii="arial" w:eastAsia="arial" w:hAnsi="arial" w:cs="arial"/>
          <w:b w:val="0"/>
          <w:i w:val="0"/>
          <w:strike w:val="0"/>
          <w:noProof w:val="0"/>
          <w:color w:val="000000"/>
          <w:position w:val="0"/>
          <w:sz w:val="20"/>
          <w:u w:val="none"/>
          <w:vertAlign w:val="baseline"/>
        </w:rPr>
        <w:t xml:space="preserve">, at 168 &amp; n.10, in Tucker (2019),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 e.g.</w:t>
      </w:r>
      <w:r>
        <w:rPr>
          <w:rFonts w:ascii="arial" w:eastAsia="arial" w:hAnsi="arial" w:cs="arial"/>
          <w:b w:val="0"/>
          <w:i w:val="0"/>
          <w:strike w:val="0"/>
          <w:noProof w:val="0"/>
          <w:color w:val="000000"/>
          <w:position w:val="0"/>
          <w:sz w:val="20"/>
          <w:u w:val="none"/>
          <w:vertAlign w:val="baseline"/>
        </w:rPr>
        <w:t xml:space="preserve">, Robert J. Spitzer, </w:t>
      </w:r>
      <w:r>
        <w:rPr>
          <w:rFonts w:ascii="arial" w:eastAsia="arial" w:hAnsi="arial" w:cs="arial"/>
          <w:b w:val="0"/>
          <w:i/>
          <w:strike w:val="0"/>
          <w:noProof w:val="0"/>
          <w:color w:val="000000"/>
          <w:position w:val="0"/>
          <w:sz w:val="20"/>
          <w:u w:val="none"/>
          <w:vertAlign w:val="baseline"/>
        </w:rPr>
        <w:t>Lost and Found: Researching the Second Amendment</w:t>
      </w:r>
      <w:r>
        <w:rPr>
          <w:rFonts w:ascii="arial" w:eastAsia="arial" w:hAnsi="arial" w:cs="arial"/>
          <w:b w:val="0"/>
          <w:i w:val="0"/>
          <w:strike w:val="0"/>
          <w:noProof w:val="0"/>
          <w:color w:val="000000"/>
          <w:position w:val="0"/>
          <w:sz w:val="20"/>
          <w:u w:val="none"/>
          <w:vertAlign w:val="baseline"/>
        </w:rPr>
        <w:t xml:space="preserve">, 76 Chicago Kent L. Rev. 349 (2000). The "standard model" moniker was first imported from the lingo of the physical sciences in a law review article published in 1995.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Glenn H. Reynolds, </w:t>
      </w:r>
      <w:r>
        <w:rPr>
          <w:rFonts w:ascii="arial" w:eastAsia="arial" w:hAnsi="arial" w:cs="arial"/>
          <w:b w:val="0"/>
          <w:i/>
          <w:strike w:val="0"/>
          <w:noProof w:val="0"/>
          <w:color w:val="000000"/>
          <w:position w:val="0"/>
          <w:sz w:val="20"/>
          <w:u w:val="none"/>
          <w:vertAlign w:val="baseline"/>
        </w:rPr>
        <w:t xml:space="preserve">A Critical Guide to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t>
      </w:r>
      <w:hyperlink r:id="rId81" w:history="1">
        <w:r>
          <w:rPr>
            <w:rFonts w:ascii="arial" w:eastAsia="arial" w:hAnsi="arial" w:cs="arial"/>
            <w:b w:val="0"/>
            <w:i/>
            <w:strike w:val="0"/>
            <w:noProof w:val="0"/>
            <w:color w:val="0077CC"/>
            <w:position w:val="0"/>
            <w:sz w:val="20"/>
            <w:u w:val="single"/>
            <w:vertAlign w:val="baseline"/>
          </w:rPr>
          <w:t>62 Tenn. L. Rev. 461, 463 &amp; n.9 (1995)</w:t>
        </w:r>
      </w:hyperlink>
      <w:r>
        <w:rPr>
          <w:rFonts w:ascii="arial" w:eastAsia="arial" w:hAnsi="arial" w:cs="arial"/>
          <w:b w:val="0"/>
          <w:i w:val="0"/>
          <w:strike w:val="0"/>
          <w:noProof w:val="0"/>
          <w:color w:val="000000"/>
          <w:position w:val="0"/>
          <w:sz w:val="20"/>
          <w:u w:val="none"/>
          <w:vertAlign w:val="baseline"/>
        </w:rPr>
        <w:t xml:space="preserve">. ("[T]here is sufficient consensus on many issues that one can properly speak of a 'Standard Model' in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theory, much as physicists and cosmologists speak of a 'Standard Model' in terms of the creation and evolution of the Universe."). It connotes the theory that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protects individuals' right to keep and carry weapons "to defend themselves from outlaws of all kinds" and "as a check on government tyranny and on the power of a standing army." </w:t>
      </w:r>
      <w:hyperlink r:id="rId81" w:history="1">
        <w:r>
          <w:rPr>
            <w:rFonts w:ascii="arial" w:eastAsia="arial" w:hAnsi="arial" w:cs="arial"/>
            <w:b w:val="0"/>
            <w:i/>
            <w:strike w:val="0"/>
            <w:noProof w:val="0"/>
            <w:color w:val="0077CC"/>
            <w:position w:val="0"/>
            <w:sz w:val="20"/>
            <w:u w:val="single"/>
            <w:vertAlign w:val="baseline"/>
          </w:rPr>
          <w:t>Id.</w:t>
        </w:r>
      </w:hyperlink>
      <w:hyperlink r:id="rId81" w:history="1">
        <w:r>
          <w:rPr>
            <w:rFonts w:ascii="arial" w:eastAsia="arial" w:hAnsi="arial" w:cs="arial"/>
            <w:b w:val="0"/>
            <w:i/>
            <w:strike w:val="0"/>
            <w:noProof w:val="0"/>
            <w:color w:val="0077CC"/>
            <w:position w:val="0"/>
            <w:sz w:val="20"/>
            <w:u w:val="single"/>
            <w:vertAlign w:val="baseline"/>
          </w:rPr>
          <w:t xml:space="preserve"> at 467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61" w:name="Bookmark_para_69"/>
      <w:bookmarkEnd w:id="361"/>
      <w:r>
        <w:rPr>
          <w:rFonts w:ascii="arial" w:eastAsia="arial" w:hAnsi="arial" w:cs="arial"/>
          <w:b w:val="0"/>
          <w:i w:val="0"/>
          <w:strike w:val="0"/>
          <w:noProof w:val="0"/>
          <w:color w:val="000000"/>
          <w:position w:val="0"/>
          <w:sz w:val="20"/>
          <w:u w:val="none"/>
          <w:vertAlign w:val="baseline"/>
        </w:rPr>
        <w:t xml:space="preserve">For many years before the suggestion the "standard model" applied, most legal experts understood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as preserving a communal or state right connected to the militia, not an individual right. </w:t>
      </w:r>
      <w:bookmarkStart w:id="362" w:name="Bookmark_I6B11G1828T42X0010000400"/>
      <w:bookmarkEnd w:id="362"/>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Charles (2019),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168-69; Eric M. Ruben &amp; Darrell A.H. Miller, </w:t>
      </w:r>
      <w:r>
        <w:rPr>
          <w:rFonts w:ascii="arial" w:eastAsia="arial" w:hAnsi="arial" w:cs="arial"/>
          <w:b w:val="0"/>
          <w:i/>
          <w:strike w:val="0"/>
          <w:noProof w:val="0"/>
          <w:color w:val="000000"/>
          <w:position w:val="0"/>
          <w:sz w:val="20"/>
          <w:u w:val="none"/>
          <w:vertAlign w:val="baseline"/>
        </w:rPr>
        <w:t>Preface: The Second Generation of Second Amendment Law &amp; Policy</w:t>
      </w:r>
      <w:r>
        <w:rPr>
          <w:rFonts w:ascii="arial" w:eastAsia="arial" w:hAnsi="arial" w:cs="arial"/>
          <w:b w:val="0"/>
          <w:i w:val="0"/>
          <w:strike w:val="0"/>
          <w:noProof w:val="0"/>
          <w:color w:val="000000"/>
          <w:position w:val="0"/>
          <w:sz w:val="20"/>
          <w:u w:val="none"/>
          <w:vertAlign w:val="baseline"/>
        </w:rPr>
        <w:t xml:space="preserve">, 80:2 Law &amp; Contemp. Problems 1, 1-3 (2017). </w:t>
      </w:r>
      <w:bookmarkStart w:id="363" w:name="Bookmark_I6B11G1928T4310020000400"/>
      <w:bookmarkEnd w:id="363"/>
      <w:r>
        <w:rPr>
          <w:rFonts w:ascii="arial" w:eastAsia="arial" w:hAnsi="arial" w:cs="arial"/>
          <w:b w:val="0"/>
          <w:i w:val="0"/>
          <w:strike w:val="0"/>
          <w:noProof w:val="0"/>
          <w:color w:val="000000"/>
          <w:position w:val="0"/>
          <w:sz w:val="20"/>
          <w:u w:val="none"/>
          <w:vertAlign w:val="baseline"/>
        </w:rPr>
        <w:t xml:space="preserve">After having no reason to develop a jurisprudence for more than 100 years, federal courts adopted this communal view after the Supreme Court upheld a conviction for possessing a sawed-off shotgun in </w:t>
      </w:r>
      <w:r>
        <w:rPr>
          <w:rFonts w:ascii="arial" w:eastAsia="arial" w:hAnsi="arial" w:cs="arial"/>
          <w:b w:val="0"/>
          <w:i/>
          <w:strike w:val="0"/>
          <w:noProof w:val="0"/>
          <w:color w:val="000000"/>
          <w:position w:val="0"/>
          <w:sz w:val="20"/>
          <w:u w:val="none"/>
          <w:vertAlign w:val="baseline"/>
        </w:rPr>
        <w:t>United States</w:t>
      </w:r>
      <w:r>
        <w:rPr>
          <w:rFonts w:ascii="arial" w:eastAsia="arial" w:hAnsi="arial" w:cs="arial"/>
          <w:b/>
          <w:i/>
          <w:strike w:val="0"/>
          <w:noProof w:val="0"/>
          <w:color w:val="000000"/>
          <w:position w:val="0"/>
          <w:sz w:val="20"/>
          <w:u w:val="none"/>
          <w:vertAlign w:val="baseline"/>
        </w:rPr>
        <w:t> [**53] </w:t>
      </w:r>
      <w:r>
        <w:rPr>
          <w:rFonts w:ascii="arial" w:eastAsia="arial" w:hAnsi="arial" w:cs="arial"/>
          <w:b w:val="0"/>
          <w:i/>
          <w:strike w:val="0"/>
          <w:noProof w:val="0"/>
          <w:color w:val="000000"/>
          <w:position w:val="0"/>
          <w:sz w:val="20"/>
          <w:u w:val="none"/>
          <w:vertAlign w:val="baseline"/>
        </w:rPr>
        <w:t xml:space="preserve"> v. Miller. See, e.g.</w:t>
      </w:r>
      <w:r>
        <w:rPr>
          <w:rFonts w:ascii="arial" w:eastAsia="arial" w:hAnsi="arial" w:cs="arial"/>
          <w:b w:val="0"/>
          <w:i w:val="0"/>
          <w:strike w:val="0"/>
          <w:noProof w:val="0"/>
          <w:color w:val="000000"/>
          <w:position w:val="0"/>
          <w:sz w:val="20"/>
          <w:u w:val="none"/>
          <w:vertAlign w:val="baseline"/>
        </w:rPr>
        <w:t xml:space="preserve">, Charles (2019) (citing </w:t>
      </w:r>
      <w:bookmarkStart w:id="364" w:name="Bookmark_I6B11G182N1RDS0050000400"/>
      <w:bookmarkEnd w:id="364"/>
      <w:hyperlink r:id="rId82" w:history="1">
        <w:r>
          <w:rPr>
            <w:rFonts w:ascii="arial" w:eastAsia="arial" w:hAnsi="arial" w:cs="arial"/>
            <w:b w:val="0"/>
            <w:i/>
            <w:strike w:val="0"/>
            <w:noProof w:val="0"/>
            <w:color w:val="0077CC"/>
            <w:position w:val="0"/>
            <w:sz w:val="20"/>
            <w:u w:val="single"/>
            <w:vertAlign w:val="baseline"/>
          </w:rPr>
          <w:t>307 U.S. 174, 59 S. Ct. 816, 83 L. Ed. 1206, 1939-1 C.B. 373 (1939)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e.g., </w:t>
      </w:r>
      <w:bookmarkStart w:id="365" w:name="Bookmark_I6B11G1828T42X0020000400"/>
      <w:bookmarkEnd w:id="365"/>
      <w:r>
        <w:rPr>
          <w:rFonts w:ascii="arial" w:eastAsia="arial" w:hAnsi="arial" w:cs="arial"/>
          <w:b w:val="0"/>
          <w:i/>
          <w:strike w:val="0"/>
          <w:noProof w:val="0"/>
          <w:color w:val="000000"/>
          <w:position w:val="0"/>
          <w:sz w:val="20"/>
          <w:u w:val="none"/>
          <w:vertAlign w:val="baseline"/>
        </w:rPr>
        <w:t>Hickman v. Block</w:t>
      </w:r>
      <w:r>
        <w:rPr>
          <w:rFonts w:ascii="arial" w:eastAsia="arial" w:hAnsi="arial" w:cs="arial"/>
          <w:b w:val="0"/>
          <w:i/>
          <w:strike w:val="0"/>
          <w:noProof w:val="0"/>
          <w:color w:val="000000"/>
          <w:position w:val="0"/>
          <w:sz w:val="20"/>
          <w:u w:val="none"/>
          <w:vertAlign w:val="baseline"/>
        </w:rPr>
        <w:t>, 81 F.3d 98, 100 (9th Cir. 1996)</w:t>
      </w:r>
      <w:r>
        <w:rPr>
          <w:rFonts w:ascii="arial" w:eastAsia="arial" w:hAnsi="arial" w:cs="arial"/>
          <w:b w:val="0"/>
          <w:i w:val="0"/>
          <w:strike w:val="0"/>
          <w:noProof w:val="0"/>
          <w:color w:val="000000"/>
          <w:position w:val="0"/>
          <w:sz w:val="20"/>
          <w:u w:val="none"/>
          <w:vertAlign w:val="baseline"/>
        </w:rPr>
        <w:t xml:space="preserve"> ("We follow our sister circuits in holding that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is a right held by the states, and does not protect the possession of a weapon by a private citizen."), </w:t>
      </w:r>
      <w:r>
        <w:rPr>
          <w:rFonts w:ascii="arial" w:eastAsia="arial" w:hAnsi="arial" w:cs="arial"/>
          <w:b w:val="0"/>
          <w:i/>
          <w:strike w:val="0"/>
          <w:noProof w:val="0"/>
          <w:color w:val="000000"/>
          <w:position w:val="0"/>
          <w:sz w:val="20"/>
          <w:u w:val="none"/>
          <w:vertAlign w:val="baseline"/>
        </w:rPr>
        <w:t xml:space="preserve">abrogated by </w:t>
      </w:r>
      <w:bookmarkStart w:id="366" w:name="Bookmark_I6B11G1828T42X0040000400"/>
      <w:bookmarkEnd w:id="366"/>
      <w:hyperlink r:id="rId22" w:history="1">
        <w:r>
          <w:rPr>
            <w:rFonts w:ascii="arial" w:eastAsia="arial" w:hAnsi="arial" w:cs="arial"/>
            <w:b w:val="0"/>
            <w:i/>
            <w:strike w:val="0"/>
            <w:noProof w:val="0"/>
            <w:color w:val="0077CC"/>
            <w:position w:val="0"/>
            <w:sz w:val="20"/>
            <w:u w:val="single"/>
            <w:vertAlign w:val="baseline"/>
          </w:rPr>
          <w:t>Heller</w:t>
        </w:r>
      </w:hyperlink>
      <w:hyperlink r:id="rId22" w:history="1">
        <w:r>
          <w:rPr>
            <w:rFonts w:ascii="arial" w:eastAsia="arial" w:hAnsi="arial" w:cs="arial"/>
            <w:b w:val="0"/>
            <w:i/>
            <w:strike w:val="0"/>
            <w:noProof w:val="0"/>
            <w:color w:val="0077CC"/>
            <w:position w:val="0"/>
            <w:sz w:val="20"/>
            <w:u w:val="single"/>
            <w:vertAlign w:val="baseline"/>
          </w:rPr>
          <w:t>, 554 U.S. 570</w:t>
        </w:r>
      </w:hyperlink>
      <w:r>
        <w:rPr>
          <w:rFonts w:ascii="arial" w:eastAsia="arial" w:hAnsi="arial" w:cs="arial"/>
          <w:b w:val="0"/>
          <w:i w:val="0"/>
          <w:strike w:val="0"/>
          <w:noProof w:val="0"/>
          <w:color w:val="000000"/>
          <w:position w:val="0"/>
          <w:sz w:val="20"/>
          <w:u w:val="none"/>
          <w:vertAlign w:val="baseline"/>
        </w:rPr>
        <w:t xml:space="preserve">. </w:t>
      </w:r>
      <w:bookmarkStart w:id="367" w:name="Bookmark_I6B11G1928T4310020000400_2"/>
      <w:bookmarkEnd w:id="367"/>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Miller</w:t>
      </w:r>
      <w:r>
        <w:rPr>
          <w:rFonts w:ascii="arial" w:eastAsia="arial" w:hAnsi="arial" w:cs="arial"/>
          <w:b w:val="0"/>
          <w:i w:val="0"/>
          <w:strike w:val="0"/>
          <w:noProof w:val="0"/>
          <w:color w:val="000000"/>
          <w:position w:val="0"/>
          <w:sz w:val="20"/>
          <w:u w:val="none"/>
          <w:vertAlign w:val="baseline"/>
        </w:rPr>
        <w:t xml:space="preserve">, the Court wrote,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was adopted with the "obvious purpose to assure the continuation and render possible the effectiveness" of militias. </w:t>
      </w:r>
      <w:bookmarkStart w:id="368" w:name="Bookmark_I6B11G1928T4310010000400"/>
      <w:bookmarkEnd w:id="368"/>
      <w:hyperlink r:id="rId82" w:history="1">
        <w:r>
          <w:rPr>
            <w:rFonts w:ascii="arial" w:eastAsia="arial" w:hAnsi="arial" w:cs="arial"/>
            <w:b w:val="0"/>
            <w:i/>
            <w:strike w:val="0"/>
            <w:noProof w:val="0"/>
            <w:color w:val="0077CC"/>
            <w:position w:val="0"/>
            <w:sz w:val="20"/>
            <w:u w:val="single"/>
            <w:vertAlign w:val="baseline"/>
          </w:rPr>
          <w:t>307 U.S. at 178</w:t>
        </w:r>
      </w:hyperlink>
      <w:r>
        <w:rPr>
          <w:rFonts w:ascii="arial" w:eastAsia="arial" w:hAnsi="arial" w:cs="arial"/>
          <w:b w:val="0"/>
          <w:i w:val="0"/>
          <w:strike w:val="0"/>
          <w:noProof w:val="0"/>
          <w:color w:val="000000"/>
          <w:position w:val="0"/>
          <w:sz w:val="20"/>
          <w:u w:val="none"/>
          <w:vertAlign w:val="baseline"/>
        </w:rPr>
        <w:t xml:space="preserve"> (citing </w:t>
      </w:r>
      <w:hyperlink r:id="rId83" w:history="1">
        <w:r>
          <w:rPr>
            <w:rFonts w:ascii="arial" w:eastAsia="arial" w:hAnsi="arial" w:cs="arial"/>
            <w:b w:val="0"/>
            <w:i/>
            <w:strike w:val="0"/>
            <w:noProof w:val="0"/>
            <w:color w:val="0077CC"/>
            <w:position w:val="0"/>
            <w:sz w:val="20"/>
            <w:u w:val="single"/>
            <w:vertAlign w:val="baseline"/>
          </w:rPr>
          <w:t>U.S. Const. Art. 1, § 8</w:t>
        </w:r>
      </w:hyperlink>
      <w:r>
        <w:rPr>
          <w:rFonts w:ascii="arial" w:eastAsia="arial" w:hAnsi="arial" w:cs="arial"/>
          <w:b w:val="0"/>
          <w:i w:val="0"/>
          <w:strike w:val="0"/>
          <w:noProof w:val="0"/>
          <w:color w:val="000000"/>
          <w:position w:val="0"/>
          <w:sz w:val="20"/>
          <w:u w:val="none"/>
          <w:vertAlign w:val="baseline"/>
        </w:rPr>
        <w:t xml:space="preserve">). The Court then interpreted and applied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"with that end in view."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69" w:name="Bookmark_para_70"/>
      <w:bookmarkEnd w:id="369"/>
      <w:r>
        <w:rPr>
          <w:rFonts w:ascii="arial" w:eastAsia="arial" w:hAnsi="arial" w:cs="arial"/>
          <w:b w:val="0"/>
          <w:i w:val="0"/>
          <w:strike w:val="0"/>
          <w:noProof w:val="0"/>
          <w:color w:val="000000"/>
          <w:position w:val="0"/>
          <w:sz w:val="20"/>
          <w:u w:val="none"/>
          <w:vertAlign w:val="baseline"/>
        </w:rPr>
        <w:t xml:space="preserve">After </w:t>
      </w:r>
      <w:r>
        <w:rPr>
          <w:rFonts w:ascii="arial" w:eastAsia="arial" w:hAnsi="arial" w:cs="arial"/>
          <w:b w:val="0"/>
          <w:i/>
          <w:strike w:val="0"/>
          <w:noProof w:val="0"/>
          <w:color w:val="000000"/>
          <w:position w:val="0"/>
          <w:sz w:val="20"/>
          <w:u w:val="none"/>
          <w:vertAlign w:val="baseline"/>
        </w:rPr>
        <w:t>Miller</w:t>
      </w:r>
      <w:r>
        <w:rPr>
          <w:rFonts w:ascii="arial" w:eastAsia="arial" w:hAnsi="arial" w:cs="arial"/>
          <w:b w:val="0"/>
          <w:i w:val="0"/>
          <w:strike w:val="0"/>
          <w:noProof w:val="0"/>
          <w:color w:val="000000"/>
          <w:position w:val="0"/>
          <w:sz w:val="20"/>
          <w:u w:val="none"/>
          <w:vertAlign w:val="baseline"/>
        </w:rPr>
        <w:t xml:space="preserve">, it was "a matter of ordinary professional reason that Congress had the power" to pass gun controls, even if they prevented individual people from keeping and carrying guns. Reva B. Siegel, </w:t>
      </w:r>
      <w:r>
        <w:rPr>
          <w:rFonts w:ascii="arial" w:eastAsia="arial" w:hAnsi="arial" w:cs="arial"/>
          <w:b w:val="0"/>
          <w:i/>
          <w:strike w:val="0"/>
          <w:noProof w:val="0"/>
          <w:color w:val="000000"/>
          <w:position w:val="0"/>
          <w:sz w:val="20"/>
          <w:u w:val="none"/>
          <w:vertAlign w:val="baseline"/>
        </w:rPr>
        <w:t>Dead or Alive: Originalism as Popular Constitutionalism in</w:t>
      </w:r>
      <w:r>
        <w:rPr>
          <w:rFonts w:ascii="arial" w:eastAsia="arial" w:hAnsi="arial" w:cs="arial"/>
          <w:b w:val="0"/>
          <w:i w:val="0"/>
          <w:strike w:val="0"/>
          <w:noProof w:val="0"/>
          <w:color w:val="000000"/>
          <w:position w:val="0"/>
          <w:sz w:val="20"/>
          <w:u w:val="none"/>
          <w:vertAlign w:val="baseline"/>
        </w:rPr>
        <w:t xml:space="preserve"> Heller, </w:t>
      </w:r>
      <w:hyperlink r:id="rId84" w:history="1">
        <w:r>
          <w:rPr>
            <w:rFonts w:ascii="arial" w:eastAsia="arial" w:hAnsi="arial" w:cs="arial"/>
            <w:b w:val="0"/>
            <w:i/>
            <w:strike w:val="0"/>
            <w:noProof w:val="0"/>
            <w:color w:val="0077CC"/>
            <w:position w:val="0"/>
            <w:sz w:val="20"/>
            <w:u w:val="single"/>
            <w:vertAlign w:val="baseline"/>
          </w:rPr>
          <w:t>122 Harvard L. Rev. 191, 204 (2008)</w:t>
        </w:r>
      </w:hyperlink>
      <w:r>
        <w:rPr>
          <w:rFonts w:ascii="arial" w:eastAsia="arial" w:hAnsi="arial" w:cs="arial"/>
          <w:b w:val="0"/>
          <w:i w:val="0"/>
          <w:strike w:val="0"/>
          <w:noProof w:val="0"/>
          <w:color w:val="000000"/>
          <w:position w:val="0"/>
          <w:sz w:val="20"/>
          <w:u w:val="none"/>
          <w:vertAlign w:val="baseline"/>
        </w:rPr>
        <w:t xml:space="preserve">. President Lyndon B. Johnson called for federal gun control legislation against that backdrop in the 1960s, and Congress appeared "ready to </w:t>
      </w:r>
      <w:r>
        <w:rPr>
          <w:rFonts w:ascii="arial" w:eastAsia="arial" w:hAnsi="arial" w:cs="arial"/>
          <w:b/>
          <w:i w:val="0"/>
          <w:strike w:val="0"/>
          <w:noProof w:val="0"/>
          <w:color w:val="000000"/>
          <w:position w:val="0"/>
          <w:sz w:val="20"/>
          <w:u w:val="none"/>
          <w:vertAlign w:val="baseline"/>
        </w:rPr>
        <w:t> [*1114] </w:t>
      </w:r>
      <w:r>
        <w:rPr>
          <w:rFonts w:ascii="arial" w:eastAsia="arial" w:hAnsi="arial" w:cs="arial"/>
          <w:b w:val="0"/>
          <w:i w:val="0"/>
          <w:strike w:val="0"/>
          <w:noProof w:val="0"/>
          <w:color w:val="000000"/>
          <w:position w:val="0"/>
          <w:sz w:val="20"/>
          <w:u w:val="none"/>
          <w:vertAlign w:val="baseline"/>
        </w:rPr>
        <w:t xml:space="preserve"> take action" in the wake of rising crime, struggles over the Vietnam War, and the assassinations of President John F. Kennedy, Martin Luther King Jr. and Senator Robert Kennedy, among others.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202-03.</w:t>
      </w:r>
    </w:p>
    <w:p>
      <w:pPr>
        <w:keepNext w:val="0"/>
        <w:spacing w:before="240" w:after="0" w:line="260" w:lineRule="atLeast"/>
        <w:ind w:left="0" w:right="0" w:firstLine="0"/>
        <w:jc w:val="both"/>
      </w:pPr>
      <w:bookmarkStart w:id="370" w:name="Bookmark_para_71"/>
      <w:bookmarkEnd w:id="370"/>
      <w:r>
        <w:rPr>
          <w:rFonts w:ascii="arial" w:eastAsia="arial" w:hAnsi="arial" w:cs="arial"/>
          <w:b w:val="0"/>
          <w:i w:val="0"/>
          <w:strike w:val="0"/>
          <w:noProof w:val="0"/>
          <w:color w:val="000000"/>
          <w:position w:val="0"/>
          <w:sz w:val="20"/>
          <w:u w:val="none"/>
          <w:vertAlign w:val="baseline"/>
        </w:rPr>
        <w:t xml:space="preserve">At the same time, however, resistance to regulation was growing. </w:t>
      </w:r>
      <w:hyperlink r:id="rId84" w:history="1">
        <w:r>
          <w:rPr>
            <w:rFonts w:ascii="arial" w:eastAsia="arial" w:hAnsi="arial" w:cs="arial"/>
            <w:b w:val="0"/>
            <w:i/>
            <w:strike w:val="0"/>
            <w:noProof w:val="0"/>
            <w:color w:val="0077CC"/>
            <w:position w:val="0"/>
            <w:sz w:val="20"/>
            <w:u w:val="single"/>
            <w:vertAlign w:val="baseline"/>
          </w:rPr>
          <w:t>Id.</w:t>
        </w:r>
      </w:hyperlink>
      <w:hyperlink r:id="rId84" w:history="1">
        <w:r>
          <w:rPr>
            <w:rFonts w:ascii="arial" w:eastAsia="arial" w:hAnsi="arial" w:cs="arial"/>
            <w:b w:val="0"/>
            <w:i/>
            <w:strike w:val="0"/>
            <w:noProof w:val="0"/>
            <w:color w:val="0077CC"/>
            <w:position w:val="0"/>
            <w:sz w:val="20"/>
            <w:u w:val="single"/>
            <w:vertAlign w:val="baseline"/>
          </w:rPr>
          <w:t xml:space="preserve"> at 207-08</w:t>
        </w:r>
      </w:hyperlink>
      <w:r>
        <w:rPr>
          <w:rFonts w:ascii="arial" w:eastAsia="arial" w:hAnsi="arial" w:cs="arial"/>
          <w:b w:val="0"/>
          <w:i w:val="0"/>
          <w:strike w:val="0"/>
          <w:noProof w:val="0"/>
          <w:color w:val="000000"/>
          <w:position w:val="0"/>
          <w:sz w:val="20"/>
          <w:u w:val="none"/>
          <w:vertAlign w:val="baseline"/>
        </w:rPr>
        <w:t xml:space="preserve">; Charles (2019),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170-73; Tucker (2019),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at 3. In 1965, for example, an attorney published</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an essay relying on eighteenth-century history to claim individual people had rights protected by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Charles (2019),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172-73 (citing Robert A. Sprecher, </w:t>
      </w:r>
      <w:r>
        <w:rPr>
          <w:rFonts w:ascii="arial" w:eastAsia="arial" w:hAnsi="arial" w:cs="arial"/>
          <w:b w:val="0"/>
          <w:i/>
          <w:strike w:val="0"/>
          <w:noProof w:val="0"/>
          <w:color w:val="000000"/>
          <w:position w:val="0"/>
          <w:sz w:val="20"/>
          <w:u w:val="none"/>
          <w:vertAlign w:val="baseline"/>
        </w:rPr>
        <w:t>The Lost Amendment</w:t>
      </w:r>
      <w:r>
        <w:rPr>
          <w:rFonts w:ascii="arial" w:eastAsia="arial" w:hAnsi="arial" w:cs="arial"/>
          <w:b w:val="0"/>
          <w:i w:val="0"/>
          <w:strike w:val="0"/>
          <w:noProof w:val="0"/>
          <w:color w:val="000000"/>
          <w:position w:val="0"/>
          <w:sz w:val="20"/>
          <w:u w:val="none"/>
          <w:vertAlign w:val="baseline"/>
        </w:rPr>
        <w:t xml:space="preserve">, 51 Am. Bar. Ass'n J. 554 (1965)). In a 1975 magazine article, Ronald Reagan, then Governor of California, also claimed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protected an individual right. </w:t>
      </w:r>
      <w:hyperlink r:id="rId84" w:history="1">
        <w:r>
          <w:rPr>
            <w:rFonts w:ascii="arial" w:eastAsia="arial" w:hAnsi="arial" w:cs="arial"/>
            <w:b w:val="0"/>
            <w:i/>
            <w:strike w:val="0"/>
            <w:noProof w:val="0"/>
            <w:color w:val="0077CC"/>
            <w:position w:val="0"/>
            <w:sz w:val="20"/>
            <w:u w:val="single"/>
            <w:vertAlign w:val="baseline"/>
          </w:rPr>
          <w:t xml:space="preserve">Siegel (2008), </w:t>
        </w:r>
      </w:hyperlink>
      <w:hyperlink r:id="rId84" w:history="1">
        <w:r>
          <w:rPr>
            <w:rFonts w:ascii="arial" w:eastAsia="arial" w:hAnsi="arial" w:cs="arial"/>
            <w:b w:val="0"/>
            <w:i/>
            <w:strike w:val="0"/>
            <w:noProof w:val="0"/>
            <w:color w:val="0077CC"/>
            <w:position w:val="0"/>
            <w:sz w:val="20"/>
            <w:u w:val="single"/>
            <w:vertAlign w:val="baseline"/>
          </w:rPr>
          <w:t>supra</w:t>
        </w:r>
      </w:hyperlink>
      <w:hyperlink r:id="rId84" w:history="1">
        <w:r>
          <w:rPr>
            <w:rFonts w:ascii="arial" w:eastAsia="arial" w:hAnsi="arial" w:cs="arial"/>
            <w:b w:val="0"/>
            <w:i/>
            <w:strike w:val="0"/>
            <w:noProof w:val="0"/>
            <w:color w:val="0077CC"/>
            <w:position w:val="0"/>
            <w:sz w:val="20"/>
            <w:u w:val="single"/>
            <w:vertAlign w:val="baseline"/>
          </w:rPr>
          <w:t>, at 210</w:t>
        </w:r>
      </w:hyperlink>
      <w:r>
        <w:rPr>
          <w:rFonts w:ascii="arial" w:eastAsia="arial" w:hAnsi="arial" w:cs="arial"/>
          <w:b w:val="0"/>
          <w:i w:val="0"/>
          <w:strike w:val="0"/>
          <w:noProof w:val="0"/>
          <w:color w:val="000000"/>
          <w:position w:val="0"/>
          <w:sz w:val="20"/>
          <w:u w:val="none"/>
          <w:vertAlign w:val="baseline"/>
        </w:rPr>
        <w:t xml:space="preserve"> (quoting Ronald Reagan, "Ronald Reagan Champions Gun Ownership," Guns &amp; Ammo Sept. 1975, at 34). The same year, the head of the National Rifle Association's Institute for Legislative Action expressed similar views in testimony before Congress. </w:t>
      </w:r>
      <w:hyperlink r:id="rId84" w:history="1">
        <w:r>
          <w:rPr>
            <w:rFonts w:ascii="arial" w:eastAsia="arial" w:hAnsi="arial" w:cs="arial"/>
            <w:b w:val="0"/>
            <w:i/>
            <w:strike w:val="0"/>
            <w:noProof w:val="0"/>
            <w:color w:val="0077CC"/>
            <w:position w:val="0"/>
            <w:sz w:val="20"/>
            <w:u w:val="single"/>
            <w:vertAlign w:val="baseline"/>
          </w:rPr>
          <w:t>Id.</w:t>
        </w:r>
      </w:hyperlink>
      <w:hyperlink r:id="rId84" w:history="1">
        <w:r>
          <w:rPr>
            <w:rFonts w:ascii="arial" w:eastAsia="arial" w:hAnsi="arial" w:cs="arial"/>
            <w:b w:val="0"/>
            <w:i/>
            <w:strike w:val="0"/>
            <w:noProof w:val="0"/>
            <w:color w:val="0077CC"/>
            <w:position w:val="0"/>
            <w:sz w:val="20"/>
            <w:u w:val="single"/>
            <w:vertAlign w:val="baseline"/>
          </w:rPr>
          <w:t xml:space="preserve"> at 208-09</w:t>
        </w:r>
      </w:hyperlink>
      <w:r>
        <w:rPr>
          <w:rFonts w:ascii="arial" w:eastAsia="arial" w:hAnsi="arial" w:cs="arial"/>
          <w:b w:val="0"/>
          <w:i w:val="0"/>
          <w:strike w:val="0"/>
          <w:noProof w:val="0"/>
          <w:color w:val="000000"/>
          <w:position w:val="0"/>
          <w:sz w:val="20"/>
          <w:u w:val="none"/>
          <w:vertAlign w:val="baseline"/>
        </w:rPr>
        <w:t xml:space="preserve"> (citing Firearms Legislation: Hearing Before the Subcomm. on Crime of the H. Comm. on the Judiciary, 94th Cong. 2845-47 (1975) (statement of Harlon Carter)).</w:t>
      </w:r>
    </w:p>
    <w:p>
      <w:pPr>
        <w:keepNext w:val="0"/>
        <w:spacing w:before="240" w:after="0" w:line="260" w:lineRule="atLeast"/>
        <w:ind w:left="0" w:right="0" w:firstLine="0"/>
        <w:jc w:val="both"/>
      </w:pPr>
      <w:bookmarkStart w:id="371" w:name="Bookmark_para_72"/>
      <w:bookmarkEnd w:id="371"/>
      <w:r>
        <w:rPr>
          <w:rFonts w:ascii="arial" w:eastAsia="arial" w:hAnsi="arial" w:cs="arial"/>
          <w:b w:val="0"/>
          <w:i w:val="0"/>
          <w:strike w:val="0"/>
          <w:noProof w:val="0"/>
          <w:color w:val="000000"/>
          <w:position w:val="0"/>
          <w:sz w:val="20"/>
          <w:u w:val="none"/>
          <w:vertAlign w:val="baseline"/>
        </w:rPr>
        <w:t xml:space="preserve">Scholarly debates about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did not begin in earnest until the 1980s and 1990s.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Tucker (2019),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3. </w:t>
      </w:r>
      <w:bookmarkStart w:id="372" w:name="Bookmark_I6B11G1928T4310040000400"/>
      <w:bookmarkEnd w:id="372"/>
      <w:bookmarkStart w:id="373" w:name="Bookmark_I6B11G192HM6B70010000400"/>
      <w:bookmarkEnd w:id="373"/>
      <w:r>
        <w:rPr>
          <w:rFonts w:ascii="arial" w:eastAsia="arial" w:hAnsi="arial" w:cs="arial"/>
          <w:b w:val="0"/>
          <w:i w:val="0"/>
          <w:strike w:val="0"/>
          <w:noProof w:val="0"/>
          <w:color w:val="000000"/>
          <w:position w:val="0"/>
          <w:sz w:val="20"/>
          <w:u w:val="none"/>
          <w:vertAlign w:val="baseline"/>
        </w:rPr>
        <w:t xml:space="preserve">In those years, many legal scholars, along with some historians, published articles contending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protects an individual right. Ruben &amp; Miller (2017),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3;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Spitzer (2000),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strike w:val="0"/>
          <w:noProof w:val="0"/>
          <w:color w:val="000000"/>
          <w:position w:val="0"/>
          <w:sz w:val="20"/>
          <w:u w:val="none"/>
          <w:vertAlign w:val="baseline"/>
        </w:rPr>
        <w:t>, at 376-77</w:t>
      </w:r>
      <w:r>
        <w:rPr>
          <w:rFonts w:ascii="arial" w:eastAsia="arial" w:hAnsi="arial" w:cs="arial"/>
          <w:b w:val="0"/>
          <w:i w:val="0"/>
          <w:strike w:val="0"/>
          <w:noProof w:val="0"/>
          <w:color w:val="000000"/>
          <w:position w:val="0"/>
          <w:sz w:val="20"/>
          <w:u w:val="none"/>
          <w:vertAlign w:val="baseline"/>
        </w:rPr>
        <w:t>. These articles often relied on interpretations of historical English and colonial sources, such as the Statute of Northampton,</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the English Declaration of Rights,</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and similar colonial statutes, in addition to the </w:t>
      </w:r>
      <w:hyperlink r:id="rId10" w:history="1">
        <w:r>
          <w:rPr>
            <w:rFonts w:ascii="arial" w:eastAsia="arial" w:hAnsi="arial" w:cs="arial"/>
            <w:b w:val="0"/>
            <w:i/>
            <w:strike w:val="0"/>
            <w:noProof w:val="0"/>
            <w:color w:val="0077CC"/>
            <w:position w:val="0"/>
            <w:sz w:val="20"/>
            <w:u w:val="single"/>
            <w:vertAlign w:val="baseline"/>
          </w:rPr>
          <w:t>Second Amendment's</w:t>
        </w:r>
      </w:hyperlink>
      <w:r>
        <w:rPr>
          <w:rFonts w:ascii="arial" w:eastAsia="arial" w:hAnsi="arial" w:cs="arial"/>
          <w:b w:val="0"/>
          <w:i w:val="0"/>
          <w:strike w:val="0"/>
          <w:noProof w:val="0"/>
          <w:color w:val="000000"/>
          <w:position w:val="0"/>
          <w:sz w:val="20"/>
          <w:u w:val="none"/>
          <w:vertAlign w:val="baseline"/>
        </w:rPr>
        <w:t xml:space="preserve"> text and context. </w:t>
      </w:r>
      <w:r>
        <w:rPr>
          <w:rFonts w:ascii="arial" w:eastAsia="arial" w:hAnsi="arial" w:cs="arial"/>
          <w:b w:val="0"/>
          <w:i/>
          <w:strike w:val="0"/>
          <w:noProof w:val="0"/>
          <w:color w:val="000000"/>
          <w:position w:val="0"/>
          <w:sz w:val="20"/>
          <w:u w:val="none"/>
          <w:vertAlign w:val="baseline"/>
        </w:rPr>
        <w:t>See generally, e.g.</w:t>
      </w:r>
      <w:r>
        <w:rPr>
          <w:rFonts w:ascii="arial" w:eastAsia="arial" w:hAnsi="arial" w:cs="arial"/>
          <w:b w:val="0"/>
          <w:i w:val="0"/>
          <w:strike w:val="0"/>
          <w:noProof w:val="0"/>
          <w:color w:val="000000"/>
          <w:position w:val="0"/>
          <w:sz w:val="20"/>
          <w:u w:val="none"/>
          <w:vertAlign w:val="baseline"/>
        </w:rPr>
        <w:t xml:space="preserve">, </w:t>
      </w:r>
      <w:hyperlink r:id="rId85" w:history="1">
        <w:r>
          <w:rPr>
            <w:rFonts w:ascii="arial" w:eastAsia="arial" w:hAnsi="arial" w:cs="arial"/>
            <w:b w:val="0"/>
            <w:i/>
            <w:strike w:val="0"/>
            <w:noProof w:val="0"/>
            <w:color w:val="0077CC"/>
            <w:position w:val="0"/>
            <w:sz w:val="20"/>
            <w:u w:val="single"/>
            <w:vertAlign w:val="baseline"/>
          </w:rPr>
          <w:t xml:space="preserve">Don B. Kates, Jr., </w:t>
        </w:r>
      </w:hyperlink>
      <w:hyperlink r:id="rId85" w:history="1">
        <w:r>
          <w:rPr>
            <w:rFonts w:ascii="arial" w:eastAsia="arial" w:hAnsi="arial" w:cs="arial"/>
            <w:b w:val="0"/>
            <w:i/>
            <w:strike w:val="0"/>
            <w:noProof w:val="0"/>
            <w:color w:val="0077CC"/>
            <w:position w:val="0"/>
            <w:sz w:val="20"/>
            <w:u w:val="single"/>
            <w:vertAlign w:val="baseline"/>
          </w:rPr>
          <w:t>Handgun Prohibition and the Original Meaning of the Second Amendment</w:t>
        </w:r>
      </w:hyperlink>
      <w:hyperlink r:id="rId85" w:history="1">
        <w:r>
          <w:rPr>
            <w:rFonts w:ascii="arial" w:eastAsia="arial" w:hAnsi="arial" w:cs="arial"/>
            <w:b w:val="0"/>
            <w:i/>
            <w:strike w:val="0"/>
            <w:noProof w:val="0"/>
            <w:color w:val="0077CC"/>
            <w:position w:val="0"/>
            <w:sz w:val="20"/>
            <w:u w:val="single"/>
            <w:vertAlign w:val="baseline"/>
          </w:rPr>
          <w:t>, 82 Mich. L. Rev. 204 (1983)</w:t>
        </w:r>
      </w:hyperlink>
      <w:r>
        <w:rPr>
          <w:rFonts w:ascii="arial" w:eastAsia="arial" w:hAnsi="arial" w:cs="arial"/>
          <w:b w:val="0"/>
          <w:i w:val="0"/>
          <w:strike w:val="0"/>
          <w:noProof w:val="0"/>
          <w:color w:val="000000"/>
          <w:position w:val="0"/>
          <w:sz w:val="20"/>
          <w:u w:val="none"/>
          <w:vertAlign w:val="baseline"/>
        </w:rPr>
        <w:t xml:space="preserve">; Joyce Lee Malcolm, </w:t>
      </w:r>
      <w:r>
        <w:rPr>
          <w:rFonts w:ascii="arial" w:eastAsia="arial" w:hAnsi="arial" w:cs="arial"/>
          <w:b w:val="0"/>
          <w:i/>
          <w:strike w:val="0"/>
          <w:noProof w:val="0"/>
          <w:color w:val="000000"/>
          <w:position w:val="0"/>
          <w:sz w:val="20"/>
          <w:u w:val="none"/>
          <w:vertAlign w:val="baseline"/>
        </w:rPr>
        <w:t>The Right of the People to Keep and Bear Arms: The Common Law Tradition</w:t>
      </w:r>
      <w:r>
        <w:rPr>
          <w:rFonts w:ascii="arial" w:eastAsia="arial" w:hAnsi="arial" w:cs="arial"/>
          <w:b w:val="0"/>
          <w:i w:val="0"/>
          <w:strike w:val="0"/>
          <w:noProof w:val="0"/>
          <w:color w:val="000000"/>
          <w:position w:val="0"/>
          <w:sz w:val="20"/>
          <w:u w:val="none"/>
          <w:vertAlign w:val="baseline"/>
        </w:rPr>
        <w:t xml:space="preserve">, 10 Hastings Const. L.Q. 285 (1983); David I. Caplan, </w:t>
      </w:r>
      <w:r>
        <w:rPr>
          <w:rFonts w:ascii="arial" w:eastAsia="arial" w:hAnsi="arial" w:cs="arial"/>
          <w:b w:val="0"/>
          <w:i/>
          <w:strike w:val="0"/>
          <w:noProof w:val="0"/>
          <w:color w:val="000000"/>
          <w:position w:val="0"/>
          <w:sz w:val="20"/>
          <w:u w:val="none"/>
          <w:vertAlign w:val="baseline"/>
        </w:rPr>
        <w:t>Restoring the Balance: The Second Amendment Revisited</w:t>
      </w:r>
      <w:r>
        <w:rPr>
          <w:rFonts w:ascii="arial" w:eastAsia="arial" w:hAnsi="arial" w:cs="arial"/>
          <w:b w:val="0"/>
          <w:i w:val="0"/>
          <w:strike w:val="0"/>
          <w:noProof w:val="0"/>
          <w:color w:val="000000"/>
          <w:position w:val="0"/>
          <w:sz w:val="20"/>
          <w:u w:val="none"/>
          <w:vertAlign w:val="baseline"/>
        </w:rPr>
        <w:t>, 5 Fordham Urb. L.J. 31 (1976). A 1989 article in the Yale Law Journal by Professor Sanford Levinson</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raised the profile of the individual rights position.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Sanford Levinson, </w:t>
      </w:r>
      <w:r>
        <w:rPr>
          <w:rFonts w:ascii="arial" w:eastAsia="arial" w:hAnsi="arial" w:cs="arial"/>
          <w:b w:val="0"/>
          <w:i/>
          <w:strike w:val="0"/>
          <w:noProof w:val="0"/>
          <w:color w:val="000000"/>
          <w:position w:val="0"/>
          <w:sz w:val="20"/>
          <w:u w:val="none"/>
          <w:vertAlign w:val="baseline"/>
        </w:rPr>
        <w:t>The Embarrassing Second Amendment</w:t>
      </w:r>
      <w:r>
        <w:rPr>
          <w:rFonts w:ascii="arial" w:eastAsia="arial" w:hAnsi="arial" w:cs="arial"/>
          <w:b w:val="0"/>
          <w:i w:val="0"/>
          <w:strike w:val="0"/>
          <w:noProof w:val="0"/>
          <w:color w:val="000000"/>
          <w:position w:val="0"/>
          <w:sz w:val="20"/>
          <w:u w:val="none"/>
          <w:vertAlign w:val="baseline"/>
        </w:rPr>
        <w:t xml:space="preserve">, 99 Yale L.J. 638, 658 (1989) ("It is time for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to enter full scale into the consciousness of the legal academy."); </w:t>
      </w:r>
      <w:r>
        <w:rPr>
          <w:rFonts w:ascii="arial" w:eastAsia="arial" w:hAnsi="arial" w:cs="arial"/>
          <w:b w:val="0"/>
          <w:i/>
          <w:strike w:val="0"/>
          <w:noProof w:val="0"/>
          <w:color w:val="000000"/>
          <w:position w:val="0"/>
          <w:sz w:val="20"/>
          <w:u w:val="none"/>
          <w:vertAlign w:val="baseline"/>
        </w:rPr>
        <w:t>see also, e.g.</w:t>
      </w:r>
      <w:r>
        <w:rPr>
          <w:rFonts w:ascii="arial" w:eastAsia="arial" w:hAnsi="arial" w:cs="arial"/>
          <w:b w:val="0"/>
          <w:i w:val="0"/>
          <w:strike w:val="0"/>
          <w:noProof w:val="0"/>
          <w:color w:val="000000"/>
          <w:position w:val="0"/>
          <w:sz w:val="20"/>
          <w:u w:val="none"/>
          <w:vertAlign w:val="baseline"/>
        </w:rPr>
        <w:t xml:space="preserve">, </w:t>
      </w:r>
      <w:hyperlink r:id="rId86" w:history="1">
        <w:r>
          <w:rPr>
            <w:rFonts w:ascii="arial" w:eastAsia="arial" w:hAnsi="arial" w:cs="arial"/>
            <w:b w:val="0"/>
            <w:i/>
            <w:strike w:val="0"/>
            <w:noProof w:val="0"/>
            <w:color w:val="0077CC"/>
            <w:position w:val="0"/>
            <w:sz w:val="20"/>
            <w:u w:val="single"/>
            <w:vertAlign w:val="baseline"/>
          </w:rPr>
          <w:t xml:space="preserve">Rakove (2000), </w:t>
        </w:r>
      </w:hyperlink>
      <w:hyperlink r:id="rId86" w:history="1">
        <w:r>
          <w:rPr>
            <w:rFonts w:ascii="arial" w:eastAsia="arial" w:hAnsi="arial" w:cs="arial"/>
            <w:b w:val="0"/>
            <w:i/>
            <w:strike w:val="0"/>
            <w:noProof w:val="0"/>
            <w:color w:val="0077CC"/>
            <w:position w:val="0"/>
            <w:sz w:val="20"/>
            <w:u w:val="single"/>
            <w:vertAlign w:val="baseline"/>
          </w:rPr>
          <w:t>supra</w:t>
        </w:r>
      </w:hyperlink>
      <w:hyperlink r:id="rId86" w:history="1">
        <w:r>
          <w:rPr>
            <w:rFonts w:ascii="arial" w:eastAsia="arial" w:hAnsi="arial" w:cs="arial"/>
            <w:b w:val="0"/>
            <w:i/>
            <w:strike w:val="0"/>
            <w:noProof w:val="0"/>
            <w:color w:val="0077CC"/>
            <w:position w:val="0"/>
            <w:sz w:val="20"/>
            <w:u w:val="single"/>
            <w:vertAlign w:val="baseline"/>
          </w:rPr>
          <w:t>, at 103-04 &amp; n.3</w:t>
        </w:r>
      </w:hyperlink>
      <w:r>
        <w:rPr>
          <w:rFonts w:ascii="arial" w:eastAsia="arial" w:hAnsi="arial" w:cs="arial"/>
          <w:b w:val="0"/>
          <w:i w:val="0"/>
          <w:strike w:val="0"/>
          <w:noProof w:val="0"/>
          <w:color w:val="000000"/>
          <w:position w:val="0"/>
          <w:sz w:val="20"/>
          <w:u w:val="none"/>
          <w:vertAlign w:val="baseline"/>
        </w:rPr>
        <w:t xml:space="preserve"> (citing Levinson's article). The increasing body of scholarship is what led Professor Reynolds to declare in his 1995 law review article that the individual-rights theory had become the "standard."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81" w:history="1">
        <w:r>
          <w:rPr>
            <w:rFonts w:ascii="arial" w:eastAsia="arial" w:hAnsi="arial" w:cs="arial"/>
            <w:b w:val="0"/>
            <w:i/>
            <w:strike w:val="0"/>
            <w:noProof w:val="0"/>
            <w:color w:val="0077CC"/>
            <w:position w:val="0"/>
            <w:sz w:val="20"/>
            <w:u w:val="single"/>
            <w:vertAlign w:val="baseline"/>
          </w:rPr>
          <w:t xml:space="preserve">Reynolds (1995), </w:t>
        </w:r>
      </w:hyperlink>
      <w:hyperlink r:id="rId81" w:history="1">
        <w:r>
          <w:rPr>
            <w:rFonts w:ascii="arial" w:eastAsia="arial" w:hAnsi="arial" w:cs="arial"/>
            <w:b w:val="0"/>
            <w:i/>
            <w:strike w:val="0"/>
            <w:noProof w:val="0"/>
            <w:color w:val="0077CC"/>
            <w:position w:val="0"/>
            <w:sz w:val="20"/>
            <w:u w:val="single"/>
            <w:vertAlign w:val="baseline"/>
          </w:rPr>
          <w:t>supra</w:t>
        </w:r>
      </w:hyperlink>
      <w:hyperlink r:id="rId81" w:history="1">
        <w:r>
          <w:rPr>
            <w:rFonts w:ascii="arial" w:eastAsia="arial" w:hAnsi="arial" w:cs="arial"/>
            <w:b w:val="0"/>
            <w:i/>
            <w:strike w:val="0"/>
            <w:noProof w:val="0"/>
            <w:color w:val="0077CC"/>
            <w:position w:val="0"/>
            <w:sz w:val="20"/>
            <w:u w:val="single"/>
            <w:vertAlign w:val="baseline"/>
          </w:rPr>
          <w:t>, at 463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78" w:name="Bookmark_para_73"/>
      <w:bookmarkEnd w:id="378"/>
      <w:r>
        <w:rPr>
          <w:rFonts w:ascii="arial" w:eastAsia="arial" w:hAnsi="arial" w:cs="arial"/>
          <w:b w:val="0"/>
          <w:i w:val="0"/>
          <w:strike w:val="0"/>
          <w:noProof w:val="0"/>
          <w:color w:val="000000"/>
          <w:position w:val="0"/>
          <w:sz w:val="20"/>
          <w:u w:val="none"/>
          <w:vertAlign w:val="baseline"/>
        </w:rPr>
        <w:t xml:space="preserve">Such pronouncements hardly resolved the matter. In the year 2000, the Chicago-Kent Law School sponsored a conference, which made clear there was no consensus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protected an individualist right, as apparent in an article by Lois Schwoerer, for example.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Tucker (2019),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4, 5, 8; Lois G. Schwoerer, </w:t>
      </w:r>
      <w:r>
        <w:rPr>
          <w:rFonts w:ascii="arial" w:eastAsia="arial" w:hAnsi="arial" w:cs="arial"/>
          <w:b w:val="0"/>
          <w:i/>
          <w:strike w:val="0"/>
          <w:noProof w:val="0"/>
          <w:color w:val="000000"/>
          <w:position w:val="0"/>
          <w:sz w:val="20"/>
          <w:u w:val="none"/>
          <w:vertAlign w:val="baseline"/>
        </w:rPr>
        <w:t xml:space="preserve">To Hold and Bear Arms: The English </w:t>
      </w:r>
      <w:r>
        <w:rPr>
          <w:rFonts w:ascii="arial" w:eastAsia="arial" w:hAnsi="arial" w:cs="arial"/>
          <w:b/>
          <w:i/>
          <w:strike w:val="0"/>
          <w:noProof w:val="0"/>
          <w:color w:val="000000"/>
          <w:position w:val="0"/>
          <w:sz w:val="20"/>
          <w:u w:val="none"/>
          <w:vertAlign w:val="baseline"/>
        </w:rPr>
        <w:t> [*1115] </w:t>
      </w:r>
      <w:r>
        <w:rPr>
          <w:rFonts w:ascii="arial" w:eastAsia="arial" w:hAnsi="arial" w:cs="arial"/>
          <w:b w:val="0"/>
          <w:i/>
          <w:strike w:val="0"/>
          <w:noProof w:val="0"/>
          <w:color w:val="000000"/>
          <w:position w:val="0"/>
          <w:sz w:val="20"/>
          <w:u w:val="none"/>
          <w:vertAlign w:val="baseline"/>
        </w:rPr>
        <w:t xml:space="preserve"> Perspective</w:t>
      </w:r>
      <w:r>
        <w:rPr>
          <w:rFonts w:ascii="arial" w:eastAsia="arial" w:hAnsi="arial" w:cs="arial"/>
          <w:b w:val="0"/>
          <w:i w:val="0"/>
          <w:strike w:val="0"/>
          <w:noProof w:val="0"/>
          <w:color w:val="000000"/>
          <w:position w:val="0"/>
          <w:sz w:val="20"/>
          <w:u w:val="none"/>
          <w:vertAlign w:val="baseline"/>
        </w:rPr>
        <w:t xml:space="preserve">, </w:t>
      </w:r>
      <w:hyperlink r:id="rId87" w:history="1">
        <w:r>
          <w:rPr>
            <w:rFonts w:ascii="arial" w:eastAsia="arial" w:hAnsi="arial" w:cs="arial"/>
            <w:b w:val="0"/>
            <w:i/>
            <w:strike w:val="0"/>
            <w:noProof w:val="0"/>
            <w:color w:val="0077CC"/>
            <w:position w:val="0"/>
            <w:sz w:val="20"/>
            <w:u w:val="single"/>
            <w:vertAlign w:val="baseline"/>
          </w:rPr>
          <w:t>76 Chi.-Kent L. Rev. 27 (2000)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 e.g.</w:t>
      </w:r>
      <w:r>
        <w:rPr>
          <w:rFonts w:ascii="arial" w:eastAsia="arial" w:hAnsi="arial" w:cs="arial"/>
          <w:b w:val="0"/>
          <w:i w:val="0"/>
          <w:strike w:val="0"/>
          <w:noProof w:val="0"/>
          <w:color w:val="000000"/>
          <w:position w:val="0"/>
          <w:sz w:val="20"/>
          <w:u w:val="none"/>
          <w:vertAlign w:val="baseline"/>
        </w:rPr>
        <w:t xml:space="preserve">, </w:t>
      </w:r>
      <w:hyperlink r:id="rId88" w:history="1">
        <w:r>
          <w:rPr>
            <w:rFonts w:ascii="arial" w:eastAsia="arial" w:hAnsi="arial" w:cs="arial"/>
            <w:b w:val="0"/>
            <w:i/>
            <w:strike w:val="0"/>
            <w:noProof w:val="0"/>
            <w:color w:val="0077CC"/>
            <w:position w:val="0"/>
            <w:sz w:val="20"/>
            <w:u w:val="single"/>
            <w:vertAlign w:val="baseline"/>
          </w:rPr>
          <w:t xml:space="preserve">Carl T. Bogus, </w:t>
        </w:r>
      </w:hyperlink>
      <w:hyperlink r:id="rId88" w:history="1">
        <w:r>
          <w:rPr>
            <w:rFonts w:ascii="arial" w:eastAsia="arial" w:hAnsi="arial" w:cs="arial"/>
            <w:b w:val="0"/>
            <w:i/>
            <w:strike w:val="0"/>
            <w:noProof w:val="0"/>
            <w:color w:val="0077CC"/>
            <w:position w:val="0"/>
            <w:sz w:val="20"/>
            <w:u w:val="single"/>
            <w:vertAlign w:val="baseline"/>
          </w:rPr>
          <w:t>The History and Politics of Second Amendment Scholarship: A Primer</w:t>
        </w:r>
      </w:hyperlink>
      <w:hyperlink r:id="rId88" w:history="1">
        <w:r>
          <w:rPr>
            <w:rFonts w:ascii="arial" w:eastAsia="arial" w:hAnsi="arial" w:cs="arial"/>
            <w:b w:val="0"/>
            <w:i/>
            <w:strike w:val="0"/>
            <w:noProof w:val="0"/>
            <w:color w:val="0077CC"/>
            <w:position w:val="0"/>
            <w:sz w:val="20"/>
            <w:u w:val="single"/>
            <w:vertAlign w:val="baseline"/>
          </w:rPr>
          <w:t>, 76 Chi.-Kent L. Rev. 3 (2000)</w:t>
        </w:r>
      </w:hyperlink>
      <w:r>
        <w:rPr>
          <w:rFonts w:ascii="arial" w:eastAsia="arial" w:hAnsi="arial" w:cs="arial"/>
          <w:b w:val="0"/>
          <w:i w:val="0"/>
          <w:strike w:val="0"/>
          <w:noProof w:val="0"/>
          <w:color w:val="000000"/>
          <w:position w:val="0"/>
          <w:sz w:val="20"/>
          <w:u w:val="none"/>
          <w:vertAlign w:val="baseline"/>
        </w:rPr>
        <w:t xml:space="preserve"> (discussing symposium and its origins). Like Schwoerer, Spitzer posited the "standard model" was supported by substandard historical research, which had, in his view, proliferated unchecked in law journals thanks to a lack of expert fact-checking and peer-review, an incentive to publish novel ideas rather than correct ideas, partisan political pressures and debates about proposed gun controls. </w:t>
      </w:r>
      <w:r>
        <w:rPr>
          <w:rFonts w:ascii="arial" w:eastAsia="arial" w:hAnsi="arial" w:cs="arial"/>
          <w:b w:val="0"/>
          <w:i/>
          <w:strike w:val="0"/>
          <w:noProof w:val="0"/>
          <w:color w:val="000000"/>
          <w:position w:val="0"/>
          <w:sz w:val="20"/>
          <w:u w:val="none"/>
          <w:vertAlign w:val="baseline"/>
        </w:rPr>
        <w:t>See generally, e.g.</w:t>
      </w:r>
      <w:r>
        <w:rPr>
          <w:rFonts w:ascii="arial" w:eastAsia="arial" w:hAnsi="arial" w:cs="arial"/>
          <w:b w:val="0"/>
          <w:i w:val="0"/>
          <w:strike w:val="0"/>
          <w:noProof w:val="0"/>
          <w:color w:val="000000"/>
          <w:position w:val="0"/>
          <w:sz w:val="20"/>
          <w:u w:val="none"/>
          <w:vertAlign w:val="baseline"/>
        </w:rPr>
        <w:t xml:space="preserve">, </w:t>
      </w:r>
      <w:hyperlink r:id="rId86" w:history="1">
        <w:r>
          <w:rPr>
            <w:rFonts w:ascii="arial" w:eastAsia="arial" w:hAnsi="arial" w:cs="arial"/>
            <w:b w:val="0"/>
            <w:i/>
            <w:strike w:val="0"/>
            <w:noProof w:val="0"/>
            <w:color w:val="0077CC"/>
            <w:position w:val="0"/>
            <w:sz w:val="20"/>
            <w:u w:val="single"/>
            <w:vertAlign w:val="baseline"/>
          </w:rPr>
          <w:t xml:space="preserve">Spitzer (2000), </w:t>
        </w:r>
      </w:hyperlink>
      <w:hyperlink r:id="rId86" w:history="1">
        <w:r>
          <w:rPr>
            <w:rFonts w:ascii="arial" w:eastAsia="arial" w:hAnsi="arial" w:cs="arial"/>
            <w:b w:val="0"/>
            <w:i/>
            <w:strike w:val="0"/>
            <w:noProof w:val="0"/>
            <w:color w:val="0077CC"/>
            <w:position w:val="0"/>
            <w:sz w:val="20"/>
            <w:u w:val="single"/>
            <w:vertAlign w:val="baseline"/>
          </w:rPr>
          <w:t>supra</w:t>
        </w:r>
      </w:hyperlink>
      <w:r>
        <w:rPr>
          <w:rFonts w:ascii="arial" w:eastAsia="arial" w:hAnsi="arial" w:cs="arial"/>
          <w:b w:val="0"/>
          <w:i w:val="0"/>
          <w:strike w:val="0"/>
          <w:noProof w:val="0"/>
          <w:color w:val="000000"/>
          <w:position w:val="0"/>
          <w:sz w:val="20"/>
          <w:u w:val="none"/>
          <w:vertAlign w:val="baseline"/>
        </w:rPr>
        <w:t>; Robert Spitzer,</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The Politics of Gun Control</w:t>
      </w:r>
      <w:r>
        <w:rPr>
          <w:rFonts w:ascii="arial" w:eastAsia="arial" w:hAnsi="arial" w:cs="arial"/>
          <w:b w:val="0"/>
          <w:i w:val="0"/>
          <w:strike w:val="0"/>
          <w:noProof w:val="0"/>
          <w:color w:val="000000"/>
          <w:position w:val="0"/>
          <w:sz w:val="20"/>
          <w:u w:val="none"/>
          <w:vertAlign w:val="baseline"/>
        </w:rPr>
        <w:t xml:space="preserve"> (1995).</w:t>
      </w:r>
    </w:p>
    <w:p>
      <w:pPr>
        <w:keepNext w:val="0"/>
        <w:spacing w:before="240" w:after="0" w:line="260" w:lineRule="atLeast"/>
        <w:ind w:left="0" w:right="0" w:firstLine="0"/>
        <w:jc w:val="both"/>
      </w:pPr>
      <w:bookmarkStart w:id="379" w:name="Bookmark_para_74"/>
      <w:bookmarkEnd w:id="379"/>
      <w:r>
        <w:rPr>
          <w:rFonts w:ascii="arial" w:eastAsia="arial" w:hAnsi="arial" w:cs="arial"/>
          <w:b w:val="0"/>
          <w:i w:val="0"/>
          <w:strike w:val="0"/>
          <w:noProof w:val="0"/>
          <w:color w:val="000000"/>
          <w:position w:val="0"/>
          <w:sz w:val="20"/>
          <w:u w:val="none"/>
          <w:vertAlign w:val="baseline"/>
        </w:rPr>
        <w:t>More recent scholarship joins the debate in full, with a number of leading historians rejecting the individual rights theory. S</w:t>
      </w:r>
      <w:r>
        <w:rPr>
          <w:rFonts w:ascii="arial" w:eastAsia="arial" w:hAnsi="arial" w:cs="arial"/>
          <w:b w:val="0"/>
          <w:i/>
          <w:strike w:val="0"/>
          <w:noProof w:val="0"/>
          <w:color w:val="000000"/>
          <w:position w:val="0"/>
          <w:sz w:val="20"/>
          <w:u w:val="none"/>
          <w:vertAlign w:val="baseline"/>
        </w:rPr>
        <w:t>ee generally, e.g.</w:t>
      </w:r>
      <w:r>
        <w:rPr>
          <w:rFonts w:ascii="arial" w:eastAsia="arial" w:hAnsi="arial" w:cs="arial"/>
          <w:b w:val="0"/>
          <w:i w:val="0"/>
          <w:strike w:val="0"/>
          <w:noProof w:val="0"/>
          <w:color w:val="000000"/>
          <w:position w:val="0"/>
          <w:sz w:val="20"/>
          <w:u w:val="none"/>
          <w:vertAlign w:val="baseline"/>
        </w:rPr>
        <w:t xml:space="preserve">, Lois D. Schwoerer, </w:t>
      </w:r>
      <w:r>
        <w:rPr>
          <w:rFonts w:ascii="arial" w:eastAsia="arial" w:hAnsi="arial" w:cs="arial"/>
          <w:b w:val="0"/>
          <w:i/>
          <w:strike w:val="0"/>
          <w:noProof w:val="0"/>
          <w:color w:val="000000"/>
          <w:position w:val="0"/>
          <w:sz w:val="20"/>
          <w:u w:val="none"/>
          <w:vertAlign w:val="baseline"/>
        </w:rPr>
        <w:t>Gun Culture in Early Modern England</w:t>
      </w:r>
      <w:r>
        <w:rPr>
          <w:rFonts w:ascii="arial" w:eastAsia="arial" w:hAnsi="arial" w:cs="arial"/>
          <w:b w:val="0"/>
          <w:i w:val="0"/>
          <w:strike w:val="0"/>
          <w:noProof w:val="0"/>
          <w:color w:val="000000"/>
          <w:position w:val="0"/>
          <w:sz w:val="20"/>
          <w:u w:val="none"/>
          <w:vertAlign w:val="baseline"/>
        </w:rPr>
        <w:t xml:space="preserve"> (2016) ("standard model" rests on misguided interpretations of Statute of Northampton, English </w:t>
      </w:r>
      <w:hyperlink r:id="rId61" w:history="1">
        <w:r>
          <w:rPr>
            <w:rFonts w:ascii="arial" w:eastAsia="arial" w:hAnsi="arial" w:cs="arial"/>
            <w:b w:val="0"/>
            <w:i/>
            <w:strike w:val="0"/>
            <w:noProof w:val="0"/>
            <w:color w:val="0077CC"/>
            <w:position w:val="0"/>
            <w:sz w:val="20"/>
            <w:u w:val="single"/>
            <w:vertAlign w:val="baseline"/>
          </w:rPr>
          <w:t>Bill of Rights</w:t>
        </w:r>
      </w:hyperlink>
      <w:r>
        <w:rPr>
          <w:rFonts w:ascii="arial" w:eastAsia="arial" w:hAnsi="arial" w:cs="arial"/>
          <w:b w:val="0"/>
          <w:i w:val="0"/>
          <w:strike w:val="0"/>
          <w:noProof w:val="0"/>
          <w:color w:val="000000"/>
          <w:position w:val="0"/>
          <w:sz w:val="20"/>
          <w:u w:val="none"/>
          <w:vertAlign w:val="baseline"/>
        </w:rPr>
        <w:t xml:space="preserve">, and surrounding history); Saul Cornell, </w:t>
      </w:r>
      <w:r>
        <w:rPr>
          <w:rFonts w:ascii="arial" w:eastAsia="arial" w:hAnsi="arial" w:cs="arial"/>
          <w:b w:val="0"/>
          <w:i/>
          <w:strike w:val="0"/>
          <w:noProof w:val="0"/>
          <w:color w:val="000000"/>
          <w:position w:val="0"/>
          <w:sz w:val="20"/>
          <w:u w:val="none"/>
          <w:vertAlign w:val="baseline"/>
        </w:rPr>
        <w:t>The Right to Keep and Carry Arms in Anglo-American Law: Preserving Liberty and Keeping the Peace</w:t>
      </w:r>
      <w:r>
        <w:rPr>
          <w:rFonts w:ascii="arial" w:eastAsia="arial" w:hAnsi="arial" w:cs="arial"/>
          <w:b w:val="0"/>
          <w:i w:val="0"/>
          <w:strike w:val="0"/>
          <w:noProof w:val="0"/>
          <w:color w:val="000000"/>
          <w:position w:val="0"/>
          <w:sz w:val="20"/>
          <w:u w:val="none"/>
          <w:vertAlign w:val="baseline"/>
        </w:rPr>
        <w:t xml:space="preserve">, 80 Law &amp; Contemp. Problems 11 (2017) (documenting longstanding limits on how and when people could carry guns in the American colonies; sharply and repeatedly criticizing the "standard model");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Eric M. Ruben &amp; Saul Cornell, </w:t>
      </w:r>
      <w:r>
        <w:rPr>
          <w:rFonts w:ascii="arial" w:eastAsia="arial" w:hAnsi="arial" w:cs="arial"/>
          <w:b w:val="0"/>
          <w:i/>
          <w:strike w:val="0"/>
          <w:noProof w:val="0"/>
          <w:color w:val="000000"/>
          <w:position w:val="0"/>
          <w:sz w:val="20"/>
          <w:u w:val="none"/>
          <w:vertAlign w:val="baseline"/>
        </w:rPr>
        <w:t>Firearm Regionalism and Public Carry: Placing Southern Antebellum Case Law in Context</w:t>
      </w:r>
      <w:r>
        <w:rPr>
          <w:rFonts w:ascii="arial" w:eastAsia="arial" w:hAnsi="arial" w:cs="arial"/>
          <w:b w:val="0"/>
          <w:i w:val="0"/>
          <w:strike w:val="0"/>
          <w:noProof w:val="0"/>
          <w:color w:val="000000"/>
          <w:position w:val="0"/>
          <w:sz w:val="20"/>
          <w:u w:val="none"/>
          <w:vertAlign w:val="baseline"/>
        </w:rPr>
        <w:t xml:space="preserve">, Yale L.J. Forum 121 (2015); Saul Cornell, </w:t>
      </w:r>
      <w:r>
        <w:rPr>
          <w:rFonts w:ascii="arial" w:eastAsia="arial" w:hAnsi="arial" w:cs="arial"/>
          <w:b w:val="0"/>
          <w:i/>
          <w:strike w:val="0"/>
          <w:noProof w:val="0"/>
          <w:color w:val="000000"/>
          <w:position w:val="0"/>
          <w:sz w:val="20"/>
          <w:u w:val="none"/>
          <w:vertAlign w:val="baseline"/>
        </w:rPr>
        <w:t>A Well-Regulated Militia: The Founding Fathers and the Origins of Gun Control in America</w:t>
      </w:r>
      <w:r>
        <w:rPr>
          <w:rFonts w:ascii="arial" w:eastAsia="arial" w:hAnsi="arial" w:cs="arial"/>
          <w:b w:val="0"/>
          <w:i w:val="0"/>
          <w:strike w:val="0"/>
          <w:noProof w:val="0"/>
          <w:color w:val="000000"/>
          <w:position w:val="0"/>
          <w:sz w:val="20"/>
          <w:u w:val="none"/>
          <w:vertAlign w:val="baseline"/>
        </w:rPr>
        <w:t xml:space="preserve"> (2006); Saul Cornell &amp; Nathan DeDino, </w:t>
      </w:r>
      <w:r>
        <w:rPr>
          <w:rFonts w:ascii="arial" w:eastAsia="arial" w:hAnsi="arial" w:cs="arial"/>
          <w:b w:val="0"/>
          <w:i/>
          <w:strike w:val="0"/>
          <w:noProof w:val="0"/>
          <w:color w:val="000000"/>
          <w:position w:val="0"/>
          <w:sz w:val="20"/>
          <w:u w:val="none"/>
          <w:vertAlign w:val="baseline"/>
        </w:rPr>
        <w:t>A Well Regulated Right: The Early American Origins of Gun Control</w:t>
      </w:r>
      <w:r>
        <w:rPr>
          <w:rFonts w:ascii="arial" w:eastAsia="arial" w:hAnsi="arial" w:cs="arial"/>
          <w:b w:val="0"/>
          <w:i w:val="0"/>
          <w:strike w:val="0"/>
          <w:noProof w:val="0"/>
          <w:color w:val="000000"/>
          <w:position w:val="0"/>
          <w:sz w:val="20"/>
          <w:u w:val="none"/>
          <w:vertAlign w:val="baseline"/>
        </w:rPr>
        <w:t xml:space="preserve">, </w:t>
      </w:r>
      <w:hyperlink r:id="rId89" w:history="1">
        <w:r>
          <w:rPr>
            <w:rFonts w:ascii="arial" w:eastAsia="arial" w:hAnsi="arial" w:cs="arial"/>
            <w:b w:val="0"/>
            <w:i/>
            <w:strike w:val="0"/>
            <w:noProof w:val="0"/>
            <w:color w:val="0077CC"/>
            <w:position w:val="0"/>
            <w:sz w:val="20"/>
            <w:u w:val="single"/>
            <w:vertAlign w:val="baseline"/>
          </w:rPr>
          <w:t>73 Fordham L. Rev. 487 (2004)</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0"/>
        <w:t xml:space="preserve">19</w:t>
      </w:r>
    </w:p>
    <w:p>
      <w:pPr>
        <w:keepNext w:val="0"/>
        <w:spacing w:before="200" w:after="0" w:line="260" w:lineRule="atLeast"/>
        <w:ind w:left="0" w:right="0" w:firstLine="0"/>
        <w:jc w:val="both"/>
      </w:pPr>
      <w:bookmarkStart w:id="381" w:name="Bookmark_para_75"/>
      <w:bookmarkEnd w:id="381"/>
      <w:r>
        <w:rPr>
          <w:rFonts w:ascii="arial" w:eastAsia="arial" w:hAnsi="arial" w:cs="arial"/>
          <w:b w:val="0"/>
          <w:i w:val="0"/>
          <w:strike w:val="0"/>
          <w:noProof w:val="0"/>
          <w:color w:val="000000"/>
          <w:position w:val="0"/>
          <w:sz w:val="20"/>
          <w:u w:val="none"/>
          <w:vertAlign w:val="baseline"/>
        </w:rPr>
        <w:t>At the same time, many legal and historical scholars have continued to support the history behind the "standard model," including law professor</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emerita Joyce Malcolm.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Joyce Lee Malcolm, "The Right to Be Armed: The Common Law Legacy in England and America," in </w:t>
      </w:r>
      <w:r>
        <w:rPr>
          <w:rFonts w:ascii="arial" w:eastAsia="arial" w:hAnsi="arial" w:cs="arial"/>
          <w:b w:val="0"/>
          <w:i/>
          <w:strike w:val="0"/>
          <w:noProof w:val="0"/>
          <w:color w:val="000000"/>
          <w:position w:val="0"/>
          <w:sz w:val="20"/>
          <w:u w:val="none"/>
          <w:vertAlign w:val="baseline"/>
        </w:rPr>
        <w:t>A Right to Bear Arms?</w:t>
      </w:r>
      <w:r>
        <w:rPr>
          <w:rFonts w:ascii="arial" w:eastAsia="arial" w:hAnsi="arial" w:cs="arial"/>
          <w:b w:val="0"/>
          <w:i w:val="0"/>
          <w:strike w:val="0"/>
          <w:noProof w:val="0"/>
          <w:color w:val="000000"/>
          <w:position w:val="0"/>
          <w:sz w:val="20"/>
          <w:u w:val="none"/>
          <w:vertAlign w:val="baseline"/>
        </w:rPr>
        <w:t xml:space="preserve"> (Tucker et al. eds. 2019); </w:t>
      </w:r>
      <w:r>
        <w:rPr>
          <w:rFonts w:ascii="arial" w:eastAsia="arial" w:hAnsi="arial" w:cs="arial"/>
          <w:b w:val="0"/>
          <w:i/>
          <w:strike w:val="0"/>
          <w:noProof w:val="0"/>
          <w:color w:val="000000"/>
          <w:position w:val="0"/>
          <w:sz w:val="20"/>
          <w:u w:val="none"/>
          <w:vertAlign w:val="baseline"/>
        </w:rPr>
        <w:t>see also, e.g.</w:t>
      </w:r>
      <w:r>
        <w:rPr>
          <w:rFonts w:ascii="arial" w:eastAsia="arial" w:hAnsi="arial" w:cs="arial"/>
          <w:b w:val="0"/>
          <w:i w:val="0"/>
          <w:strike w:val="0"/>
          <w:noProof w:val="0"/>
          <w:color w:val="000000"/>
          <w:position w:val="0"/>
          <w:sz w:val="20"/>
          <w:u w:val="none"/>
          <w:vertAlign w:val="baseline"/>
        </w:rPr>
        <w:t xml:space="preserve">, Brief of Amici Curiae Professors of Second Amendment Law, et al., </w:t>
      </w:r>
      <w:r>
        <w:rPr>
          <w:rFonts w:ascii="arial" w:eastAsia="arial" w:hAnsi="arial" w:cs="arial"/>
          <w:b w:val="0"/>
          <w:i/>
          <w:strike w:val="0"/>
          <w:noProof w:val="0"/>
          <w:color w:val="000000"/>
          <w:position w:val="0"/>
          <w:sz w:val="20"/>
          <w:u w:val="none"/>
          <w:vertAlign w:val="baseline"/>
        </w:rPr>
        <w:t>N.Y. State Rifle &amp; Pistol Ass'n</w:t>
      </w:r>
      <w:r>
        <w:rPr>
          <w:rFonts w:ascii="arial" w:eastAsia="arial" w:hAnsi="arial" w:cs="arial"/>
          <w:b w:val="0"/>
          <w:i w:val="0"/>
          <w:strike w:val="0"/>
          <w:noProof w:val="0"/>
          <w:color w:val="000000"/>
          <w:position w:val="0"/>
          <w:sz w:val="20"/>
          <w:u w:val="none"/>
          <w:vertAlign w:val="baseline"/>
        </w:rPr>
        <w:t>, No. 20-843 (expressing the opinions of Randy Barnett, Royce Barondes, Nicholas Johnson, Donald Kilmer, Michael O'Shea, Joseph Olson and Eugene Volokh—several law professors—that "[n]ineteenth-century sources and case law . . . support the right of ordinary citizens to carry for self-defense beyond the home," among other opinions).</w:t>
      </w:r>
    </w:p>
    <w:p>
      <w:pPr>
        <w:keepNext w:val="0"/>
        <w:spacing w:before="200" w:after="0" w:line="260" w:lineRule="atLeast"/>
        <w:ind w:left="0" w:right="0" w:firstLine="0"/>
        <w:jc w:val="both"/>
      </w:pPr>
      <w:bookmarkStart w:id="382" w:name="Bookmark_para_76"/>
      <w:bookmarkEnd w:id="382"/>
      <w:r>
        <w:rPr>
          <w:rFonts w:ascii="arial" w:eastAsia="arial" w:hAnsi="arial" w:cs="arial"/>
          <w:b w:val="0"/>
          <w:i w:val="0"/>
          <w:strike w:val="0"/>
          <w:noProof w:val="0"/>
          <w:color w:val="000000"/>
          <w:position w:val="0"/>
          <w:sz w:val="20"/>
          <w:u w:val="none"/>
          <w:vertAlign w:val="baseline"/>
        </w:rPr>
        <w:t xml:space="preserve">Scholars who find support for an individual right in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cite evidence from the founding era showing people carried weapons for individual purposes unrelated to the militia.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Brief of Amici Curiae Professors of Second Amendment Law, et al., </w:t>
      </w:r>
      <w:r>
        <w:rPr>
          <w:rFonts w:ascii="arial" w:eastAsia="arial" w:hAnsi="arial" w:cs="arial"/>
          <w:b w:val="0"/>
          <w:i/>
          <w:strike w:val="0"/>
          <w:noProof w:val="0"/>
          <w:color w:val="000000"/>
          <w:position w:val="0"/>
          <w:sz w:val="20"/>
          <w:u w:val="none"/>
          <w:vertAlign w:val="baseline"/>
        </w:rPr>
        <w:t>N.Y. State Rifle &amp; Pistol Ass'n, supra</w:t>
      </w:r>
      <w:r>
        <w:rPr>
          <w:rFonts w:ascii="arial" w:eastAsia="arial" w:hAnsi="arial" w:cs="arial"/>
          <w:b w:val="0"/>
          <w:i w:val="0"/>
          <w:strike w:val="0"/>
          <w:noProof w:val="0"/>
          <w:color w:val="000000"/>
          <w:position w:val="0"/>
          <w:sz w:val="20"/>
          <w:u w:val="none"/>
          <w:vertAlign w:val="baseline"/>
        </w:rPr>
        <w:t xml:space="preserve">, at 6-7. They also rely on similar evidence from English history and point out that American colonists saw themselves as inheritors of that tradition. </w:t>
      </w:r>
      <w:r>
        <w:rPr>
          <w:rFonts w:ascii="arial" w:eastAsia="arial" w:hAnsi="arial" w:cs="arial"/>
          <w:b w:val="0"/>
          <w:i/>
          <w:strike w:val="0"/>
          <w:noProof w:val="0"/>
          <w:color w:val="000000"/>
          <w:position w:val="0"/>
          <w:sz w:val="20"/>
          <w:u w:val="none"/>
          <w:vertAlign w:val="baseline"/>
        </w:rPr>
        <w:t>See, e.g., id.</w:t>
      </w:r>
      <w:r>
        <w:rPr>
          <w:rFonts w:ascii="arial" w:eastAsia="arial" w:hAnsi="arial" w:cs="arial"/>
          <w:b w:val="0"/>
          <w:i w:val="0"/>
          <w:strike w:val="0"/>
          <w:noProof w:val="0"/>
          <w:color w:val="000000"/>
          <w:position w:val="0"/>
          <w:sz w:val="20"/>
          <w:u w:val="none"/>
          <w:vertAlign w:val="baseline"/>
        </w:rPr>
        <w:t xml:space="preserve"> at 7-15. Even those who reject the "standard model" acknowledge the history of private arms use for self-defense.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i/>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Charles (2012),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at 1732-33 &amp; nn.16-18.</w:t>
      </w:r>
    </w:p>
    <w:p>
      <w:pPr>
        <w:keepNext w:val="0"/>
        <w:spacing w:before="240" w:after="0" w:line="260" w:lineRule="atLeast"/>
        <w:ind w:left="0" w:right="0" w:firstLine="0"/>
        <w:jc w:val="both"/>
      </w:pPr>
      <w:bookmarkStart w:id="383" w:name="Bookmark_para_77"/>
      <w:bookmarkEnd w:id="383"/>
      <w:r>
        <w:rPr>
          <w:rFonts w:ascii="arial" w:eastAsia="arial" w:hAnsi="arial" w:cs="arial"/>
          <w:b w:val="0"/>
          <w:i w:val="0"/>
          <w:strike w:val="0"/>
          <w:noProof w:val="0"/>
          <w:color w:val="000000"/>
          <w:position w:val="0"/>
          <w:sz w:val="20"/>
          <w:u w:val="none"/>
          <w:vertAlign w:val="baseline"/>
        </w:rPr>
        <w:t xml:space="preserve">Scholars on both sides of the debate submitted amicus briefs in </w:t>
      </w:r>
      <w:r>
        <w:rPr>
          <w:rFonts w:ascii="arial" w:eastAsia="arial" w:hAnsi="arial" w:cs="arial"/>
          <w:b w:val="0"/>
          <w:i/>
          <w:strike w:val="0"/>
          <w:noProof w:val="0"/>
          <w:color w:val="000000"/>
          <w:position w:val="0"/>
          <w:sz w:val="20"/>
          <w:u w:val="none"/>
          <w:vertAlign w:val="baseline"/>
        </w:rPr>
        <w:t xml:space="preserve">Heller. </w:t>
      </w:r>
      <w:bookmarkStart w:id="384" w:name="Bookmark_I6B11G192HM6B70030000400"/>
      <w:bookmarkEnd w:id="384"/>
      <w:r>
        <w:rPr>
          <w:rFonts w:ascii="arial" w:eastAsia="arial" w:hAnsi="arial" w:cs="arial"/>
          <w:b w:val="0"/>
          <w:i/>
          <w:strike w:val="0"/>
          <w:noProof w:val="0"/>
          <w:color w:val="000000"/>
          <w:position w:val="0"/>
          <w:sz w:val="20"/>
          <w:u w:val="none"/>
          <w:vertAlign w:val="baseline"/>
        </w:rPr>
        <w:t>Compare, e.g.</w:t>
      </w:r>
      <w:bookmarkStart w:id="385" w:name="Bookmark_I6B11G192HM6B70030000400_2"/>
      <w:bookmarkEnd w:id="385"/>
      <w:r>
        <w:rPr>
          <w:rFonts w:ascii="arial" w:eastAsia="arial" w:hAnsi="arial" w:cs="arial"/>
          <w:b w:val="0"/>
          <w:i w:val="0"/>
          <w:strike w:val="0"/>
          <w:noProof w:val="0"/>
          <w:color w:val="000000"/>
          <w:position w:val="0"/>
          <w:sz w:val="20"/>
          <w:u w:val="none"/>
          <w:vertAlign w:val="baseline"/>
        </w:rPr>
        <w:t xml:space="preserve">, Brief of the Cato Institute and History Professor Joyce Lee Malcolm as Amici Curiae in Support of Respondent, </w:t>
      </w:r>
      <w:r>
        <w:rPr>
          <w:rFonts w:ascii="arial" w:eastAsia="arial" w:hAnsi="arial" w:cs="arial"/>
          <w:b/>
          <w:i w:val="0"/>
          <w:strike w:val="0"/>
          <w:noProof w:val="0"/>
          <w:color w:val="000000"/>
          <w:position w:val="0"/>
          <w:sz w:val="20"/>
          <w:u w:val="none"/>
          <w:vertAlign w:val="baseline"/>
        </w:rPr>
        <w:t> [*1116]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District of Columbia v. Heller</w:t>
      </w:r>
      <w:r>
        <w:rPr>
          <w:rFonts w:ascii="arial" w:eastAsia="arial" w:hAnsi="arial" w:cs="arial"/>
          <w:b w:val="0"/>
          <w:i w:val="0"/>
          <w:strike w:val="0"/>
          <w:noProof w:val="0"/>
          <w:color w:val="000000"/>
          <w:position w:val="0"/>
          <w:sz w:val="20"/>
          <w:u w:val="none"/>
          <w:vertAlign w:val="baseline"/>
        </w:rPr>
        <w:t xml:space="preserve">, No. 07-290, </w:t>
      </w:r>
      <w:r>
        <w:rPr>
          <w:rFonts w:ascii="arial" w:eastAsia="arial" w:hAnsi="arial" w:cs="arial"/>
          <w:b w:val="0"/>
          <w:i/>
          <w:strike w:val="0"/>
          <w:noProof w:val="0"/>
          <w:color w:val="000000"/>
          <w:position w:val="0"/>
          <w:sz w:val="20"/>
          <w:u w:val="none"/>
          <w:vertAlign w:val="baseline"/>
        </w:rPr>
        <w:t>with, e.g.</w:t>
      </w:r>
      <w:r>
        <w:rPr>
          <w:rFonts w:ascii="arial" w:eastAsia="arial" w:hAnsi="arial" w:cs="arial"/>
          <w:b w:val="0"/>
          <w:i w:val="0"/>
          <w:strike w:val="0"/>
          <w:noProof w:val="0"/>
          <w:color w:val="000000"/>
          <w:position w:val="0"/>
          <w:sz w:val="20"/>
          <w:u w:val="none"/>
          <w:vertAlign w:val="baseline"/>
        </w:rPr>
        <w:t xml:space="preserve">, Brief of Amici Curiae Jack N. Rakove, Saul Cornell, David T. Konig, William J. Novak, Lois G. Schwoerer, et al., in Support of Petitioners, </w:t>
      </w:r>
      <w:r>
        <w:rPr>
          <w:rFonts w:ascii="arial" w:eastAsia="arial" w:hAnsi="arial" w:cs="arial"/>
          <w:b w:val="0"/>
          <w:i/>
          <w:strike w:val="0"/>
          <w:noProof w:val="0"/>
          <w:color w:val="000000"/>
          <w:position w:val="0"/>
          <w:sz w:val="20"/>
          <w:u w:val="none"/>
          <w:vertAlign w:val="baseline"/>
        </w:rPr>
        <w:t>District of Columba v. Heller</w:t>
      </w:r>
      <w:r>
        <w:rPr>
          <w:rFonts w:ascii="arial" w:eastAsia="arial" w:hAnsi="arial" w:cs="arial"/>
          <w:b w:val="0"/>
          <w:i w:val="0"/>
          <w:strike w:val="0"/>
          <w:noProof w:val="0"/>
          <w:color w:val="000000"/>
          <w:position w:val="0"/>
          <w:sz w:val="20"/>
          <w:u w:val="none"/>
          <w:vertAlign w:val="baseline"/>
        </w:rPr>
        <w:t xml:space="preserve">, No. 07-290. </w:t>
      </w:r>
      <w:bookmarkStart w:id="386" w:name="Bookmark_I6B11G192HM6B70050000400"/>
      <w:bookmarkEnd w:id="386"/>
      <w:r>
        <w:rPr>
          <w:rFonts w:ascii="arial" w:eastAsia="arial" w:hAnsi="arial" w:cs="arial"/>
          <w:b w:val="0"/>
          <w:i w:val="0"/>
          <w:strike w:val="0"/>
          <w:noProof w:val="0"/>
          <w:color w:val="000000"/>
          <w:position w:val="0"/>
          <w:sz w:val="20"/>
          <w:u w:val="none"/>
          <w:vertAlign w:val="baseline"/>
        </w:rPr>
        <w:t xml:space="preserve">The Supreme Court drew heavily on this research, both in the majority and dissenting opinions.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387" w:name="Bookmark_I6B11G192HM6B70020000400"/>
      <w:bookmarkEnd w:id="387"/>
      <w:hyperlink r:id="rId22" w:history="1">
        <w:r>
          <w:rPr>
            <w:rFonts w:ascii="arial" w:eastAsia="arial" w:hAnsi="arial" w:cs="arial"/>
            <w:b w:val="0"/>
            <w:i/>
            <w:strike w:val="0"/>
            <w:noProof w:val="0"/>
            <w:color w:val="0077CC"/>
            <w:position w:val="0"/>
            <w:sz w:val="20"/>
            <w:u w:val="single"/>
            <w:vertAlign w:val="baseline"/>
          </w:rPr>
          <w:t>554 U.S. at 592</w:t>
        </w:r>
      </w:hyperlink>
      <w:r>
        <w:rPr>
          <w:rFonts w:ascii="arial" w:eastAsia="arial" w:hAnsi="arial" w:cs="arial"/>
          <w:b w:val="0"/>
          <w:i w:val="0"/>
          <w:strike w:val="0"/>
          <w:noProof w:val="0"/>
          <w:color w:val="000000"/>
          <w:position w:val="0"/>
          <w:sz w:val="20"/>
          <w:u w:val="none"/>
          <w:vertAlign w:val="baseline"/>
        </w:rPr>
        <w:t xml:space="preserve"> (citing work by Malcolm and Schwoerer);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671 (Stevens, J., dissenting) (citing work by Cornell);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685 (Breyer, J., dissenting) (same). </w:t>
      </w:r>
      <w:bookmarkStart w:id="388" w:name="Bookmark_I6B11G192HM6B70050000400_2"/>
      <w:bookmarkEnd w:id="388"/>
      <w:r>
        <w:rPr>
          <w:rFonts w:ascii="arial" w:eastAsia="arial" w:hAnsi="arial" w:cs="arial"/>
          <w:b w:val="0"/>
          <w:i w:val="0"/>
          <w:strike w:val="0"/>
          <w:noProof w:val="0"/>
          <w:color w:val="000000"/>
          <w:position w:val="0"/>
          <w:sz w:val="20"/>
          <w:u w:val="none"/>
          <w:vertAlign w:val="baseline"/>
        </w:rPr>
        <w:t xml:space="preserve">In the end, the Court majority largely adopted the "standard model."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389" w:name="Bookmark_I6B11G192HM6B70040000400"/>
      <w:bookmarkEnd w:id="389"/>
      <w:hyperlink r:id="rId22" w:history="1">
        <w:r>
          <w:rPr>
            <w:rFonts w:ascii="arial" w:eastAsia="arial" w:hAnsi="arial" w:cs="arial"/>
            <w:b w:val="0"/>
            <w:i/>
            <w:strike w:val="0"/>
            <w:noProof w:val="0"/>
            <w:color w:val="0077CC"/>
            <w:position w:val="0"/>
            <w:sz w:val="20"/>
            <w:u w:val="single"/>
            <w:vertAlign w:val="baseline"/>
          </w:rPr>
          <w:t>554 U.S. at 592</w:t>
        </w:r>
      </w:hyperlink>
      <w:r>
        <w:rPr>
          <w:rFonts w:ascii="arial" w:eastAsia="arial" w:hAnsi="arial" w:cs="arial"/>
          <w:b w:val="0"/>
          <w:i w:val="0"/>
          <w:strike w:val="0"/>
          <w:noProof w:val="0"/>
          <w:color w:val="000000"/>
          <w:position w:val="0"/>
          <w:sz w:val="20"/>
          <w:u w:val="none"/>
          <w:vertAlign w:val="baseline"/>
        </w:rPr>
        <w:t xml:space="preserve"> (holding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guarantees "the individual right to possess and carry weapons in case of confrontation").</w:t>
      </w:r>
    </w:p>
    <w:p>
      <w:pPr>
        <w:keepNext w:val="0"/>
        <w:spacing w:before="200" w:after="0" w:line="260" w:lineRule="atLeast"/>
        <w:ind w:left="0" w:right="0" w:firstLine="0"/>
        <w:jc w:val="both"/>
      </w:pPr>
      <w:bookmarkStart w:id="390" w:name="Bookmark_para_78"/>
      <w:bookmarkEnd w:id="390"/>
      <w:r>
        <w:rPr>
          <w:rFonts w:ascii="arial" w:eastAsia="arial" w:hAnsi="arial" w:cs="arial"/>
          <w:b w:val="0"/>
          <w:i w:val="0"/>
          <w:strike w:val="0"/>
          <w:noProof w:val="0"/>
          <w:color w:val="000000"/>
          <w:position w:val="0"/>
          <w:sz w:val="20"/>
          <w:u w:val="none"/>
          <w:vertAlign w:val="baseline"/>
        </w:rPr>
        <w:t xml:space="preserve">Following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xml:space="preserve">, several of the historians referenced above questioned the majority's reasoning.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70" w:history="1">
        <w:r>
          <w:rPr>
            <w:rFonts w:ascii="arial" w:eastAsia="arial" w:hAnsi="arial" w:cs="arial"/>
            <w:b w:val="0"/>
            <w:i/>
            <w:strike w:val="0"/>
            <w:noProof w:val="0"/>
            <w:color w:val="0077CC"/>
            <w:position w:val="0"/>
            <w:sz w:val="20"/>
            <w:u w:val="single"/>
            <w:vertAlign w:val="baseline"/>
          </w:rPr>
          <w:t xml:space="preserve">Cornell (2008), </w:t>
        </w:r>
      </w:hyperlink>
      <w:hyperlink r:id="rId70" w:history="1">
        <w:r>
          <w:rPr>
            <w:rFonts w:ascii="arial" w:eastAsia="arial" w:hAnsi="arial" w:cs="arial"/>
            <w:b w:val="0"/>
            <w:i/>
            <w:strike w:val="0"/>
            <w:noProof w:val="0"/>
            <w:color w:val="0077CC"/>
            <w:position w:val="0"/>
            <w:sz w:val="20"/>
            <w:u w:val="single"/>
            <w:vertAlign w:val="baseline"/>
          </w:rPr>
          <w:t>supra</w:t>
        </w:r>
      </w:hyperlink>
      <w:hyperlink r:id="rId70" w:history="1">
        <w:r>
          <w:rPr>
            <w:rFonts w:ascii="arial" w:eastAsia="arial" w:hAnsi="arial" w:cs="arial"/>
            <w:b w:val="0"/>
            <w:i/>
            <w:strike w:val="0"/>
            <w:noProof w:val="0"/>
            <w:color w:val="0077CC"/>
            <w:position w:val="0"/>
            <w:sz w:val="20"/>
            <w:u w:val="single"/>
            <w:vertAlign w:val="baseline"/>
          </w:rPr>
          <w:t xml:space="preserve"> at 627-31</w:t>
        </w:r>
      </w:hyperlink>
      <w:r>
        <w:rPr>
          <w:rFonts w:ascii="arial" w:eastAsia="arial" w:hAnsi="arial" w:cs="arial"/>
          <w:b w:val="0"/>
          <w:i w:val="0"/>
          <w:strike w:val="0"/>
          <w:noProof w:val="0"/>
          <w:color w:val="000000"/>
          <w:position w:val="0"/>
          <w:sz w:val="20"/>
          <w:u w:val="none"/>
          <w:vertAlign w:val="baseline"/>
        </w:rPr>
        <w:t xml:space="preserve"> (pointing out that majority had dismissed the opinions of one of most "prolific and influential popular legal writers of his day" as an outlier position, while simultaneously elevating a minority view</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later "disowned by its authors"); </w:t>
      </w:r>
      <w:r>
        <w:rPr>
          <w:rFonts w:ascii="arial" w:eastAsia="arial" w:hAnsi="arial" w:cs="arial"/>
          <w:b w:val="0"/>
          <w:i/>
          <w:strike w:val="0"/>
          <w:noProof w:val="0"/>
          <w:color w:val="000000"/>
          <w:position w:val="0"/>
          <w:sz w:val="20"/>
          <w:u w:val="none"/>
          <w:vertAlign w:val="baseline"/>
        </w:rPr>
        <w:t xml:space="preserve">see also </w:t>
      </w:r>
      <w:hyperlink r:id="rId70" w:history="1">
        <w:r>
          <w:rPr>
            <w:rFonts w:ascii="arial" w:eastAsia="arial" w:hAnsi="arial" w:cs="arial"/>
            <w:b w:val="0"/>
            <w:i/>
            <w:strike w:val="0"/>
            <w:noProof w:val="0"/>
            <w:color w:val="0077CC"/>
            <w:position w:val="0"/>
            <w:sz w:val="20"/>
            <w:u w:val="single"/>
            <w:vertAlign w:val="baseline"/>
          </w:rPr>
          <w:t>id.</w:t>
        </w:r>
      </w:hyperlink>
      <w:hyperlink r:id="rId70" w:history="1">
        <w:r>
          <w:rPr>
            <w:rFonts w:ascii="arial" w:eastAsia="arial" w:hAnsi="arial" w:cs="arial"/>
            <w:b w:val="0"/>
            <w:i/>
            <w:strike w:val="0"/>
            <w:noProof w:val="0"/>
            <w:color w:val="0077CC"/>
            <w:position w:val="0"/>
            <w:sz w:val="20"/>
            <w:u w:val="single"/>
            <w:vertAlign w:val="baseline"/>
          </w:rPr>
          <w:t xml:space="preserve"> at 632-36</w:t>
        </w:r>
      </w:hyperlink>
      <w:r>
        <w:rPr>
          <w:rFonts w:ascii="arial" w:eastAsia="arial" w:hAnsi="arial" w:cs="arial"/>
          <w:b w:val="0"/>
          <w:i w:val="0"/>
          <w:strike w:val="0"/>
          <w:noProof w:val="0"/>
          <w:color w:val="000000"/>
          <w:position w:val="0"/>
          <w:sz w:val="20"/>
          <w:u w:val="none"/>
          <w:vertAlign w:val="baseline"/>
        </w:rPr>
        <w:t xml:space="preserve"> (noting legal readers would have understood </w:t>
      </w:r>
      <w:hyperlink r:id="rId10" w:history="1">
        <w:r>
          <w:rPr>
            <w:rFonts w:ascii="arial" w:eastAsia="arial" w:hAnsi="arial" w:cs="arial"/>
            <w:b w:val="0"/>
            <w:i/>
            <w:strike w:val="0"/>
            <w:noProof w:val="0"/>
            <w:color w:val="0077CC"/>
            <w:position w:val="0"/>
            <w:sz w:val="20"/>
            <w:u w:val="single"/>
            <w:vertAlign w:val="baseline"/>
          </w:rPr>
          <w:t>Second Amendment's</w:t>
        </w:r>
      </w:hyperlink>
      <w:r>
        <w:rPr>
          <w:rFonts w:ascii="arial" w:eastAsia="arial" w:hAnsi="arial" w:cs="arial"/>
          <w:b w:val="0"/>
          <w:i w:val="0"/>
          <w:strike w:val="0"/>
          <w:noProof w:val="0"/>
          <w:color w:val="000000"/>
          <w:position w:val="0"/>
          <w:sz w:val="20"/>
          <w:u w:val="none"/>
          <w:vertAlign w:val="baseline"/>
        </w:rPr>
        <w:t xml:space="preserve"> preamble—"A well regulated Militia, being necessary to the security of a free State"—not as a justification, but rather as statement of the amendment's true purpose or focus);</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w:t>
      </w:r>
      <w:hyperlink r:id="rId90" w:history="1">
        <w:r>
          <w:rPr>
            <w:rFonts w:ascii="arial" w:eastAsia="arial" w:hAnsi="arial" w:cs="arial"/>
            <w:b w:val="0"/>
            <w:i/>
            <w:strike w:val="0"/>
            <w:noProof w:val="0"/>
            <w:color w:val="0077CC"/>
            <w:position w:val="0"/>
            <w:sz w:val="20"/>
            <w:u w:val="single"/>
            <w:vertAlign w:val="baseline"/>
          </w:rPr>
          <w:t xml:space="preserve">David T. Konig, </w:t>
        </w:r>
      </w:hyperlink>
      <w:hyperlink r:id="rId90" w:history="1">
        <w:r>
          <w:rPr>
            <w:rFonts w:ascii="arial" w:eastAsia="arial" w:hAnsi="arial" w:cs="arial"/>
            <w:b w:val="0"/>
            <w:i/>
            <w:strike w:val="0"/>
            <w:noProof w:val="0"/>
            <w:color w:val="0077CC"/>
            <w:position w:val="0"/>
            <w:sz w:val="20"/>
            <w:u w:val="single"/>
            <w:vertAlign w:val="baseline"/>
          </w:rPr>
          <w:t>Why the Second Amendment Has a Preamble: Original Public Meaning and the Political Culture of Written Constitutions in Revolutionary America</w:t>
        </w:r>
      </w:hyperlink>
      <w:hyperlink r:id="rId90" w:history="1">
        <w:r>
          <w:rPr>
            <w:rFonts w:ascii="arial" w:eastAsia="arial" w:hAnsi="arial" w:cs="arial"/>
            <w:b w:val="0"/>
            <w:i/>
            <w:strike w:val="0"/>
            <w:noProof w:val="0"/>
            <w:color w:val="0077CC"/>
            <w:position w:val="0"/>
            <w:sz w:val="20"/>
            <w:u w:val="single"/>
            <w:vertAlign w:val="baseline"/>
          </w:rPr>
          <w:t>, 56 UCLA L. Rev. 1295, 1341-42 (2009)</w:t>
        </w:r>
      </w:hyperlink>
      <w:r>
        <w:rPr>
          <w:rFonts w:ascii="arial" w:eastAsia="arial" w:hAnsi="arial" w:cs="arial"/>
          <w:b w:val="0"/>
          <w:i w:val="0"/>
          <w:strike w:val="0"/>
          <w:noProof w:val="0"/>
          <w:color w:val="000000"/>
          <w:position w:val="0"/>
          <w:sz w:val="20"/>
          <w:u w:val="none"/>
          <w:vertAlign w:val="baseline"/>
        </w:rPr>
        <w:t xml:space="preserve"> (criticizing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xml:space="preserve"> majority for relying on "radical philosophy outside the mainstream of the times"); Lois G. Schwoerer, "English and American Gun Rights" at 144, 150 in </w:t>
      </w:r>
      <w:r>
        <w:rPr>
          <w:rFonts w:ascii="arial" w:eastAsia="arial" w:hAnsi="arial" w:cs="arial"/>
          <w:b w:val="0"/>
          <w:i/>
          <w:strike w:val="0"/>
          <w:noProof w:val="0"/>
          <w:color w:val="000000"/>
          <w:position w:val="0"/>
          <w:sz w:val="20"/>
          <w:u w:val="none"/>
          <w:vertAlign w:val="baseline"/>
        </w:rPr>
        <w:t>A Right to Bear Arms?</w:t>
      </w:r>
      <w:r>
        <w:rPr>
          <w:rFonts w:ascii="arial" w:eastAsia="arial" w:hAnsi="arial" w:cs="arial"/>
          <w:b w:val="0"/>
          <w:i w:val="0"/>
          <w:strike w:val="0"/>
          <w:noProof w:val="0"/>
          <w:color w:val="000000"/>
          <w:position w:val="0"/>
          <w:sz w:val="20"/>
          <w:u w:val="none"/>
          <w:vertAlign w:val="baseline"/>
        </w:rPr>
        <w:t xml:space="preserve"> (Jennifer Tucker et al. eds. 2019) (Article VII of the English Declaration of Rights, which the Supreme Court saw as a precursor or inspiration for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focused not on individual rights and self-defense, but rather on "the defense of the nation"); Charles (2012),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at 1827-42 (describing "domino effect" of influential historical errors).</w:t>
      </w:r>
    </w:p>
    <w:p>
      <w:pPr>
        <w:keepNext w:val="0"/>
        <w:spacing w:before="240" w:after="0" w:line="260" w:lineRule="atLeast"/>
        <w:ind w:left="0" w:right="0" w:firstLine="0"/>
        <w:jc w:val="both"/>
      </w:pPr>
      <w:bookmarkStart w:id="392" w:name="Bookmark_para_79"/>
      <w:bookmarkEnd w:id="392"/>
      <w:r>
        <w:rPr>
          <w:rFonts w:ascii="arial" w:eastAsia="arial" w:hAnsi="arial" w:cs="arial"/>
          <w:b w:val="0"/>
          <w:i w:val="0"/>
          <w:strike w:val="0"/>
          <w:noProof w:val="0"/>
          <w:color w:val="000000"/>
          <w:position w:val="0"/>
          <w:sz w:val="20"/>
          <w:u w:val="none"/>
          <w:vertAlign w:val="baseline"/>
        </w:rPr>
        <w:t xml:space="preserve">Others have focused on tools that were unavailable to the Supreme Court in 2008 when it decided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xml:space="preserve">. Most prominent among these tools is "corpus linguistics," whose proponents describe it as an "empirical approach to the study of language that involves large, electronic databases of text," such as "books, magazines, newspapers, and even transcripts of spoken language." </w:t>
      </w:r>
      <w:hyperlink r:id="rId91" w:history="1">
        <w:r>
          <w:rPr>
            <w:rFonts w:ascii="arial" w:eastAsia="arial" w:hAnsi="arial" w:cs="arial"/>
            <w:b w:val="0"/>
            <w:i/>
            <w:strike w:val="0"/>
            <w:noProof w:val="0"/>
            <w:color w:val="0077CC"/>
            <w:position w:val="0"/>
            <w:sz w:val="20"/>
            <w:u w:val="single"/>
            <w:vertAlign w:val="baseline"/>
          </w:rPr>
          <w:t xml:space="preserve">Thomas R. Lee &amp; Stephen Mouritsen, </w:t>
        </w:r>
      </w:hyperlink>
      <w:hyperlink r:id="rId91" w:history="1">
        <w:r>
          <w:rPr>
            <w:rFonts w:ascii="arial" w:eastAsia="arial" w:hAnsi="arial" w:cs="arial"/>
            <w:b w:val="0"/>
            <w:i/>
            <w:strike w:val="0"/>
            <w:noProof w:val="0"/>
            <w:color w:val="0077CC"/>
            <w:position w:val="0"/>
            <w:sz w:val="20"/>
            <w:u w:val="single"/>
            <w:vertAlign w:val="baseline"/>
          </w:rPr>
          <w:t>Judging Ordinary Meaning</w:t>
        </w:r>
      </w:hyperlink>
      <w:hyperlink r:id="rId91" w:history="1">
        <w:r>
          <w:rPr>
            <w:rFonts w:ascii="arial" w:eastAsia="arial" w:hAnsi="arial" w:cs="arial"/>
            <w:b w:val="0"/>
            <w:i/>
            <w:strike w:val="0"/>
            <w:noProof w:val="0"/>
            <w:color w:val="0077CC"/>
            <w:position w:val="0"/>
            <w:sz w:val="20"/>
            <w:u w:val="single"/>
            <w:vertAlign w:val="baseline"/>
          </w:rPr>
          <w:t>, 127 Yale L.J. 788, 828 (2018)</w:t>
        </w:r>
      </w:hyperlink>
      <w:r>
        <w:rPr>
          <w:rFonts w:ascii="arial" w:eastAsia="arial" w:hAnsi="arial" w:cs="arial"/>
          <w:b w:val="0"/>
          <w:i w:val="0"/>
          <w:strike w:val="0"/>
          <w:noProof w:val="0"/>
          <w:color w:val="000000"/>
          <w:position w:val="0"/>
          <w:sz w:val="20"/>
          <w:u w:val="none"/>
          <w:vertAlign w:val="baseline"/>
        </w:rPr>
        <w:t xml:space="preserve"> (footnotes omitted). Database searches can show how frequently words are used in one sense or another, what words are more commonly used together, and what words appear in what contexts, among other things. </w:t>
      </w:r>
      <w:bookmarkStart w:id="393" w:name="Bookmark_I6B11G192D6NMV0020000400"/>
      <w:bookmarkEnd w:id="393"/>
      <w:r>
        <w:rPr>
          <w:rFonts w:ascii="arial" w:eastAsia="arial" w:hAnsi="arial" w:cs="arial"/>
          <w:b w:val="0"/>
          <w:i/>
          <w:strike w:val="0"/>
          <w:noProof w:val="0"/>
          <w:color w:val="000000"/>
          <w:position w:val="0"/>
          <w:sz w:val="20"/>
          <w:u w:val="none"/>
          <w:vertAlign w:val="baseline"/>
        </w:rPr>
        <w:t>See</w:t>
      </w:r>
      <w:r>
        <w:rPr>
          <w:rFonts w:ascii="arial" w:eastAsia="arial" w:hAnsi="arial" w:cs="arial"/>
          <w:b/>
          <w:i/>
          <w:strike w:val="0"/>
          <w:noProof w:val="0"/>
          <w:color w:val="000000"/>
          <w:position w:val="0"/>
          <w:sz w:val="20"/>
          <w:u w:val="none"/>
          <w:vertAlign w:val="baseline"/>
        </w:rPr>
        <w:t> [**60] </w:t>
      </w:r>
      <w:r>
        <w:rPr>
          <w:rFonts w:ascii="arial" w:eastAsia="arial" w:hAnsi="arial" w:cs="arial"/>
          <w:b w:val="0"/>
          <w:i/>
          <w:strike w:val="0"/>
          <w:noProof w:val="0"/>
          <w:color w:val="000000"/>
          <w:position w:val="0"/>
          <w:sz w:val="20"/>
          <w:u w:val="none"/>
          <w:vertAlign w:val="baseline"/>
        </w:rPr>
        <w:t xml:space="preserve"> </w:t>
      </w:r>
      <w:hyperlink r:id="rId91" w:history="1">
        <w:r>
          <w:rPr>
            <w:rFonts w:ascii="arial" w:eastAsia="arial" w:hAnsi="arial" w:cs="arial"/>
            <w:b w:val="0"/>
            <w:i/>
            <w:strike w:val="0"/>
            <w:noProof w:val="0"/>
            <w:color w:val="0077CC"/>
            <w:position w:val="0"/>
            <w:sz w:val="20"/>
            <w:u w:val="single"/>
            <w:vertAlign w:val="baseline"/>
          </w:rPr>
          <w:t>id.</w:t>
        </w:r>
      </w:hyperlink>
      <w:hyperlink r:id="rId91" w:history="1">
        <w:r>
          <w:rPr>
            <w:rFonts w:ascii="arial" w:eastAsia="arial" w:hAnsi="arial" w:cs="arial"/>
            <w:b w:val="0"/>
            <w:i/>
            <w:strike w:val="0"/>
            <w:noProof w:val="0"/>
            <w:color w:val="0077CC"/>
            <w:position w:val="0"/>
            <w:sz w:val="20"/>
            <w:u w:val="single"/>
            <w:vertAlign w:val="baseline"/>
          </w:rPr>
          <w:t xml:space="preserve"> at 831-32</w:t>
        </w:r>
      </w:hyperlink>
      <w:r>
        <w:rPr>
          <w:rFonts w:ascii="arial" w:eastAsia="arial" w:hAnsi="arial" w:cs="arial"/>
          <w:b w:val="0"/>
          <w:i w:val="0"/>
          <w:strike w:val="0"/>
          <w:noProof w:val="0"/>
          <w:color w:val="000000"/>
          <w:position w:val="0"/>
          <w:sz w:val="20"/>
          <w:u w:val="none"/>
          <w:vertAlign w:val="baseline"/>
        </w:rPr>
        <w:t xml:space="preserve">. Several years after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xml:space="preserve">, linguistics experts used these databases to test whether the words "keep and bear arms" were used in ways that might suggest whether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would have been understood as protecting an individual or collective right. Dennis Baron, </w:t>
      </w:r>
      <w:r>
        <w:rPr>
          <w:rFonts w:ascii="arial" w:eastAsia="arial" w:hAnsi="arial" w:cs="arial"/>
          <w:b w:val="0"/>
          <w:i/>
          <w:strike w:val="0"/>
          <w:noProof w:val="0"/>
          <w:color w:val="000000"/>
          <w:position w:val="0"/>
          <w:sz w:val="20"/>
          <w:u w:val="none"/>
          <w:vertAlign w:val="baseline"/>
        </w:rPr>
        <w:t>Corpus Evidence Illuminates the Meaning of Bear Arms</w:t>
      </w:r>
      <w:r>
        <w:rPr>
          <w:rFonts w:ascii="arial" w:eastAsia="arial" w:hAnsi="arial" w:cs="arial"/>
          <w:b w:val="0"/>
          <w:i w:val="0"/>
          <w:strike w:val="0"/>
          <w:noProof w:val="0"/>
          <w:color w:val="000000"/>
          <w:position w:val="0"/>
          <w:sz w:val="20"/>
          <w:u w:val="none"/>
          <w:vertAlign w:val="baseline"/>
        </w:rPr>
        <w:t xml:space="preserve">, </w:t>
      </w:r>
      <w:hyperlink r:id="rId92" w:history="1">
        <w:r>
          <w:rPr>
            <w:rFonts w:ascii="arial" w:eastAsia="arial" w:hAnsi="arial" w:cs="arial"/>
            <w:b w:val="0"/>
            <w:i/>
            <w:strike w:val="0"/>
            <w:noProof w:val="0"/>
            <w:color w:val="0077CC"/>
            <w:position w:val="0"/>
            <w:sz w:val="20"/>
            <w:u w:val="single"/>
            <w:vertAlign w:val="baseline"/>
          </w:rPr>
          <w:t>46 Hastings Const. L.Q. 509 (2019)</w:t>
        </w:r>
      </w:hyperlink>
      <w:r>
        <w:rPr>
          <w:rFonts w:ascii="arial" w:eastAsia="arial" w:hAnsi="arial" w:cs="arial"/>
          <w:b w:val="0"/>
          <w:i w:val="0"/>
          <w:strike w:val="0"/>
          <w:noProof w:val="0"/>
          <w:color w:val="000000"/>
          <w:position w:val="0"/>
          <w:sz w:val="20"/>
          <w:u w:val="none"/>
          <w:vertAlign w:val="baseline"/>
        </w:rPr>
        <w:t xml:space="preserve">; Alison L. LaCroix, "Historical Semantics and the Meaning of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The Panorama</w:t>
      </w:r>
      <w:r>
        <w:rPr>
          <w:rFonts w:ascii="arial" w:eastAsia="arial" w:hAnsi="arial" w:cs="arial"/>
          <w:b w:val="0"/>
          <w:i w:val="0"/>
          <w:strike w:val="0"/>
          <w:noProof w:val="0"/>
          <w:color w:val="000000"/>
          <w:position w:val="0"/>
          <w:sz w:val="20"/>
          <w:u w:val="none"/>
          <w:vertAlign w:val="baseline"/>
        </w:rPr>
        <w:t xml:space="preserve"> (Aug. 3, 2018);</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[*1117]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Josh Blackman &amp; James C. Phillips, Corpus Linguistics and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Harvard Law Review Blog</w:t>
      </w:r>
      <w:r>
        <w:rPr>
          <w:rFonts w:ascii="arial" w:eastAsia="arial" w:hAnsi="arial" w:cs="arial"/>
          <w:b w:val="0"/>
          <w:i w:val="0"/>
          <w:strike w:val="0"/>
          <w:noProof w:val="0"/>
          <w:color w:val="000000"/>
          <w:position w:val="0"/>
          <w:sz w:val="20"/>
          <w:u w:val="none"/>
          <w:vertAlign w:val="baseline"/>
        </w:rPr>
        <w:t xml:space="preserve"> (Aug. 7, 2018).</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They determined "[f]ounding era sources almost always use </w:t>
      </w:r>
      <w:r>
        <w:rPr>
          <w:rFonts w:ascii="arial" w:eastAsia="arial" w:hAnsi="arial" w:cs="arial"/>
          <w:b w:val="0"/>
          <w:i/>
          <w:strike w:val="0"/>
          <w:noProof w:val="0"/>
          <w:color w:val="000000"/>
          <w:position w:val="0"/>
          <w:sz w:val="20"/>
          <w:u w:val="none"/>
          <w:vertAlign w:val="baseline"/>
        </w:rPr>
        <w:t>bear arms</w:t>
      </w:r>
      <w:r>
        <w:rPr>
          <w:rFonts w:ascii="arial" w:eastAsia="arial" w:hAnsi="arial" w:cs="arial"/>
          <w:b w:val="0"/>
          <w:i w:val="0"/>
          <w:strike w:val="0"/>
          <w:noProof w:val="0"/>
          <w:color w:val="000000"/>
          <w:position w:val="0"/>
          <w:sz w:val="20"/>
          <w:u w:val="none"/>
          <w:vertAlign w:val="baseline"/>
        </w:rPr>
        <w:t xml:space="preserve"> in an unambiguously military sense," </w:t>
      </w:r>
      <w:hyperlink r:id="rId92" w:history="1">
        <w:r>
          <w:rPr>
            <w:rFonts w:ascii="arial" w:eastAsia="arial" w:hAnsi="arial" w:cs="arial"/>
            <w:b w:val="0"/>
            <w:i/>
            <w:strike w:val="0"/>
            <w:noProof w:val="0"/>
            <w:color w:val="0077CC"/>
            <w:position w:val="0"/>
            <w:sz w:val="20"/>
            <w:u w:val="single"/>
            <w:vertAlign w:val="baseline"/>
          </w:rPr>
          <w:t xml:space="preserve">Baron (2019), </w:t>
        </w:r>
      </w:hyperlink>
      <w:hyperlink r:id="rId92" w:history="1">
        <w:r>
          <w:rPr>
            <w:rFonts w:ascii="arial" w:eastAsia="arial" w:hAnsi="arial" w:cs="arial"/>
            <w:b w:val="0"/>
            <w:i/>
            <w:strike w:val="0"/>
            <w:noProof w:val="0"/>
            <w:color w:val="0077CC"/>
            <w:position w:val="0"/>
            <w:sz w:val="20"/>
            <w:u w:val="single"/>
            <w:vertAlign w:val="baseline"/>
          </w:rPr>
          <w:t>supra</w:t>
        </w:r>
      </w:hyperlink>
      <w:hyperlink r:id="rId92" w:history="1">
        <w:r>
          <w:rPr>
            <w:rFonts w:ascii="arial" w:eastAsia="arial" w:hAnsi="arial" w:cs="arial"/>
            <w:b w:val="0"/>
            <w:i/>
            <w:strike w:val="0"/>
            <w:noProof w:val="0"/>
            <w:color w:val="0077CC"/>
            <w:position w:val="0"/>
            <w:sz w:val="20"/>
            <w:u w:val="single"/>
            <w:vertAlign w:val="baseline"/>
          </w:rPr>
          <w:t>, at 510</w:t>
        </w:r>
      </w:hyperlink>
      <w:r>
        <w:rPr>
          <w:rFonts w:ascii="arial" w:eastAsia="arial" w:hAnsi="arial" w:cs="arial"/>
          <w:b w:val="0"/>
          <w:i w:val="0"/>
          <w:strike w:val="0"/>
          <w:noProof w:val="0"/>
          <w:color w:val="000000"/>
          <w:position w:val="0"/>
          <w:sz w:val="20"/>
          <w:u w:val="none"/>
          <w:vertAlign w:val="baseline"/>
        </w:rPr>
        <w:t xml:space="preserve"> (emphasis in original), contrary to the majority's conclusion in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xml:space="preserve"> that the phrase "in no way connotes participation in a structured military organization," </w:t>
      </w:r>
      <w:bookmarkStart w:id="396" w:name="Bookmark_I6B11G192D6NMV0010000400"/>
      <w:bookmarkEnd w:id="396"/>
      <w:hyperlink r:id="rId22" w:history="1">
        <w:r>
          <w:rPr>
            <w:rFonts w:ascii="arial" w:eastAsia="arial" w:hAnsi="arial" w:cs="arial"/>
            <w:b w:val="0"/>
            <w:i/>
            <w:strike w:val="0"/>
            <w:noProof w:val="0"/>
            <w:color w:val="0077CC"/>
            <w:position w:val="0"/>
            <w:sz w:val="20"/>
            <w:u w:val="single"/>
            <w:vertAlign w:val="baseline"/>
          </w:rPr>
          <w:t>554 U.S. at 584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7" w:name="Bookmark_para_80"/>
      <w:bookmarkEnd w:id="397"/>
      <w:r>
        <w:rPr>
          <w:rFonts w:ascii="arial" w:eastAsia="arial" w:hAnsi="arial" w:cs="arial"/>
          <w:b w:val="0"/>
          <w:i w:val="0"/>
          <w:strike w:val="0"/>
          <w:noProof w:val="0"/>
          <w:color w:val="000000"/>
          <w:position w:val="0"/>
          <w:sz w:val="20"/>
          <w:u w:val="none"/>
          <w:vertAlign w:val="baseline"/>
        </w:rPr>
        <w:t xml:space="preserve">Many of these experts urged the Supreme Court to reconsider its pronouncements in </w:t>
      </w:r>
      <w:r>
        <w:rPr>
          <w:rFonts w:ascii="arial" w:eastAsia="arial" w:hAnsi="arial" w:cs="arial"/>
          <w:b w:val="0"/>
          <w:i/>
          <w:strike w:val="0"/>
          <w:noProof w:val="0"/>
          <w:color w:val="000000"/>
          <w:position w:val="0"/>
          <w:sz w:val="20"/>
          <w:u w:val="none"/>
          <w:vertAlign w:val="baseline"/>
        </w:rPr>
        <w:t>McDonald</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McDonald</w:t>
      </w:r>
      <w:r>
        <w:rPr>
          <w:rFonts w:ascii="arial" w:eastAsia="arial" w:hAnsi="arial" w:cs="arial"/>
          <w:b w:val="0"/>
          <w:i w:val="0"/>
          <w:strike w:val="0"/>
          <w:noProof w:val="0"/>
          <w:color w:val="000000"/>
          <w:position w:val="0"/>
          <w:sz w:val="20"/>
          <w:u w:val="none"/>
          <w:vertAlign w:val="baseline"/>
        </w:rPr>
        <w:t xml:space="preserve"> specifically, a group of historians, including Schwoerer, Charles, and Spitzer, urged the Court to revisit the history of the </w:t>
      </w:r>
      <w:hyperlink r:id="rId61" w:history="1">
        <w:r>
          <w:rPr>
            <w:rFonts w:ascii="arial" w:eastAsia="arial" w:hAnsi="arial" w:cs="arial"/>
            <w:b w:val="0"/>
            <w:i/>
            <w:strike w:val="0"/>
            <w:noProof w:val="0"/>
            <w:color w:val="0077CC"/>
            <w:position w:val="0"/>
            <w:sz w:val="20"/>
            <w:u w:val="single"/>
            <w:vertAlign w:val="baseline"/>
          </w:rPr>
          <w:t>English Bill of Rights</w:t>
        </w:r>
      </w:hyperlink>
      <w:r>
        <w:rPr>
          <w:rFonts w:ascii="arial" w:eastAsia="arial" w:hAnsi="arial" w:cs="arial"/>
          <w:b w:val="0"/>
          <w:i w:val="0"/>
          <w:strike w:val="0"/>
          <w:noProof w:val="0"/>
          <w:color w:val="000000"/>
          <w:position w:val="0"/>
          <w:sz w:val="20"/>
          <w:u w:val="none"/>
          <w:vertAlign w:val="baseline"/>
        </w:rPr>
        <w:t xml:space="preserve"> and related history.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Brief for English/Early American Historians as Amici Curiae in Support of Respondents, </w:t>
      </w:r>
      <w:r>
        <w:rPr>
          <w:rFonts w:ascii="arial" w:eastAsia="arial" w:hAnsi="arial" w:cs="arial"/>
          <w:b w:val="0"/>
          <w:i/>
          <w:strike w:val="0"/>
          <w:noProof w:val="0"/>
          <w:color w:val="000000"/>
          <w:position w:val="0"/>
          <w:sz w:val="20"/>
          <w:u w:val="none"/>
          <w:vertAlign w:val="baseline"/>
        </w:rPr>
        <w:t>McDonald v. City of Chicago</w:t>
      </w:r>
      <w:r>
        <w:rPr>
          <w:rFonts w:ascii="arial" w:eastAsia="arial" w:hAnsi="arial" w:cs="arial"/>
          <w:b w:val="0"/>
          <w:i w:val="0"/>
          <w:strike w:val="0"/>
          <w:noProof w:val="0"/>
          <w:color w:val="000000"/>
          <w:position w:val="0"/>
          <w:sz w:val="20"/>
          <w:u w:val="none"/>
          <w:vertAlign w:val="baseline"/>
        </w:rPr>
        <w:t>, No. 08-1521. They</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expressed what they said was the "overwhelming consensus among leading English historians" that the Court majority had misinterpreted English history. </w:t>
      </w:r>
      <w:bookmarkStart w:id="398" w:name="Bookmark_I6B11G192D6NMV0040000400"/>
      <w:bookmarkEnd w:id="398"/>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Another group of legal historians, including Cornell, submitted an amicus brief collecting evidence to show "that states and municipalities have long enjoyed authority to enact reasonable non-discriminatory gun safety regulations, including bans on the possession of particularly dangerous classes of weapons." Brief of Thirty-Four Professional Historians and Legal Historians as Amici Curiae in Support of Respondents at 2, </w:t>
      </w:r>
      <w:r>
        <w:rPr>
          <w:rFonts w:ascii="arial" w:eastAsia="arial" w:hAnsi="arial" w:cs="arial"/>
          <w:b w:val="0"/>
          <w:i/>
          <w:strike w:val="0"/>
          <w:noProof w:val="0"/>
          <w:color w:val="000000"/>
          <w:position w:val="0"/>
          <w:sz w:val="20"/>
          <w:u w:val="none"/>
          <w:vertAlign w:val="baseline"/>
        </w:rPr>
        <w:t>McDonald v. City of Chicago</w:t>
      </w:r>
      <w:r>
        <w:rPr>
          <w:rFonts w:ascii="arial" w:eastAsia="arial" w:hAnsi="arial" w:cs="arial"/>
          <w:b w:val="0"/>
          <w:i w:val="0"/>
          <w:strike w:val="0"/>
          <w:noProof w:val="0"/>
          <w:color w:val="000000"/>
          <w:position w:val="0"/>
          <w:sz w:val="20"/>
          <w:u w:val="none"/>
          <w:vertAlign w:val="baseline"/>
        </w:rPr>
        <w:t xml:space="preserve">, No. 08-1521. In </w:t>
      </w:r>
      <w:r>
        <w:rPr>
          <w:rFonts w:ascii="arial" w:eastAsia="arial" w:hAnsi="arial" w:cs="arial"/>
          <w:b w:val="0"/>
          <w:i/>
          <w:strike w:val="0"/>
          <w:noProof w:val="0"/>
          <w:color w:val="000000"/>
          <w:position w:val="0"/>
          <w:sz w:val="20"/>
          <w:u w:val="none"/>
          <w:vertAlign w:val="baseline"/>
        </w:rPr>
        <w:t>McDonald</w:t>
      </w:r>
      <w:r>
        <w:rPr>
          <w:rFonts w:ascii="arial" w:eastAsia="arial" w:hAnsi="arial" w:cs="arial"/>
          <w:b w:val="0"/>
          <w:i w:val="0"/>
          <w:strike w:val="0"/>
          <w:noProof w:val="0"/>
          <w:color w:val="000000"/>
          <w:position w:val="0"/>
          <w:sz w:val="20"/>
          <w:u w:val="none"/>
          <w:vertAlign w:val="baseline"/>
        </w:rPr>
        <w:t xml:space="preserve">, decided in 2010, the Court acknowledged "there is certainly room for disagreement about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xml:space="preserve">'s analysis of the history of the right to keep and bear arms," but "nothing written since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xml:space="preserve">" persuaded the Court to "reopen the question there decided." </w:t>
      </w:r>
      <w:bookmarkStart w:id="399" w:name="Bookmark_I6B11G192D6NMV0030000400"/>
      <w:bookmarkEnd w:id="399"/>
      <w:hyperlink r:id="rId25" w:history="1">
        <w:r>
          <w:rPr>
            <w:rFonts w:ascii="arial" w:eastAsia="arial" w:hAnsi="arial" w:cs="arial"/>
            <w:b w:val="0"/>
            <w:i/>
            <w:strike w:val="0"/>
            <w:noProof w:val="0"/>
            <w:color w:val="0077CC"/>
            <w:position w:val="0"/>
            <w:sz w:val="20"/>
            <w:u w:val="single"/>
            <w:vertAlign w:val="baseline"/>
          </w:rPr>
          <w:t>561 U.S. at 788</w:t>
        </w:r>
      </w:hyperlink>
      <w:r>
        <w:rPr>
          <w:rFonts w:ascii="arial" w:eastAsia="arial" w:hAnsi="arial" w:cs="arial"/>
          <w:b w:val="0"/>
          <w:i w:val="0"/>
          <w:strike w:val="0"/>
          <w:noProof w:val="0"/>
          <w:color w:val="000000"/>
          <w:position w:val="0"/>
          <w:sz w:val="20"/>
          <w:u w:val="none"/>
          <w:vertAlign w:val="baseline"/>
        </w:rPr>
        <w:t xml:space="preserve">. </w:t>
      </w:r>
      <w:bookmarkStart w:id="400" w:name="Bookmark_I6B11G1928T4320010000400"/>
      <w:bookmarkEnd w:id="400"/>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a group of linguistics experts urged the Court to revisit its conclusions about the meaning of the phrase "keep and bear arms" based on the new evidence from corpus linguistics searches.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Brief for Corpus Linguistics Professors and Experts as Amici Curiae Supporting Respondents, </w:t>
      </w:r>
      <w:r>
        <w:rPr>
          <w:rFonts w:ascii="arial" w:eastAsia="arial" w:hAnsi="arial" w:cs="arial"/>
          <w:b w:val="0"/>
          <w:i/>
          <w:strike w:val="0"/>
          <w:noProof w:val="0"/>
          <w:color w:val="000000"/>
          <w:position w:val="0"/>
          <w:sz w:val="20"/>
          <w:u w:val="none"/>
          <w:vertAlign w:val="baseline"/>
        </w:rPr>
        <w:t>N.Y. State</w:t>
      </w:r>
      <w:r>
        <w:rPr>
          <w:rFonts w:ascii="arial" w:eastAsia="arial" w:hAnsi="arial" w:cs="arial"/>
          <w:b/>
          <w:i/>
          <w:strike w:val="0"/>
          <w:noProof w:val="0"/>
          <w:color w:val="000000"/>
          <w:position w:val="0"/>
          <w:sz w:val="20"/>
          <w:u w:val="none"/>
          <w:vertAlign w:val="baseline"/>
        </w:rPr>
        <w:t> [**62] </w:t>
      </w:r>
      <w:r>
        <w:rPr>
          <w:rFonts w:ascii="arial" w:eastAsia="arial" w:hAnsi="arial" w:cs="arial"/>
          <w:b w:val="0"/>
          <w:i/>
          <w:strike w:val="0"/>
          <w:noProof w:val="0"/>
          <w:color w:val="000000"/>
          <w:position w:val="0"/>
          <w:sz w:val="20"/>
          <w:u w:val="none"/>
          <w:vertAlign w:val="baseline"/>
        </w:rPr>
        <w:t xml:space="preserve"> Rifle &amp; Pistol Ass'n v. Bruen</w:t>
      </w:r>
      <w:r>
        <w:rPr>
          <w:rFonts w:ascii="arial" w:eastAsia="arial" w:hAnsi="arial" w:cs="arial"/>
          <w:b w:val="0"/>
          <w:i w:val="0"/>
          <w:strike w:val="0"/>
          <w:noProof w:val="0"/>
          <w:color w:val="000000"/>
          <w:position w:val="0"/>
          <w:sz w:val="20"/>
          <w:u w:val="none"/>
          <w:vertAlign w:val="baseline"/>
        </w:rPr>
        <w:t xml:space="preserve">, No. 20-843. The dissenting justices in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cited the corpus linguistics amicus brief while the justices in the majority did not. See </w:t>
      </w:r>
      <w:bookmarkStart w:id="401" w:name="Bookmark_I6B11G192D6NMV0050000400"/>
      <w:bookmarkEnd w:id="401"/>
      <w:r>
        <w:rPr>
          <w:rFonts w:ascii="arial" w:eastAsia="arial" w:hAnsi="arial" w:cs="arial"/>
          <w:b w:val="0"/>
          <w:i/>
          <w:strike w:val="0"/>
          <w:noProof w:val="0"/>
          <w:color w:val="000000"/>
          <w:position w:val="0"/>
          <w:sz w:val="20"/>
          <w:u w:val="none"/>
          <w:vertAlign w:val="baseline"/>
        </w:rPr>
        <w:t>142 S. Ct. at 109-10</w:t>
      </w:r>
      <w:r>
        <w:rPr>
          <w:rFonts w:ascii="arial" w:eastAsia="arial" w:hAnsi="arial" w:cs="arial"/>
          <w:b w:val="0"/>
          <w:i w:val="0"/>
          <w:strike w:val="0"/>
          <w:noProof w:val="0"/>
          <w:color w:val="000000"/>
          <w:position w:val="0"/>
          <w:sz w:val="20"/>
          <w:u w:val="none"/>
          <w:vertAlign w:val="baseline"/>
        </w:rPr>
        <w:t xml:space="preserve"> (Breyer, J., dissenting).</w:t>
      </w:r>
    </w:p>
    <w:p>
      <w:pPr>
        <w:keepNext w:val="0"/>
        <w:spacing w:before="200" w:after="0" w:line="260" w:lineRule="atLeast"/>
        <w:ind w:left="0" w:right="0" w:firstLine="0"/>
        <w:jc w:val="both"/>
      </w:pPr>
      <w:bookmarkStart w:id="402" w:name="Bookmark_para_81"/>
      <w:bookmarkEnd w:id="402"/>
      <w:r>
        <w:rPr>
          <w:rFonts w:ascii="arial" w:eastAsia="arial" w:hAnsi="arial" w:cs="arial"/>
          <w:b w:val="0"/>
          <w:i w:val="0"/>
          <w:strike w:val="0"/>
          <w:noProof w:val="0"/>
          <w:color w:val="000000"/>
          <w:position w:val="0"/>
          <w:sz w:val="20"/>
          <w:u w:val="none"/>
          <w:vertAlign w:val="baseline"/>
        </w:rPr>
        <w:t xml:space="preserve">As Cornell puts it in the declaration he submitted in this case, "research is still ongoing: new materials continue to emerge; and since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was decided, additional evidence about the history of regulation has surfaced and new scholarship interpreting it has appeared in leading law reviews and other scholarly venues." Cornell Decl. Ex. A at 6 (citing </w:t>
      </w:r>
      <w:r>
        <w:rPr>
          <w:rFonts w:ascii="arial" w:eastAsia="arial" w:hAnsi="arial" w:cs="arial"/>
          <w:b w:val="0"/>
          <w:i/>
          <w:strike w:val="0"/>
          <w:noProof w:val="0"/>
          <w:color w:val="000000"/>
          <w:position w:val="0"/>
          <w:sz w:val="20"/>
          <w:u w:val="none"/>
          <w:vertAlign w:val="baseline"/>
        </w:rPr>
        <w:t xml:space="preserve">Symposium—The </w:t>
      </w:r>
      <w:hyperlink r:id="rId10" w:history="1">
        <w:r>
          <w:rPr>
            <w:rFonts w:ascii="arial" w:eastAsia="arial" w:hAnsi="arial" w:cs="arial"/>
            <w:b w:val="0"/>
            <w:i/>
            <w:strike w:val="0"/>
            <w:noProof w:val="0"/>
            <w:color w:val="0077CC"/>
            <w:position w:val="0"/>
            <w:sz w:val="20"/>
            <w:u w:val="single"/>
            <w:vertAlign w:val="baseline"/>
          </w:rPr>
          <w:t>2nd Amendment</w:t>
        </w:r>
      </w:hyperlink>
      <w:r>
        <w:rPr>
          <w:rFonts w:ascii="arial" w:eastAsia="arial" w:hAnsi="arial" w:cs="arial"/>
          <w:b w:val="0"/>
          <w:i/>
          <w:strike w:val="0"/>
          <w:noProof w:val="0"/>
          <w:color w:val="000000"/>
          <w:position w:val="0"/>
          <w:sz w:val="20"/>
          <w:u w:val="none"/>
          <w:vertAlign w:val="baseline"/>
        </w:rPr>
        <w:t xml:space="preserve"> at the Supreme Court: "700 Years Of History" and the Modern Effects of Guns in Public</w:t>
      </w:r>
      <w:r>
        <w:rPr>
          <w:rFonts w:ascii="arial" w:eastAsia="arial" w:hAnsi="arial" w:cs="arial"/>
          <w:b w:val="0"/>
          <w:i w:val="0"/>
          <w:strike w:val="0"/>
          <w:noProof w:val="0"/>
          <w:color w:val="000000"/>
          <w:position w:val="0"/>
          <w:sz w:val="20"/>
          <w:u w:val="none"/>
          <w:vertAlign w:val="baseline"/>
        </w:rPr>
        <w:t xml:space="preserve">, 55 U.S. Davis L. Rev. 2495 (2022); </w:t>
      </w:r>
      <w:r>
        <w:rPr>
          <w:rFonts w:ascii="arial" w:eastAsia="arial" w:hAnsi="arial" w:cs="arial"/>
          <w:b w:val="0"/>
          <w:i/>
          <w:strike w:val="0"/>
          <w:noProof w:val="0"/>
          <w:color w:val="000000"/>
          <w:position w:val="0"/>
          <w:sz w:val="20"/>
          <w:u w:val="none"/>
          <w:vertAlign w:val="baseline"/>
        </w:rPr>
        <w:t>New Histories of Gun Rights and Regulations: Essays on the Place of Guns in American Law and Society</w:t>
      </w:r>
      <w:r>
        <w:rPr>
          <w:rFonts w:ascii="arial" w:eastAsia="arial" w:hAnsi="arial" w:cs="arial"/>
          <w:b w:val="0"/>
          <w:i w:val="0"/>
          <w:strike w:val="0"/>
          <w:noProof w:val="0"/>
          <w:color w:val="000000"/>
          <w:position w:val="0"/>
          <w:sz w:val="20"/>
          <w:u w:val="none"/>
          <w:vertAlign w:val="baseline"/>
        </w:rPr>
        <w:t xml:space="preserve"> (Joseph Blocher, Jacob D. Charles &amp; Darrell A.H. Miller eds. 2023). In his opinion, "much more work needs to be done to fill out this picture."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03" w:name="Bookmark_para_82"/>
      <w:bookmarkEnd w:id="403"/>
      <w:r>
        <w:rPr>
          <w:rFonts w:ascii="arial" w:eastAsia="arial" w:hAnsi="arial" w:cs="arial"/>
          <w:b w:val="0"/>
          <w:i w:val="0"/>
          <w:strike w:val="0"/>
          <w:noProof w:val="0"/>
          <w:color w:val="000000"/>
          <w:position w:val="0"/>
          <w:sz w:val="20"/>
          <w:u w:val="none"/>
          <w:vertAlign w:val="baseline"/>
        </w:rPr>
        <w:t xml:space="preserve">In sum, although the Supreme Court's decisions in </w:t>
      </w:r>
      <w:r>
        <w:rPr>
          <w:rFonts w:ascii="arial" w:eastAsia="arial" w:hAnsi="arial" w:cs="arial"/>
          <w:b w:val="0"/>
          <w:i/>
          <w:strike w:val="0"/>
          <w:noProof w:val="0"/>
          <w:color w:val="000000"/>
          <w:position w:val="0"/>
          <w:sz w:val="20"/>
          <w:u w:val="none"/>
          <w:vertAlign w:val="baseline"/>
        </w:rPr>
        <w:t>Heller, McDonald</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settle the law this court must and will follow, these decisions did not settle the debate among historians of England, of </w:t>
      </w:r>
      <w:r>
        <w:rPr>
          <w:rFonts w:ascii="arial" w:eastAsia="arial" w:hAnsi="arial" w:cs="arial"/>
          <w:b/>
          <w:i w:val="0"/>
          <w:strike w:val="0"/>
          <w:noProof w:val="0"/>
          <w:color w:val="000000"/>
          <w:position w:val="0"/>
          <w:sz w:val="20"/>
          <w:u w:val="none"/>
          <w:vertAlign w:val="baseline"/>
        </w:rPr>
        <w:t> [*1118] </w:t>
      </w:r>
      <w:r>
        <w:rPr>
          <w:rFonts w:ascii="arial" w:eastAsia="arial" w:hAnsi="arial" w:cs="arial"/>
          <w:b w:val="0"/>
          <w:i w:val="0"/>
          <w:strike w:val="0"/>
          <w:noProof w:val="0"/>
          <w:color w:val="000000"/>
          <w:position w:val="0"/>
          <w:sz w:val="20"/>
          <w:u w:val="none"/>
          <w:vertAlign w:val="baseline"/>
        </w:rPr>
        <w:t xml:space="preserve"> colonial America, of firearms regulation, or of linguistics about what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meant to the people who adopted</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it in the founding era or, indirectly, in the reconstruction era. Nor does this court read the Supreme Court's decisions in </w:t>
      </w:r>
      <w:r>
        <w:rPr>
          <w:rFonts w:ascii="arial" w:eastAsia="arial" w:hAnsi="arial" w:cs="arial"/>
          <w:b w:val="0"/>
          <w:i/>
          <w:strike w:val="0"/>
          <w:noProof w:val="0"/>
          <w:color w:val="000000"/>
          <w:position w:val="0"/>
          <w:sz w:val="20"/>
          <w:u w:val="none"/>
          <w:vertAlign w:val="baseline"/>
        </w:rPr>
        <w:t>Heller, McDonald</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as closing the historical record that this court and other lower courts must review and interpret, in this case and others, about particular state firearm laws and regulations. Newly identified and different historical evidence, and new and different interpretations of that evidence by those who know it best, might prove decisive in this case and others even though that evidence and those opinions do not change the law as articulated by the Supreme Court and the federal courts of appeals.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DISCUSSION</w:t>
      </w:r>
    </w:p>
    <w:p>
      <w:pPr>
        <w:keepNext w:val="0"/>
        <w:spacing w:before="240" w:after="0" w:line="260" w:lineRule="atLeast"/>
        <w:ind w:left="0" w:right="0" w:firstLine="0"/>
        <w:jc w:val="both"/>
      </w:pPr>
      <w:bookmarkStart w:id="404" w:name="Bookmark_para_83"/>
      <w:bookmarkEnd w:id="404"/>
      <w:r>
        <w:rPr>
          <w:rFonts w:ascii="arial" w:eastAsia="arial" w:hAnsi="arial" w:cs="arial"/>
          <w:b w:val="0"/>
          <w:i w:val="0"/>
          <w:strike w:val="0"/>
          <w:noProof w:val="0"/>
          <w:color w:val="000000"/>
          <w:position w:val="0"/>
          <w:sz w:val="20"/>
          <w:u w:val="none"/>
          <w:vertAlign w:val="baseline"/>
        </w:rPr>
        <w:t xml:space="preserve">The court turns to the parties' motions and evidence, keeping the foregoing in mind. As a threshold matter, the court finds the </w:t>
      </w:r>
      <w:hyperlink r:id="rId10" w:history="1">
        <w:r>
          <w:rPr>
            <w:rFonts w:ascii="arial" w:eastAsia="arial" w:hAnsi="arial" w:cs="arial"/>
            <w:b w:val="0"/>
            <w:i/>
            <w:strike w:val="0"/>
            <w:noProof w:val="0"/>
            <w:color w:val="0077CC"/>
            <w:position w:val="0"/>
            <w:sz w:val="20"/>
            <w:u w:val="single"/>
            <w:vertAlign w:val="baseline"/>
          </w:rPr>
          <w:t>Second Amendment's</w:t>
        </w:r>
      </w:hyperlink>
      <w:r>
        <w:rPr>
          <w:rFonts w:ascii="arial" w:eastAsia="arial" w:hAnsi="arial" w:cs="arial"/>
          <w:b w:val="0"/>
          <w:i w:val="0"/>
          <w:strike w:val="0"/>
          <w:noProof w:val="0"/>
          <w:color w:val="000000"/>
          <w:position w:val="0"/>
          <w:sz w:val="20"/>
          <w:u w:val="none"/>
          <w:vertAlign w:val="baseline"/>
        </w:rPr>
        <w:t xml:space="preserve"> plain text covers Baird's and Gallardo's conduct, i.e., carrying firearms in public. California law prohibits people from carrying firearms in public without a license and allows for open firearms carrying in only some counties.</w:t>
      </w:r>
    </w:p>
    <w:p>
      <w:pPr>
        <w:keepNext w:val="0"/>
        <w:spacing w:before="240" w:after="0" w:line="260" w:lineRule="atLeast"/>
        <w:ind w:left="0" w:right="0" w:firstLine="0"/>
        <w:jc w:val="both"/>
      </w:pPr>
      <w:bookmarkStart w:id="405" w:name="Bookmark_para_84"/>
      <w:bookmarkEnd w:id="405"/>
      <w:r>
        <w:rPr>
          <w:rFonts w:ascii="arial" w:eastAsia="arial" w:hAnsi="arial" w:cs="arial"/>
          <w:b w:val="0"/>
          <w:i w:val="0"/>
          <w:strike w:val="0"/>
          <w:noProof w:val="0"/>
          <w:color w:val="000000"/>
          <w:position w:val="0"/>
          <w:sz w:val="20"/>
          <w:u w:val="none"/>
          <w:vertAlign w:val="baseline"/>
        </w:rPr>
        <w:t xml:space="preserve">California argues otherwise, as noted above. </w:t>
      </w:r>
      <w:bookmarkStart w:id="406" w:name="Bookmark_I6B11G1928T4320030000400"/>
      <w:bookmarkEnd w:id="406"/>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Def.'s Mem. at 5-7. </w:t>
      </w:r>
      <w:bookmarkStart w:id="407" w:name="Bookmark_I6B11G1928T4320050000400"/>
      <w:bookmarkEnd w:id="407"/>
      <w:r>
        <w:rPr>
          <w:rFonts w:ascii="arial" w:eastAsia="arial" w:hAnsi="arial" w:cs="arial"/>
          <w:b w:val="0"/>
          <w:i w:val="0"/>
          <w:strike w:val="0"/>
          <w:noProof w:val="0"/>
          <w:color w:val="000000"/>
          <w:position w:val="0"/>
          <w:sz w:val="20"/>
          <w:u w:val="none"/>
          <w:vertAlign w:val="baseline"/>
        </w:rPr>
        <w:t xml:space="preserve">To repeat, by the state's reading, "the text of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does not compel </w:t>
      </w:r>
      <w:r>
        <w:rPr>
          <w:rFonts w:ascii="arial" w:eastAsia="arial" w:hAnsi="arial" w:cs="arial"/>
          <w:b w:val="0"/>
          <w:i/>
          <w:strike w:val="0"/>
          <w:noProof w:val="0"/>
          <w:color w:val="000000"/>
          <w:position w:val="0"/>
          <w:sz w:val="20"/>
          <w:u w:val="none"/>
          <w:vertAlign w:val="baseline"/>
        </w:rPr>
        <w:t>unlicensed</w:t>
      </w:r>
      <w:r>
        <w:rPr>
          <w:rFonts w:ascii="arial" w:eastAsia="arial" w:hAnsi="arial" w:cs="arial"/>
          <w:b w:val="0"/>
          <w:i w:val="0"/>
          <w:strike w:val="0"/>
          <w:noProof w:val="0"/>
          <w:color w:val="000000"/>
          <w:position w:val="0"/>
          <w:sz w:val="20"/>
          <w:u w:val="none"/>
          <w:vertAlign w:val="baseline"/>
        </w:rPr>
        <w:t xml:space="preserve"> open carry,"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(emphasis in original),</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and does not bestow a right to carry firearms openly in all circumstances,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6. "[T]he term 'bear,'" it contends, as used in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"requires some form of public carry but does not require open carry."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support, the state cites the Supreme Court's observation in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that several "antebellum state-court decisions evince a consensus view that States could not altogether prohibit the public carry of 'arms' protected by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or state analogues." </w:t>
      </w:r>
      <w:bookmarkStart w:id="408" w:name="Bookmark_I6B11G1928T4320020000400"/>
      <w:bookmarkEnd w:id="408"/>
      <w:hyperlink r:id="rId11" w:history="1">
        <w:r>
          <w:rPr>
            <w:rFonts w:ascii="arial" w:eastAsia="arial" w:hAnsi="arial" w:cs="arial"/>
            <w:b w:val="0"/>
            <w:i/>
            <w:strike w:val="0"/>
            <w:noProof w:val="0"/>
            <w:color w:val="0077CC"/>
            <w:position w:val="0"/>
            <w:sz w:val="20"/>
            <w:u w:val="single"/>
            <w:vertAlign w:val="baseline"/>
          </w:rPr>
          <w:t>142 S. Ct. at 2147</w:t>
        </w:r>
      </w:hyperlink>
      <w:r>
        <w:rPr>
          <w:rFonts w:ascii="arial" w:eastAsia="arial" w:hAnsi="arial" w:cs="arial"/>
          <w:b w:val="0"/>
          <w:i w:val="0"/>
          <w:strike w:val="0"/>
          <w:noProof w:val="0"/>
          <w:color w:val="000000"/>
          <w:position w:val="0"/>
          <w:sz w:val="20"/>
          <w:u w:val="none"/>
          <w:vertAlign w:val="baseline"/>
        </w:rPr>
        <w:t xml:space="preserve">. </w:t>
      </w:r>
      <w:bookmarkStart w:id="409" w:name="Bookmark_I6B11G1928T4320050000400_2"/>
      <w:bookmarkEnd w:id="409"/>
      <w:r>
        <w:rPr>
          <w:rFonts w:ascii="arial" w:eastAsia="arial" w:hAnsi="arial" w:cs="arial"/>
          <w:b w:val="0"/>
          <w:i w:val="0"/>
          <w:strike w:val="0"/>
          <w:noProof w:val="0"/>
          <w:color w:val="000000"/>
          <w:position w:val="0"/>
          <w:sz w:val="20"/>
          <w:u w:val="none"/>
          <w:vertAlign w:val="baseline"/>
        </w:rPr>
        <w:t xml:space="preserve">The state similarly cites the Supreme Court's footnote cautioning against reading the majority opinion as invalidating "shall-issue" firearms licensing regulations, </w:t>
      </w:r>
      <w:bookmarkStart w:id="410" w:name="Bookmark_I6B11G1928T4320040000400"/>
      <w:bookmarkEnd w:id="410"/>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2138 n.9</w:t>
        </w:r>
      </w:hyperlink>
      <w:r>
        <w:rPr>
          <w:rFonts w:ascii="arial" w:eastAsia="arial" w:hAnsi="arial" w:cs="arial"/>
          <w:b w:val="0"/>
          <w:i w:val="0"/>
          <w:strike w:val="0"/>
          <w:noProof w:val="0"/>
          <w:color w:val="000000"/>
          <w:position w:val="0"/>
          <w:sz w:val="20"/>
          <w:u w:val="none"/>
          <w:vertAlign w:val="baseline"/>
        </w:rPr>
        <w:t xml:space="preserve">, as well as Justice Kavanaugh's concurring opinion, which makes a similar point, </w:t>
      </w:r>
      <w:r>
        <w:rPr>
          <w:rFonts w:ascii="arial" w:eastAsia="arial" w:hAnsi="arial" w:cs="arial"/>
          <w:b w:val="0"/>
          <w:i/>
          <w:strike w:val="0"/>
          <w:noProof w:val="0"/>
          <w:color w:val="000000"/>
          <w:position w:val="0"/>
          <w:sz w:val="20"/>
          <w:u w:val="none"/>
          <w:vertAlign w:val="baseline"/>
        </w:rPr>
        <w:t xml:space="preserve">see </w:t>
      </w:r>
      <w:bookmarkStart w:id="411" w:name="Bookmark_I6B11G192HM6B80010000400"/>
      <w:bookmarkEnd w:id="411"/>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2161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12" w:name="Bookmark_para_85"/>
      <w:bookmarkEnd w:id="412"/>
      <w:r>
        <w:rPr>
          <w:rFonts w:ascii="arial" w:eastAsia="arial" w:hAnsi="arial" w:cs="arial"/>
          <w:b w:val="0"/>
          <w:i w:val="0"/>
          <w:strike w:val="0"/>
          <w:noProof w:val="0"/>
          <w:color w:val="000000"/>
          <w:position w:val="0"/>
          <w:sz w:val="20"/>
          <w:u w:val="none"/>
          <w:vertAlign w:val="baseline"/>
        </w:rPr>
        <w:t xml:space="preserve">As explained further below, there is a long history of government restrictions on how guns can be carried. </w:t>
      </w:r>
      <w:bookmarkStart w:id="413" w:name="Bookmark_I6B11G192HM6B80040000400"/>
      <w:bookmarkEnd w:id="413"/>
      <w:r>
        <w:rPr>
          <w:rFonts w:ascii="arial" w:eastAsia="arial" w:hAnsi="arial" w:cs="arial"/>
          <w:b w:val="0"/>
          <w:i w:val="0"/>
          <w:strike w:val="0"/>
          <w:noProof w:val="0"/>
          <w:color w:val="000000"/>
          <w:position w:val="0"/>
          <w:sz w:val="20"/>
          <w:u w:val="none"/>
          <w:vertAlign w:val="baseline"/>
        </w:rPr>
        <w:t xml:space="preserve">Many state licensing regimes are likely consistent with that historical tradition. But this does not mean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offers no protection to those who would carry firearms openly in public. Under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protects the right of "ordinary, law-abiding," individual people "to 'bear' arms in public for self-defense." </w:t>
      </w:r>
      <w:bookmarkStart w:id="414" w:name="Bookmark_I6B11G192HM6B80030000400"/>
      <w:bookmarkEnd w:id="414"/>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2135</w:t>
        </w:r>
      </w:hyperlink>
      <w:r>
        <w:rPr>
          <w:rFonts w:ascii="arial" w:eastAsia="arial" w:hAnsi="arial" w:cs="arial"/>
          <w:b w:val="0"/>
          <w:i w:val="0"/>
          <w:strike w:val="0"/>
          <w:noProof w:val="0"/>
          <w:color w:val="000000"/>
          <w:position w:val="0"/>
          <w:sz w:val="20"/>
          <w:u w:val="none"/>
          <w:vertAlign w:val="baseline"/>
        </w:rPr>
        <w:t xml:space="preserve"> (majority opinion). </w:t>
      </w:r>
      <w:bookmarkStart w:id="415" w:name="Bookmark_I6B11G1928T4330010000400"/>
      <w:bookmarkEnd w:id="415"/>
      <w:r>
        <w:rPr>
          <w:rFonts w:ascii="arial" w:eastAsia="arial" w:hAnsi="arial" w:cs="arial"/>
          <w:b w:val="0"/>
          <w:i w:val="0"/>
          <w:strike w:val="0"/>
          <w:noProof w:val="0"/>
          <w:color w:val="000000"/>
          <w:position w:val="0"/>
          <w:sz w:val="20"/>
          <w:u w:val="none"/>
          <w:vertAlign w:val="baseline"/>
        </w:rPr>
        <w:t>For present purposes, the state does not dispute</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that Baird and Gallardo are ordinary, law-abiding citizens who wish to carry handguns in public for self-defense.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Baird Decl. ¶ 5; Gallardo Decl. ¶ 5. California law limits where and how Baird and Gallardo can carry firearms in public, so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"presumptively protects" their conduct in the face of that law. </w:t>
      </w:r>
      <w:bookmarkStart w:id="416" w:name="Bookmark_I6B11G192HM6B80050000400"/>
      <w:bookmarkEnd w:id="416"/>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2130</w:t>
        </w:r>
      </w:hyperlink>
      <w:r>
        <w:rPr>
          <w:rFonts w:ascii="arial" w:eastAsia="arial" w:hAnsi="arial" w:cs="arial"/>
          <w:b w:val="0"/>
          <w:i w:val="0"/>
          <w:strike w:val="0"/>
          <w:noProof w:val="0"/>
          <w:color w:val="000000"/>
          <w:position w:val="0"/>
          <w:sz w:val="20"/>
          <w:u w:val="none"/>
          <w:vertAlign w:val="baseline"/>
        </w:rPr>
        <w:t xml:space="preserve">. Thus, to prevail here, California must show its regulations are "consistent with the Nation's historical tradition of firearm regulation."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2126, 2130.</w:t>
      </w:r>
    </w:p>
    <w:p>
      <w:pPr>
        <w:keepNext w:val="0"/>
        <w:spacing w:before="200" w:after="0" w:line="260" w:lineRule="atLeast"/>
        <w:ind w:left="0" w:right="0" w:firstLine="0"/>
        <w:jc w:val="both"/>
      </w:pPr>
      <w:bookmarkStart w:id="417" w:name="Bookmark_para_86"/>
      <w:bookmarkEnd w:id="417"/>
      <w:r>
        <w:rPr>
          <w:rFonts w:ascii="arial" w:eastAsia="arial" w:hAnsi="arial" w:cs="arial"/>
          <w:b w:val="0"/>
          <w:i w:val="0"/>
          <w:strike w:val="0"/>
          <w:noProof w:val="0"/>
          <w:color w:val="000000"/>
          <w:position w:val="0"/>
          <w:sz w:val="20"/>
          <w:u w:val="none"/>
          <w:vertAlign w:val="baseline"/>
        </w:rPr>
        <w:t xml:space="preserve">This brings the court to the two questions posed by the parties' cross motions, previewed in the legal and procedural background above. First, can California require people to obtain a license before they carry handguns in public, regardless of whatever more specific restrictions the state might impose? Second, if so, are the specific terms of California's licensing system for open carry of handguns consistent with the country's history of firearm regulations? </w:t>
      </w:r>
      <w:r>
        <w:rPr>
          <w:rFonts w:ascii="arial" w:eastAsia="arial" w:hAnsi="arial" w:cs="arial"/>
          <w:b/>
          <w:i w:val="0"/>
          <w:strike w:val="0"/>
          <w:noProof w:val="0"/>
          <w:color w:val="000000"/>
          <w:position w:val="0"/>
          <w:sz w:val="20"/>
          <w:u w:val="none"/>
          <w:vertAlign w:val="baseline"/>
        </w:rPr>
        <w:t> [*1119] </w:t>
      </w:r>
      <w:r>
        <w:rPr>
          <w:rFonts w:ascii="arial" w:eastAsia="arial" w:hAnsi="arial" w:cs="arial"/>
          <w:b w:val="0"/>
          <w:i w:val="0"/>
          <w:strike w:val="0"/>
          <w:noProof w:val="0"/>
          <w:color w:val="000000"/>
          <w:position w:val="0"/>
          <w:sz w:val="20"/>
          <w:u w:val="none"/>
          <w:vertAlign w:val="baseline"/>
        </w:rPr>
        <w:t xml:space="preserve"> And in both instances the question is facial: are the state's laws unconstitutional in all circumstances? The court answers these questions in the next two subsections.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California may require a license of those who carry handguns in public</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8" w:name="Bookmark_para_87"/>
      <w:bookmarkEnd w:id="418"/>
      <w:bookmarkStart w:id="419" w:name="Bookmark_I6B11G1928T4330030000400"/>
      <w:bookmarkEnd w:id="419"/>
      <w:r>
        <w:rPr>
          <w:rFonts w:ascii="arial" w:eastAsia="arial" w:hAnsi="arial" w:cs="arial"/>
          <w:b w:val="0"/>
          <w:i w:val="0"/>
          <w:strike w:val="0"/>
          <w:noProof w:val="0"/>
          <w:color w:val="000000"/>
          <w:position w:val="0"/>
          <w:sz w:val="20"/>
          <w:u w:val="none"/>
          <w:vertAlign w:val="baseline"/>
        </w:rPr>
        <w:t>The Supreme Court has</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all but confirmed that states may require people to obtain licenses before they carry firearms in public. </w:t>
      </w:r>
      <w:bookmarkStart w:id="420" w:name="Bookmark_I6B11G1928T4330050000400"/>
      <w:bookmarkEnd w:id="420"/>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xml:space="preserve">, after interpreting the </w:t>
      </w:r>
      <w:hyperlink r:id="rId10" w:history="1">
        <w:r>
          <w:rPr>
            <w:rFonts w:ascii="arial" w:eastAsia="arial" w:hAnsi="arial" w:cs="arial"/>
            <w:b w:val="0"/>
            <w:i/>
            <w:strike w:val="0"/>
            <w:noProof w:val="0"/>
            <w:color w:val="0077CC"/>
            <w:position w:val="0"/>
            <w:sz w:val="20"/>
            <w:u w:val="single"/>
            <w:vertAlign w:val="baseline"/>
          </w:rPr>
          <w:t>Second Amendment's</w:t>
        </w:r>
      </w:hyperlink>
      <w:r>
        <w:rPr>
          <w:rFonts w:ascii="arial" w:eastAsia="arial" w:hAnsi="arial" w:cs="arial"/>
          <w:b w:val="0"/>
          <w:i w:val="0"/>
          <w:strike w:val="0"/>
          <w:noProof w:val="0"/>
          <w:color w:val="000000"/>
          <w:position w:val="0"/>
          <w:sz w:val="20"/>
          <w:u w:val="none"/>
          <w:vertAlign w:val="baseline"/>
        </w:rPr>
        <w:t xml:space="preserve"> "operative clause"—i.e., that "the right of the people to keep and bear Arms, shall not be infringed"—the Court cautioned that this right, like others guaranteed in the </w:t>
      </w:r>
      <w:hyperlink r:id="rId61" w:history="1">
        <w:r>
          <w:rPr>
            <w:rFonts w:ascii="arial" w:eastAsia="arial" w:hAnsi="arial" w:cs="arial"/>
            <w:b w:val="0"/>
            <w:i/>
            <w:strike w:val="0"/>
            <w:noProof w:val="0"/>
            <w:color w:val="0077CC"/>
            <w:position w:val="0"/>
            <w:sz w:val="20"/>
            <w:u w:val="single"/>
            <w:vertAlign w:val="baseline"/>
          </w:rPr>
          <w:t>Bill of Rights</w:t>
        </w:r>
      </w:hyperlink>
      <w:r>
        <w:rPr>
          <w:rFonts w:ascii="arial" w:eastAsia="arial" w:hAnsi="arial" w:cs="arial"/>
          <w:b w:val="0"/>
          <w:i w:val="0"/>
          <w:strike w:val="0"/>
          <w:noProof w:val="0"/>
          <w:color w:val="000000"/>
          <w:position w:val="0"/>
          <w:sz w:val="20"/>
          <w:u w:val="none"/>
          <w:vertAlign w:val="baseline"/>
        </w:rPr>
        <w:t xml:space="preserve">, was "not unlimited." </w:t>
      </w:r>
      <w:bookmarkStart w:id="421" w:name="Bookmark_I6B11G1928T4330020000400"/>
      <w:bookmarkEnd w:id="421"/>
      <w:hyperlink r:id="rId22" w:history="1">
        <w:r>
          <w:rPr>
            <w:rFonts w:ascii="arial" w:eastAsia="arial" w:hAnsi="arial" w:cs="arial"/>
            <w:b w:val="0"/>
            <w:i/>
            <w:strike w:val="0"/>
            <w:noProof w:val="0"/>
            <w:color w:val="0077CC"/>
            <w:position w:val="0"/>
            <w:sz w:val="20"/>
            <w:u w:val="single"/>
            <w:vertAlign w:val="baseline"/>
          </w:rPr>
          <w:t>554 U.S. at 595</w:t>
        </w:r>
      </w:hyperlink>
      <w:r>
        <w:rPr>
          <w:rFonts w:ascii="arial" w:eastAsia="arial" w:hAnsi="arial" w:cs="arial"/>
          <w:b w:val="0"/>
          <w:i w:val="0"/>
          <w:strike w:val="0"/>
          <w:noProof w:val="0"/>
          <w:color w:val="000000"/>
          <w:position w:val="0"/>
          <w:sz w:val="20"/>
          <w:u w:val="none"/>
          <w:vertAlign w:val="baseline"/>
        </w:rPr>
        <w:t xml:space="preserve">. </w:t>
      </w:r>
      <w:bookmarkStart w:id="422" w:name="Bookmark_I6B11G192HM6BB0040000400"/>
      <w:bookmarkEnd w:id="422"/>
      <w:r>
        <w:rPr>
          <w:rFonts w:ascii="arial" w:eastAsia="arial" w:hAnsi="arial" w:cs="arial"/>
          <w:b w:val="0"/>
          <w:i w:val="0"/>
          <w:strike w:val="0"/>
          <w:noProof w:val="0"/>
          <w:color w:val="000000"/>
          <w:position w:val="0"/>
          <w:sz w:val="20"/>
          <w:u w:val="none"/>
          <w:vertAlign w:val="baseline"/>
        </w:rPr>
        <w:t xml:space="preserve">By way of example, the Court noted, the </w:t>
      </w:r>
      <w:hyperlink r:id="rId6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prohibits Congress from making any law "abridging the freedom of speech," but Congress did not violate the </w:t>
      </w:r>
      <w:hyperlink r:id="rId6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when it criminalized offering images depicting the sexual abuse of children. </w:t>
      </w:r>
      <w:bookmarkStart w:id="423" w:name="Bookmark_I6B11G192HM6BB0040000400_2"/>
      <w:bookmarkEnd w:id="423"/>
      <w:bookmarkStart w:id="424" w:name="Bookmark_I6B11G1928T4330050000400_2"/>
      <w:bookmarkEnd w:id="424"/>
      <w:bookmarkStart w:id="425" w:name="Bookmark_I6B11G192D6NMY0010000400"/>
      <w:bookmarkEnd w:id="425"/>
      <w:r>
        <w:rPr>
          <w:rFonts w:ascii="arial" w:eastAsia="arial" w:hAnsi="arial" w:cs="arial"/>
          <w:b w:val="0"/>
          <w:i/>
          <w:strike w:val="0"/>
          <w:noProof w:val="0"/>
          <w:color w:val="000000"/>
          <w:position w:val="0"/>
          <w:sz w:val="20"/>
          <w:u w:val="none"/>
          <w:vertAlign w:val="baseline"/>
        </w:rPr>
        <w:t xml:space="preserve">See generally </w:t>
      </w:r>
      <w:bookmarkStart w:id="426" w:name="Bookmark_I6B11G1928T4330040000400"/>
      <w:bookmarkEnd w:id="426"/>
      <w:hyperlink r:id="rId93" w:history="1">
        <w:r>
          <w:rPr>
            <w:rFonts w:ascii="arial" w:eastAsia="arial" w:hAnsi="arial" w:cs="arial"/>
            <w:b w:val="0"/>
            <w:i/>
            <w:strike w:val="0"/>
            <w:noProof w:val="0"/>
            <w:color w:val="0077CC"/>
            <w:position w:val="0"/>
            <w:sz w:val="20"/>
            <w:u w:val="single"/>
            <w:vertAlign w:val="baseline"/>
          </w:rPr>
          <w:t>United States v. Williams</w:t>
        </w:r>
      </w:hyperlink>
      <w:hyperlink r:id="rId93" w:history="1">
        <w:r>
          <w:rPr>
            <w:rFonts w:ascii="arial" w:eastAsia="arial" w:hAnsi="arial" w:cs="arial"/>
            <w:b w:val="0"/>
            <w:i/>
            <w:strike w:val="0"/>
            <w:noProof w:val="0"/>
            <w:color w:val="0077CC"/>
            <w:position w:val="0"/>
            <w:sz w:val="20"/>
            <w:u w:val="single"/>
            <w:vertAlign w:val="baseline"/>
          </w:rPr>
          <w:t>, 553 U.S. 285, 128 S. Ct. 1830, 170 L. Ed. 2d 650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cited in </w:t>
      </w:r>
      <w:bookmarkStart w:id="427" w:name="Bookmark_I6B11G192HM6BB0010000400"/>
      <w:bookmarkEnd w:id="427"/>
      <w:hyperlink r:id="rId22" w:history="1">
        <w:r>
          <w:rPr>
            <w:rFonts w:ascii="arial" w:eastAsia="arial" w:hAnsi="arial" w:cs="arial"/>
            <w:b w:val="0"/>
            <w:i/>
            <w:strike w:val="0"/>
            <w:noProof w:val="0"/>
            <w:color w:val="0077CC"/>
            <w:position w:val="0"/>
            <w:sz w:val="20"/>
            <w:u w:val="single"/>
            <w:vertAlign w:val="baseline"/>
          </w:rPr>
          <w:t>Heller</w:t>
        </w:r>
      </w:hyperlink>
      <w:hyperlink r:id="rId22" w:history="1">
        <w:r>
          <w:rPr>
            <w:rFonts w:ascii="arial" w:eastAsia="arial" w:hAnsi="arial" w:cs="arial"/>
            <w:b w:val="0"/>
            <w:i/>
            <w:strike w:val="0"/>
            <w:noProof w:val="0"/>
            <w:color w:val="0077CC"/>
            <w:position w:val="0"/>
            <w:sz w:val="20"/>
            <w:u w:val="single"/>
            <w:vertAlign w:val="baseline"/>
          </w:rPr>
          <w:t>, 554 U.S. at 595</w:t>
        </w:r>
      </w:hyperlink>
      <w:r>
        <w:rPr>
          <w:rFonts w:ascii="arial" w:eastAsia="arial" w:hAnsi="arial" w:cs="arial"/>
          <w:b w:val="0"/>
          <w:i w:val="0"/>
          <w:strike w:val="0"/>
          <w:noProof w:val="0"/>
          <w:color w:val="000000"/>
          <w:position w:val="0"/>
          <w:sz w:val="20"/>
          <w:u w:val="none"/>
          <w:vertAlign w:val="baseline"/>
        </w:rPr>
        <w:t xml:space="preserve">. </w:t>
      </w:r>
      <w:bookmarkStart w:id="428" w:name="Bookmark_I6B11G192D6NMY0010000400_2"/>
      <w:bookmarkEnd w:id="428"/>
      <w:r>
        <w:rPr>
          <w:rFonts w:ascii="arial" w:eastAsia="arial" w:hAnsi="arial" w:cs="arial"/>
          <w:b w:val="0"/>
          <w:i w:val="0"/>
          <w:strike w:val="0"/>
          <w:noProof w:val="0"/>
          <w:color w:val="000000"/>
          <w:position w:val="0"/>
          <w:sz w:val="20"/>
          <w:u w:val="none"/>
          <w:vertAlign w:val="baseline"/>
        </w:rPr>
        <w:t xml:space="preserve">Likewise,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does not "protect the right of citizens to carry arms for </w:t>
      </w:r>
      <w:r>
        <w:rPr>
          <w:rFonts w:ascii="arial" w:eastAsia="arial" w:hAnsi="arial" w:cs="arial"/>
          <w:b w:val="0"/>
          <w:i/>
          <w:strike w:val="0"/>
          <w:noProof w:val="0"/>
          <w:color w:val="000000"/>
          <w:position w:val="0"/>
          <w:sz w:val="20"/>
          <w:u w:val="none"/>
          <w:vertAlign w:val="baseline"/>
        </w:rPr>
        <w:t>any sort</w:t>
      </w:r>
      <w:r>
        <w:rPr>
          <w:rFonts w:ascii="arial" w:eastAsia="arial" w:hAnsi="arial" w:cs="arial"/>
          <w:b w:val="0"/>
          <w:i w:val="0"/>
          <w:strike w:val="0"/>
          <w:noProof w:val="0"/>
          <w:color w:val="000000"/>
          <w:position w:val="0"/>
          <w:sz w:val="20"/>
          <w:u w:val="none"/>
          <w:vertAlign w:val="baseline"/>
        </w:rPr>
        <w:t xml:space="preserve"> of confrontation." </w:t>
      </w:r>
      <w:bookmarkStart w:id="429" w:name="Bookmark_I6B11G192HM6BB0030000400"/>
      <w:bookmarkEnd w:id="429"/>
      <w:hyperlink r:id="rId22" w:history="1">
        <w:r>
          <w:rPr>
            <w:rFonts w:ascii="arial" w:eastAsia="arial" w:hAnsi="arial" w:cs="arial"/>
            <w:b w:val="0"/>
            <w:i/>
            <w:strike w:val="0"/>
            <w:noProof w:val="0"/>
            <w:color w:val="0077CC"/>
            <w:position w:val="0"/>
            <w:sz w:val="20"/>
            <w:u w:val="single"/>
            <w:vertAlign w:val="baseline"/>
          </w:rPr>
          <w:t>Heller</w:t>
        </w:r>
      </w:hyperlink>
      <w:hyperlink r:id="rId22" w:history="1">
        <w:r>
          <w:rPr>
            <w:rFonts w:ascii="arial" w:eastAsia="arial" w:hAnsi="arial" w:cs="arial"/>
            <w:b w:val="0"/>
            <w:i/>
            <w:strike w:val="0"/>
            <w:noProof w:val="0"/>
            <w:color w:val="0077CC"/>
            <w:position w:val="0"/>
            <w:sz w:val="20"/>
            <w:u w:val="single"/>
            <w:vertAlign w:val="baseline"/>
          </w:rPr>
          <w:t>, 554 U.S. at 595</w:t>
        </w:r>
      </w:hyperlink>
      <w:r>
        <w:rPr>
          <w:rFonts w:ascii="arial" w:eastAsia="arial" w:hAnsi="arial" w:cs="arial"/>
          <w:b w:val="0"/>
          <w:i w:val="0"/>
          <w:strike w:val="0"/>
          <w:noProof w:val="0"/>
          <w:color w:val="000000"/>
          <w:position w:val="0"/>
          <w:sz w:val="20"/>
          <w:u w:val="none"/>
          <w:vertAlign w:val="baseline"/>
        </w:rPr>
        <w:t xml:space="preserve"> (emphasis in original). </w:t>
      </w:r>
      <w:bookmarkStart w:id="430" w:name="Bookmark_I6B11G192D6NMY0010000400_3"/>
      <w:bookmarkEnd w:id="430"/>
      <w:bookmarkStart w:id="431" w:name="Bookmark_I6B11G192D6NMY0030000400"/>
      <w:bookmarkEnd w:id="431"/>
      <w:r>
        <w:rPr>
          <w:rFonts w:ascii="arial" w:eastAsia="arial" w:hAnsi="arial" w:cs="arial"/>
          <w:b w:val="0"/>
          <w:i w:val="0"/>
          <w:strike w:val="0"/>
          <w:noProof w:val="0"/>
          <w:color w:val="000000"/>
          <w:position w:val="0"/>
          <w:sz w:val="20"/>
          <w:u w:val="none"/>
          <w:vertAlign w:val="baseline"/>
        </w:rPr>
        <w:t xml:space="preserve">"From Blackstone through the 19th-century cases, commentators and courts routinely explained that the right was not a right to keep and carry any weapon whatsoever in any manner whatsoever and for whatever purpose." </w:t>
      </w:r>
      <w:bookmarkStart w:id="432" w:name="Bookmark_I6B11G192HM6BB0050000400"/>
      <w:bookmarkEnd w:id="432"/>
      <w:hyperlink r:id="rId22" w:history="1">
        <w:r>
          <w:rPr>
            <w:rFonts w:ascii="arial" w:eastAsia="arial" w:hAnsi="arial" w:cs="arial"/>
            <w:b w:val="0"/>
            <w:i/>
            <w:strike w:val="0"/>
            <w:noProof w:val="0"/>
            <w:color w:val="0077CC"/>
            <w:position w:val="0"/>
            <w:sz w:val="20"/>
            <w:u w:val="single"/>
            <w:vertAlign w:val="baseline"/>
          </w:rPr>
          <w:t>Id.</w:t>
        </w:r>
      </w:hyperlink>
      <w:hyperlink r:id="rId22" w:history="1">
        <w:r>
          <w:rPr>
            <w:rFonts w:ascii="arial" w:eastAsia="arial" w:hAnsi="arial" w:cs="arial"/>
            <w:b w:val="0"/>
            <w:i/>
            <w:strike w:val="0"/>
            <w:noProof w:val="0"/>
            <w:color w:val="0077CC"/>
            <w:position w:val="0"/>
            <w:sz w:val="20"/>
            <w:u w:val="single"/>
            <w:vertAlign w:val="baseline"/>
          </w:rPr>
          <w:t xml:space="preserve"> at 626</w:t>
        </w:r>
      </w:hyperlink>
      <w:r>
        <w:rPr>
          <w:rFonts w:ascii="arial" w:eastAsia="arial" w:hAnsi="arial" w:cs="arial"/>
          <w:b w:val="0"/>
          <w:i w:val="0"/>
          <w:strike w:val="0"/>
          <w:noProof w:val="0"/>
          <w:color w:val="000000"/>
          <w:position w:val="0"/>
          <w:sz w:val="20"/>
          <w:u w:val="none"/>
          <w:vertAlign w:val="baseline"/>
        </w:rPr>
        <w:t xml:space="preserve">. </w:t>
      </w:r>
      <w:bookmarkStart w:id="433" w:name="Bookmark_I6B11G192D6NMY0030000400_2"/>
      <w:bookmarkEnd w:id="433"/>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the Supreme Court expressed no doubts that governments could prohibit concealed weapons, could keep weapons from those who suffer from mental illnesses or have been convicted of a felony, could prohibit weapons in schools and government buildings, could impose</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"conditions and qualifications on the commercial sale of arms," and could impose other similar limits. </w:t>
      </w:r>
      <w:bookmarkStart w:id="434" w:name="Bookmark_I6B11G192D6NMY0020000400"/>
      <w:bookmarkEnd w:id="434"/>
      <w:hyperlink r:id="rId22" w:history="1">
        <w:r>
          <w:rPr>
            <w:rFonts w:ascii="arial" w:eastAsia="arial" w:hAnsi="arial" w:cs="arial"/>
            <w:b w:val="0"/>
            <w:i/>
            <w:strike w:val="0"/>
            <w:noProof w:val="0"/>
            <w:color w:val="0077CC"/>
            <w:position w:val="0"/>
            <w:sz w:val="20"/>
            <w:u w:val="single"/>
            <w:vertAlign w:val="baseline"/>
          </w:rPr>
          <w:t>Id.</w:t>
        </w:r>
      </w:hyperlink>
      <w:hyperlink r:id="rId22" w:history="1">
        <w:r>
          <w:rPr>
            <w:rFonts w:ascii="arial" w:eastAsia="arial" w:hAnsi="arial" w:cs="arial"/>
            <w:b w:val="0"/>
            <w:i/>
            <w:strike w:val="0"/>
            <w:noProof w:val="0"/>
            <w:color w:val="0077CC"/>
            <w:position w:val="0"/>
            <w:sz w:val="20"/>
            <w:u w:val="single"/>
            <w:vertAlign w:val="baseline"/>
          </w:rPr>
          <w:t xml:space="preserve"> at 626-27 &amp; n.26</w:t>
        </w:r>
      </w:hyperlink>
      <w:r>
        <w:rPr>
          <w:rFonts w:ascii="arial" w:eastAsia="arial" w:hAnsi="arial" w:cs="arial"/>
          <w:b w:val="0"/>
          <w:i w:val="0"/>
          <w:strike w:val="0"/>
          <w:noProof w:val="0"/>
          <w:color w:val="000000"/>
          <w:position w:val="0"/>
          <w:sz w:val="20"/>
          <w:u w:val="none"/>
          <w:vertAlign w:val="baseline"/>
        </w:rPr>
        <w:t>. If a state can impose these restrictions, it stands to reason it could impose the restrictions with a licensing system.</w:t>
      </w:r>
    </w:p>
    <w:p>
      <w:pPr>
        <w:keepNext w:val="0"/>
        <w:spacing w:before="240" w:after="0" w:line="260" w:lineRule="atLeast"/>
        <w:ind w:left="0" w:right="0" w:firstLine="0"/>
        <w:jc w:val="both"/>
      </w:pPr>
      <w:bookmarkStart w:id="435" w:name="Bookmark_para_88"/>
      <w:bookmarkEnd w:id="435"/>
      <w:bookmarkStart w:id="436" w:name="Bookmark_I6B11G192D6NMY0050000400"/>
      <w:bookmarkEnd w:id="436"/>
      <w:r>
        <w:rPr>
          <w:rFonts w:ascii="arial" w:eastAsia="arial" w:hAnsi="arial" w:cs="arial"/>
          <w:b w:val="0"/>
          <w:i w:val="0"/>
          <w:strike w:val="0"/>
          <w:noProof w:val="0"/>
          <w:color w:val="000000"/>
          <w:position w:val="0"/>
          <w:sz w:val="20"/>
          <w:u w:val="none"/>
          <w:vertAlign w:val="baseline"/>
        </w:rPr>
        <w:t xml:space="preserve">As the Supreme Court put it in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protects the right of "ordinary, law-abiding citizens" to possess handguns in the home and in public for self-defense. </w:t>
      </w:r>
      <w:bookmarkStart w:id="437" w:name="Bookmark_I6B11G192D6NMY0040000400"/>
      <w:bookmarkEnd w:id="437"/>
      <w:hyperlink r:id="rId11" w:history="1">
        <w:r>
          <w:rPr>
            <w:rFonts w:ascii="arial" w:eastAsia="arial" w:hAnsi="arial" w:cs="arial"/>
            <w:b w:val="0"/>
            <w:i/>
            <w:strike w:val="0"/>
            <w:noProof w:val="0"/>
            <w:color w:val="0077CC"/>
            <w:position w:val="0"/>
            <w:sz w:val="20"/>
            <w:u w:val="single"/>
            <w:vertAlign w:val="baseline"/>
          </w:rPr>
          <w:t>Bruen</w:t>
        </w:r>
      </w:hyperlink>
      <w:hyperlink r:id="rId11" w:history="1">
        <w:r>
          <w:rPr>
            <w:rFonts w:ascii="arial" w:eastAsia="arial" w:hAnsi="arial" w:cs="arial"/>
            <w:b w:val="0"/>
            <w:i/>
            <w:strike w:val="0"/>
            <w:noProof w:val="0"/>
            <w:color w:val="0077CC"/>
            <w:position w:val="0"/>
            <w:sz w:val="20"/>
            <w:u w:val="single"/>
            <w:vertAlign w:val="baseline"/>
          </w:rPr>
          <w:t>, 142 S. Ct. at 2122</w:t>
        </w:r>
      </w:hyperlink>
      <w:r>
        <w:rPr>
          <w:rFonts w:ascii="arial" w:eastAsia="arial" w:hAnsi="arial" w:cs="arial"/>
          <w:b w:val="0"/>
          <w:i w:val="0"/>
          <w:strike w:val="0"/>
          <w:noProof w:val="0"/>
          <w:color w:val="000000"/>
          <w:position w:val="0"/>
          <w:sz w:val="20"/>
          <w:u w:val="none"/>
          <w:vertAlign w:val="baseline"/>
        </w:rPr>
        <w:t xml:space="preserve">. For that reason, people who are not "ordinary, law-abiding citizens" cannot claim these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protections under the Supreme Court's decisions in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xml:space="preserve">. If states must not infringe the rights of "ordinary, law-abiding citizens" to possess handguns in the home and in public for self-defense, but may forbid others from possessing the same guns,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must allow states to distinguish "ordinary, law-abiding citizens" from others somehow, including by requiring a license.</w:t>
      </w:r>
    </w:p>
    <w:p>
      <w:pPr>
        <w:keepNext w:val="0"/>
        <w:spacing w:before="200" w:after="0" w:line="260" w:lineRule="atLeast"/>
        <w:ind w:left="0" w:right="0" w:firstLine="0"/>
        <w:jc w:val="both"/>
      </w:pPr>
      <w:bookmarkStart w:id="438" w:name="Bookmark_para_89"/>
      <w:bookmarkEnd w:id="438"/>
      <w:bookmarkStart w:id="439" w:name="Bookmark_I6B11G1928T4350020000400"/>
      <w:bookmarkEnd w:id="439"/>
      <w:r>
        <w:rPr>
          <w:rFonts w:ascii="arial" w:eastAsia="arial" w:hAnsi="arial" w:cs="arial"/>
          <w:b w:val="0"/>
          <w:i w:val="0"/>
          <w:strike w:val="0"/>
          <w:noProof w:val="0"/>
          <w:color w:val="000000"/>
          <w:position w:val="0"/>
          <w:sz w:val="20"/>
          <w:u w:val="none"/>
          <w:vertAlign w:val="baseline"/>
        </w:rPr>
        <w:t xml:space="preserve">The Court majority confirmed as much in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and made clear its opinion should not be interpreted as upending most states' licensing systems.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440" w:name="Bookmark_I6B11G1928T4350010000400"/>
      <w:bookmarkEnd w:id="440"/>
      <w:hyperlink r:id="rId11" w:history="1">
        <w:r>
          <w:rPr>
            <w:rFonts w:ascii="arial" w:eastAsia="arial" w:hAnsi="arial" w:cs="arial"/>
            <w:b w:val="0"/>
            <w:i/>
            <w:strike w:val="0"/>
            <w:noProof w:val="0"/>
            <w:color w:val="0077CC"/>
            <w:position w:val="0"/>
            <w:sz w:val="20"/>
            <w:u w:val="single"/>
            <w:vertAlign w:val="baseline"/>
          </w:rPr>
          <w:t>142 S. Ct. at 2138 n.9</w:t>
        </w:r>
      </w:hyperlink>
      <w:r>
        <w:rPr>
          <w:rFonts w:ascii="arial" w:eastAsia="arial" w:hAnsi="arial" w:cs="arial"/>
          <w:b w:val="0"/>
          <w:i w:val="0"/>
          <w:strike w:val="0"/>
          <w:noProof w:val="0"/>
          <w:color w:val="000000"/>
          <w:position w:val="0"/>
          <w:sz w:val="20"/>
          <w:u w:val="none"/>
          <w:vertAlign w:val="baseline"/>
        </w:rPr>
        <w:t>. The nearly universal "shall-issue" systems in states other than New York and California required merely "a background check" or a "firearms safety course," conditions the majority described</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as "designed to ensure only that those bearing arms in the jurisdiction are, in fact, 'law-abiding, responsible citizens.'"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majority noted just one caveat: "any permitting scheme can be put toward abusive ends," so it did not "rule out constitutional challenges to shall-issue regimes where, for example, lengthy wait times in processing license applications or exorbitant fees deny ordinary citizens their right to public carry."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441" w:name="Bookmark_para_90"/>
      <w:bookmarkEnd w:id="441"/>
      <w:r>
        <w:rPr>
          <w:rFonts w:ascii="arial" w:eastAsia="arial" w:hAnsi="arial" w:cs="arial"/>
          <w:b/>
          <w:i w:val="0"/>
          <w:strike w:val="0"/>
          <w:noProof w:val="0"/>
          <w:color w:val="000000"/>
          <w:position w:val="0"/>
          <w:sz w:val="20"/>
          <w:u w:val="none"/>
          <w:vertAlign w:val="baseline"/>
        </w:rPr>
        <w:t> [*1120] </w:t>
      </w:r>
      <w:r>
        <w:rPr>
          <w:rFonts w:ascii="arial" w:eastAsia="arial" w:hAnsi="arial" w:cs="arial"/>
          <w:b w:val="0"/>
          <w:i w:val="0"/>
          <w:strike w:val="0"/>
          <w:noProof w:val="0"/>
          <w:color w:val="000000"/>
          <w:position w:val="0"/>
          <w:sz w:val="20"/>
          <w:u w:val="none"/>
          <w:vertAlign w:val="baseline"/>
        </w:rPr>
        <w:t xml:space="preserve"> </w:t>
      </w:r>
      <w:bookmarkStart w:id="442" w:name="Bookmark_I6B11G1928T4350040000400"/>
      <w:bookmarkEnd w:id="442"/>
      <w:bookmarkStart w:id="443" w:name="Bookmark_I6B11G192SF7SH0010000400"/>
      <w:bookmarkEnd w:id="443"/>
      <w:bookmarkStart w:id="444" w:name="Bookmark_I6B11G192SF7SH0050000400"/>
      <w:bookmarkEnd w:id="444"/>
      <w:r>
        <w:rPr>
          <w:rFonts w:ascii="arial" w:eastAsia="arial" w:hAnsi="arial" w:cs="arial"/>
          <w:b w:val="0"/>
          <w:i w:val="0"/>
          <w:strike w:val="0"/>
          <w:noProof w:val="0"/>
          <w:color w:val="000000"/>
          <w:position w:val="0"/>
          <w:sz w:val="20"/>
          <w:u w:val="none"/>
          <w:vertAlign w:val="baseline"/>
        </w:rPr>
        <w:t xml:space="preserve">Justice Alito made a similar point in his concurring opinion. </w:t>
      </w:r>
      <w:bookmarkStart w:id="445" w:name="Bookmark_I6B11G192SF7SH0030000400"/>
      <w:bookmarkEnd w:id="445"/>
      <w:r>
        <w:rPr>
          <w:rFonts w:ascii="arial" w:eastAsia="arial" w:hAnsi="arial" w:cs="arial"/>
          <w:b w:val="0"/>
          <w:i w:val="0"/>
          <w:strike w:val="0"/>
          <w:noProof w:val="0"/>
          <w:color w:val="000000"/>
          <w:position w:val="0"/>
          <w:sz w:val="20"/>
          <w:u w:val="none"/>
          <w:vertAlign w:val="baseline"/>
        </w:rPr>
        <w:t xml:space="preserve">"All that we decide in this case is that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protects the right of law-abiding people to carry a gun outside the home for self-defense and that the Sullivan Law,</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which makes that virtually impossible for most New Yorkers, is unconstitutional." </w:t>
      </w:r>
      <w:bookmarkStart w:id="448" w:name="Bookmark_I6B11G1928T4350030000400"/>
      <w:bookmarkEnd w:id="448"/>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2159</w:t>
        </w:r>
      </w:hyperlink>
      <w:r>
        <w:rPr>
          <w:rFonts w:ascii="arial" w:eastAsia="arial" w:hAnsi="arial" w:cs="arial"/>
          <w:b w:val="0"/>
          <w:i w:val="0"/>
          <w:strike w:val="0"/>
          <w:noProof w:val="0"/>
          <w:color w:val="000000"/>
          <w:position w:val="0"/>
          <w:sz w:val="20"/>
          <w:u w:val="none"/>
          <w:vertAlign w:val="baseline"/>
        </w:rPr>
        <w:t xml:space="preserve">. "Our holding decides nothing about who may lawfully possess a firearm or the requirements that must be met to buy a gun." </w:t>
      </w:r>
      <w:bookmarkStart w:id="449" w:name="Bookmark_I6B11G1928T4350050000400"/>
      <w:bookmarkEnd w:id="449"/>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2157</w:t>
        </w:r>
      </w:hyperlink>
      <w:r>
        <w:rPr>
          <w:rFonts w:ascii="arial" w:eastAsia="arial" w:hAnsi="arial" w:cs="arial"/>
          <w:b w:val="0"/>
          <w:i w:val="0"/>
          <w:strike w:val="0"/>
          <w:noProof w:val="0"/>
          <w:color w:val="000000"/>
          <w:position w:val="0"/>
          <w:sz w:val="20"/>
          <w:u w:val="none"/>
          <w:vertAlign w:val="baseline"/>
        </w:rPr>
        <w:t xml:space="preserve">. </w:t>
      </w:r>
      <w:bookmarkStart w:id="450" w:name="Bookmark_I6B11G192SF7SH0030000400_2"/>
      <w:bookmarkEnd w:id="450"/>
      <w:r>
        <w:rPr>
          <w:rFonts w:ascii="arial" w:eastAsia="arial" w:hAnsi="arial" w:cs="arial"/>
          <w:b w:val="0"/>
          <w:i w:val="0"/>
          <w:strike w:val="0"/>
          <w:noProof w:val="0"/>
          <w:color w:val="000000"/>
          <w:position w:val="0"/>
          <w:sz w:val="20"/>
          <w:u w:val="none"/>
          <w:vertAlign w:val="baseline"/>
        </w:rPr>
        <w:t xml:space="preserve">"Nor have we disturbed anything that we said in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McDonald</w:t>
      </w:r>
      <w:r>
        <w:rPr>
          <w:rFonts w:ascii="arial" w:eastAsia="arial" w:hAnsi="arial" w:cs="arial"/>
          <w:b w:val="0"/>
          <w:i w:val="0"/>
          <w:strike w:val="0"/>
          <w:noProof w:val="0"/>
          <w:color w:val="000000"/>
          <w:position w:val="0"/>
          <w:sz w:val="20"/>
          <w:u w:val="none"/>
          <w:vertAlign w:val="baseline"/>
        </w:rPr>
        <w:t xml:space="preserve"> about restrictions that may be imposed on the possession or carrying of guns." </w:t>
      </w:r>
      <w:bookmarkStart w:id="451" w:name="Bookmark_I6B11G192SF7SH0020000400"/>
      <w:bookmarkEnd w:id="451"/>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2157</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452" w:name="Bookmark_para_91"/>
      <w:bookmarkEnd w:id="452"/>
      <w:bookmarkStart w:id="453" w:name="Bookmark_I6B11G192N1RF60020000400"/>
      <w:bookmarkEnd w:id="453"/>
      <w:r>
        <w:rPr>
          <w:rFonts w:ascii="arial" w:eastAsia="arial" w:hAnsi="arial" w:cs="arial"/>
          <w:b w:val="0"/>
          <w:i w:val="0"/>
          <w:strike w:val="0"/>
          <w:noProof w:val="0"/>
          <w:color w:val="000000"/>
          <w:position w:val="0"/>
          <w:sz w:val="20"/>
          <w:u w:val="none"/>
          <w:vertAlign w:val="baseline"/>
        </w:rPr>
        <w:t>Justice Kavanaugh concurred and wrote separately, joined by Chief Justice Roberts, to underscore "the Court's decision does not prohibit states from</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imposing licensing requirements for carrying a handgun for self-defense." </w:t>
      </w:r>
      <w:bookmarkStart w:id="454" w:name="Bookmark_I6B11G192N1RF60010000400"/>
      <w:bookmarkEnd w:id="454"/>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2161</w:t>
        </w:r>
      </w:hyperlink>
      <w:r>
        <w:rPr>
          <w:rFonts w:ascii="arial" w:eastAsia="arial" w:hAnsi="arial" w:cs="arial"/>
          <w:b w:val="0"/>
          <w:i w:val="0"/>
          <w:strike w:val="0"/>
          <w:noProof w:val="0"/>
          <w:color w:val="000000"/>
          <w:position w:val="0"/>
          <w:sz w:val="20"/>
          <w:u w:val="none"/>
          <w:vertAlign w:val="baseline"/>
        </w:rPr>
        <w:t xml:space="preserve">. </w:t>
      </w:r>
      <w:bookmarkStart w:id="455" w:name="Bookmark_I6B11G192N1RF60040000400"/>
      <w:bookmarkEnd w:id="455"/>
      <w:r>
        <w:rPr>
          <w:rFonts w:ascii="arial" w:eastAsia="arial" w:hAnsi="arial" w:cs="arial"/>
          <w:b w:val="0"/>
          <w:i w:val="0"/>
          <w:strike w:val="0"/>
          <w:noProof w:val="0"/>
          <w:color w:val="000000"/>
          <w:position w:val="0"/>
          <w:sz w:val="20"/>
          <w:u w:val="none"/>
          <w:vertAlign w:val="baseline"/>
        </w:rPr>
        <w:t xml:space="preserve">Rather, they clarified, the Court addressed "only the unusual discretionary licensing regimes, known as 'may-issue' regimes, that are employed by 6 States including New York."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states that impose "objective" requirements, such as fingerprinting, a background check, mental health records check, and training, could continue to impose those requirements.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fact, the petitioners seeking vindication of their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rights in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had conceded at oral arguments that objective licensing schemes were constitutional. </w:t>
      </w:r>
      <w:bookmarkStart w:id="456" w:name="Bookmark_I6B11G192N1RF60040000400_2"/>
      <w:bookmarkEnd w:id="456"/>
      <w:bookmarkStart w:id="457" w:name="Bookmark_I6B11G192HM6BC0010000400"/>
      <w:bookmarkEnd w:id="457"/>
      <w:bookmarkStart w:id="458" w:name="Bookmark_I6B11G192N1RF60030000400"/>
      <w:bookmarkEnd w:id="458"/>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2162</w:t>
        </w:r>
      </w:hyperlink>
      <w:r>
        <w:rPr>
          <w:rFonts w:ascii="arial" w:eastAsia="arial" w:hAnsi="arial" w:cs="arial"/>
          <w:b w:val="0"/>
          <w:i w:val="0"/>
          <w:strike w:val="0"/>
          <w:noProof w:val="0"/>
          <w:color w:val="000000"/>
          <w:position w:val="0"/>
          <w:sz w:val="20"/>
          <w:u w:val="none"/>
          <w:vertAlign w:val="baseline"/>
        </w:rPr>
        <w:t xml:space="preserve">. </w:t>
      </w:r>
      <w:bookmarkStart w:id="459" w:name="Bookmark_I6B11G192HM6BC0010000400_2"/>
      <w:bookmarkEnd w:id="459"/>
      <w:r>
        <w:rPr>
          <w:rFonts w:ascii="arial" w:eastAsia="arial" w:hAnsi="arial" w:cs="arial"/>
          <w:b w:val="0"/>
          <w:i w:val="0"/>
          <w:strike w:val="0"/>
          <w:noProof w:val="0"/>
          <w:color w:val="000000"/>
          <w:position w:val="0"/>
          <w:sz w:val="20"/>
          <w:u w:val="none"/>
          <w:vertAlign w:val="baseline"/>
        </w:rPr>
        <w:t xml:space="preserve">Thus in the future, the 43 states that used "objective shall-issue licensing regimes" could "continue to do so."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Similarly, the 6 states that had imposed a "good cause" or "proper cause" requirement, like California, could also require licenses if they employed only "objective licensing requirements like those used by the 43 shall18 issue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Even if no other justice in the majority agreed with Justices Kavanaugh and Roberts, the three dissenting justices believed New York's law was constitutional. </w:t>
      </w:r>
      <w:bookmarkStart w:id="460" w:name="Bookmark_I6B11G192HM6BC0030000400"/>
      <w:bookmarkEnd w:id="460"/>
      <w:r>
        <w:rPr>
          <w:rFonts w:ascii="arial" w:eastAsia="arial" w:hAnsi="arial" w:cs="arial"/>
          <w:b w:val="0"/>
          <w:i/>
          <w:strike w:val="0"/>
          <w:noProof w:val="0"/>
          <w:color w:val="000000"/>
          <w:position w:val="0"/>
          <w:sz w:val="20"/>
          <w:u w:val="none"/>
          <w:vertAlign w:val="baseline"/>
        </w:rPr>
        <w:t xml:space="preserve">See </w:t>
      </w:r>
      <w:bookmarkStart w:id="461" w:name="Bookmark_I6B11G192N1RF60050000400"/>
      <w:bookmarkEnd w:id="461"/>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2164</w:t>
        </w:r>
      </w:hyperlink>
      <w:r>
        <w:rPr>
          <w:rFonts w:ascii="arial" w:eastAsia="arial" w:hAnsi="arial" w:cs="arial"/>
          <w:b w:val="0"/>
          <w:i w:val="0"/>
          <w:strike w:val="0"/>
          <w:noProof w:val="0"/>
          <w:color w:val="000000"/>
          <w:position w:val="0"/>
          <w:sz w:val="20"/>
          <w:u w:val="none"/>
          <w:vertAlign w:val="baseline"/>
        </w:rPr>
        <w:t xml:space="preserve"> (Breyer, J. dissenting). </w:t>
      </w:r>
      <w:bookmarkStart w:id="462" w:name="Bookmark_I6B11G192HM6BC0030000400_2"/>
      <w:bookmarkEnd w:id="462"/>
      <w:r>
        <w:rPr>
          <w:rFonts w:ascii="arial" w:eastAsia="arial" w:hAnsi="arial" w:cs="arial"/>
          <w:b w:val="0"/>
          <w:i w:val="0"/>
          <w:strike w:val="0"/>
          <w:noProof w:val="0"/>
          <w:color w:val="000000"/>
          <w:position w:val="0"/>
          <w:sz w:val="20"/>
          <w:u w:val="none"/>
          <w:vertAlign w:val="baseline"/>
        </w:rPr>
        <w:t>For that reason, Justice Kavanaugh's concurrence controlled:</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states may not demand "good" or "proper" cause, but may continue issuing and requiring licenses. </w:t>
      </w:r>
      <w:r>
        <w:rPr>
          <w:rFonts w:ascii="arial" w:eastAsia="arial" w:hAnsi="arial" w:cs="arial"/>
          <w:b w:val="0"/>
          <w:i/>
          <w:strike w:val="0"/>
          <w:noProof w:val="0"/>
          <w:color w:val="000000"/>
          <w:position w:val="0"/>
          <w:sz w:val="20"/>
          <w:u w:val="none"/>
          <w:vertAlign w:val="baseline"/>
        </w:rPr>
        <w:t xml:space="preserve">See </w:t>
      </w:r>
      <w:bookmarkStart w:id="463" w:name="Bookmark_I6B11G192HM6BC0020000400"/>
      <w:bookmarkEnd w:id="463"/>
      <w:hyperlink r:id="rId94" w:history="1">
        <w:r>
          <w:rPr>
            <w:rFonts w:ascii="arial" w:eastAsia="arial" w:hAnsi="arial" w:cs="arial"/>
            <w:b w:val="0"/>
            <w:i/>
            <w:strike w:val="0"/>
            <w:noProof w:val="0"/>
            <w:color w:val="0077CC"/>
            <w:position w:val="0"/>
            <w:sz w:val="20"/>
            <w:u w:val="single"/>
            <w:vertAlign w:val="baseline"/>
          </w:rPr>
          <w:t>Marks v. United States</w:t>
        </w:r>
      </w:hyperlink>
      <w:hyperlink r:id="rId94" w:history="1">
        <w:r>
          <w:rPr>
            <w:rFonts w:ascii="arial" w:eastAsia="arial" w:hAnsi="arial" w:cs="arial"/>
            <w:b w:val="0"/>
            <w:i/>
            <w:strike w:val="0"/>
            <w:noProof w:val="0"/>
            <w:color w:val="0077CC"/>
            <w:position w:val="0"/>
            <w:sz w:val="20"/>
            <w:u w:val="single"/>
            <w:vertAlign w:val="baseline"/>
          </w:rPr>
          <w:t>, 430 U.S. 188, 193, 97 S. Ct. 990, 51 L. Ed. 2d 260 (1977)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64" w:name="Bookmark_para_92"/>
      <w:bookmarkEnd w:id="464"/>
      <w:r>
        <w:rPr>
          <w:rFonts w:ascii="arial" w:eastAsia="arial" w:hAnsi="arial" w:cs="arial"/>
          <w:b w:val="0"/>
          <w:i w:val="0"/>
          <w:strike w:val="0"/>
          <w:noProof w:val="0"/>
          <w:color w:val="000000"/>
          <w:position w:val="0"/>
          <w:sz w:val="20"/>
          <w:u w:val="none"/>
          <w:vertAlign w:val="baseline"/>
        </w:rPr>
        <w:t xml:space="preserve">California no longer demands "good cause" or "proper cause" for handgun licenses, and no evidence in the record shows the state—rather than local officials—charges exorbitant fees or forces people to wait a long time for a license. For these reasons, the Court's decisions in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do not prohibit California from requiring Baird and Gallardo to obtain a license before carrying a gun in public. If anything,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confirms a state like California may require a license without violating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65" w:name="Bookmark_para_93"/>
      <w:bookmarkEnd w:id="465"/>
      <w:bookmarkStart w:id="466" w:name="Bookmark_I6B11G192HM6BC0050000400"/>
      <w:bookmarkEnd w:id="466"/>
      <w:r>
        <w:rPr>
          <w:rFonts w:ascii="arial" w:eastAsia="arial" w:hAnsi="arial" w:cs="arial"/>
          <w:b w:val="0"/>
          <w:i w:val="0"/>
          <w:strike w:val="0"/>
          <w:noProof w:val="0"/>
          <w:color w:val="000000"/>
          <w:position w:val="0"/>
          <w:sz w:val="20"/>
          <w:u w:val="none"/>
          <w:vertAlign w:val="baseline"/>
        </w:rPr>
        <w:t xml:space="preserve">Other federal district courts have reached the same conclusion in adjudicating challenges to state licensing and registration laws after </w:t>
      </w:r>
      <w:r>
        <w:rPr>
          <w:rFonts w:ascii="arial" w:eastAsia="arial" w:hAnsi="arial" w:cs="arial"/>
          <w:b w:val="0"/>
          <w:i/>
          <w:strike w:val="0"/>
          <w:noProof w:val="0"/>
          <w:color w:val="000000"/>
          <w:position w:val="0"/>
          <w:sz w:val="20"/>
          <w:u w:val="none"/>
          <w:vertAlign w:val="baseline"/>
        </w:rPr>
        <w:t xml:space="preserve">Bruen. </w:t>
      </w:r>
      <w:bookmarkStart w:id="467" w:name="Bookmark_I6B11G192HM6BH0040000400"/>
      <w:bookmarkEnd w:id="467"/>
      <w:r>
        <w:rPr>
          <w:rFonts w:ascii="arial" w:eastAsia="arial" w:hAnsi="arial" w:cs="arial"/>
          <w:b w:val="0"/>
          <w:i/>
          <w:strike w:val="0"/>
          <w:noProof w:val="0"/>
          <w:color w:val="000000"/>
          <w:position w:val="0"/>
          <w:sz w:val="20"/>
          <w:u w:val="none"/>
          <w:vertAlign w:val="baseline"/>
        </w:rPr>
        <w:t>See, e.g.</w:t>
      </w:r>
      <w:bookmarkStart w:id="468" w:name="Bookmark_I6B11G192HM6BH0040000400_2"/>
      <w:bookmarkEnd w:id="468"/>
      <w:r>
        <w:rPr>
          <w:rFonts w:ascii="arial" w:eastAsia="arial" w:hAnsi="arial" w:cs="arial"/>
          <w:b w:val="0"/>
          <w:i w:val="0"/>
          <w:strike w:val="0"/>
          <w:noProof w:val="0"/>
          <w:color w:val="000000"/>
          <w:position w:val="0"/>
          <w:sz w:val="20"/>
          <w:u w:val="none"/>
          <w:vertAlign w:val="baseline"/>
        </w:rPr>
        <w:t xml:space="preserve">, </w:t>
      </w:r>
      <w:bookmarkStart w:id="469" w:name="Bookmark_I6B11G192HM6BC0040000400"/>
      <w:bookmarkEnd w:id="469"/>
      <w:hyperlink r:id="rId95" w:history="1">
        <w:r>
          <w:rPr>
            <w:rFonts w:ascii="arial" w:eastAsia="arial" w:hAnsi="arial" w:cs="arial"/>
            <w:b w:val="0"/>
            <w:i/>
            <w:strike w:val="0"/>
            <w:noProof w:val="0"/>
            <w:color w:val="0077CC"/>
            <w:position w:val="0"/>
            <w:sz w:val="20"/>
            <w:u w:val="single"/>
            <w:vertAlign w:val="baseline"/>
          </w:rPr>
          <w:t>Cupp v. Harris</w:t>
        </w:r>
      </w:hyperlink>
      <w:hyperlink r:id="rId95" w:history="1">
        <w:r>
          <w:rPr>
            <w:rFonts w:ascii="arial" w:eastAsia="arial" w:hAnsi="arial" w:cs="arial"/>
            <w:b w:val="0"/>
            <w:i/>
            <w:strike w:val="0"/>
            <w:noProof w:val="0"/>
            <w:color w:val="0077CC"/>
            <w:position w:val="0"/>
            <w:sz w:val="20"/>
            <w:u w:val="single"/>
            <w:vertAlign w:val="baseline"/>
          </w:rPr>
          <w:t>, No. 16-00523, 2023 U.S. Dist. LEXIS 149056, 2023 WL 5488420, at *5-6 &amp; n.4 (E.D. Cal. Aug. 24, 2023)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reconsideration denied</w:t>
      </w:r>
      <w:r>
        <w:rPr>
          <w:rFonts w:ascii="arial" w:eastAsia="arial" w:hAnsi="arial" w:cs="arial"/>
          <w:b w:val="0"/>
          <w:i w:val="0"/>
          <w:strike w:val="0"/>
          <w:noProof w:val="0"/>
          <w:color w:val="000000"/>
          <w:position w:val="0"/>
          <w:sz w:val="20"/>
          <w:u w:val="none"/>
          <w:vertAlign w:val="baseline"/>
        </w:rPr>
        <w:t xml:space="preserve">, </w:t>
      </w:r>
      <w:hyperlink r:id="rId96" w:history="1">
        <w:r>
          <w:rPr>
            <w:rFonts w:ascii="arial" w:eastAsia="arial" w:hAnsi="arial" w:cs="arial"/>
            <w:b w:val="0"/>
            <w:i/>
            <w:strike w:val="0"/>
            <w:noProof w:val="0"/>
            <w:color w:val="0077CC"/>
            <w:position w:val="0"/>
            <w:sz w:val="20"/>
            <w:u w:val="single"/>
            <w:vertAlign w:val="baseline"/>
          </w:rPr>
          <w:t>2023 U.S. Dist. LEXIS 183993, 2023 WL 6626118 (E.D. Cal. Oct. 11, 2023)</w:t>
        </w:r>
      </w:hyperlink>
      <w:r>
        <w:rPr>
          <w:rFonts w:ascii="arial" w:eastAsia="arial" w:hAnsi="arial" w:cs="arial"/>
          <w:b w:val="0"/>
          <w:i w:val="0"/>
          <w:strike w:val="0"/>
          <w:noProof w:val="0"/>
          <w:color w:val="000000"/>
          <w:position w:val="0"/>
          <w:sz w:val="20"/>
          <w:u w:val="none"/>
          <w:vertAlign w:val="baseline"/>
        </w:rPr>
        <w:t xml:space="preserve">; </w:t>
      </w:r>
      <w:bookmarkStart w:id="470" w:name="Bookmark_I6B11G192HM6BH0010000400"/>
      <w:bookmarkEnd w:id="470"/>
      <w:hyperlink r:id="rId97" w:history="1">
        <w:r>
          <w:rPr>
            <w:rFonts w:ascii="arial" w:eastAsia="arial" w:hAnsi="arial" w:cs="arial"/>
            <w:b w:val="0"/>
            <w:i/>
            <w:strike w:val="0"/>
            <w:noProof w:val="0"/>
            <w:color w:val="0077CC"/>
            <w:position w:val="0"/>
            <w:sz w:val="20"/>
            <w:u w:val="single"/>
            <w:vertAlign w:val="baseline"/>
          </w:rPr>
          <w:t>Frey v. Nigrelli</w:t>
        </w:r>
      </w:hyperlink>
      <w:hyperlink r:id="rId97" w:history="1">
        <w:r>
          <w:rPr>
            <w:rFonts w:ascii="arial" w:eastAsia="arial" w:hAnsi="arial" w:cs="arial"/>
            <w:b w:val="0"/>
            <w:i/>
            <w:strike w:val="0"/>
            <w:noProof w:val="0"/>
            <w:color w:val="0077CC"/>
            <w:position w:val="0"/>
            <w:sz w:val="20"/>
            <w:u w:val="single"/>
            <w:vertAlign w:val="baseline"/>
          </w:rPr>
          <w:t>, 661 F. Supp. 3d 176, No. 21-05334, 2023 U.S. Dist. LEXIS 42067, 2023 WL 2473375, at *12 (S.D.N.Y. Mar. 13, 2023)</w:t>
        </w:r>
      </w:hyperlink>
      <w:r>
        <w:rPr>
          <w:rFonts w:ascii="arial" w:eastAsia="arial" w:hAnsi="arial" w:cs="arial"/>
          <w:b w:val="0"/>
          <w:i w:val="0"/>
          <w:strike w:val="0"/>
          <w:noProof w:val="0"/>
          <w:color w:val="000000"/>
          <w:position w:val="0"/>
          <w:sz w:val="20"/>
          <w:u w:val="none"/>
          <w:vertAlign w:val="baseline"/>
        </w:rPr>
        <w:t xml:space="preserve">. But in some of these decisions, courts did not rely solely on that conclusion. </w:t>
      </w:r>
      <w:bookmarkStart w:id="471" w:name="Bookmark_I6B11G192HM6BH0040000400_3"/>
      <w:bookmarkEnd w:id="471"/>
      <w:bookmarkStart w:id="472" w:name="Bookmark_I6B11G192N1RFF0010000400"/>
      <w:bookmarkEnd w:id="472"/>
      <w:r>
        <w:rPr>
          <w:rFonts w:ascii="arial" w:eastAsia="arial" w:hAnsi="arial" w:cs="arial"/>
          <w:b w:val="0"/>
          <w:i w:val="0"/>
          <w:strike w:val="0"/>
          <w:noProof w:val="0"/>
          <w:color w:val="000000"/>
          <w:position w:val="0"/>
          <w:sz w:val="20"/>
          <w:u w:val="none"/>
          <w:vertAlign w:val="baseline"/>
        </w:rPr>
        <w:t xml:space="preserve">In </w:t>
      </w:r>
      <w:bookmarkStart w:id="473" w:name="Bookmark_I6B11G192N1RFF0010000400_2"/>
      <w:bookmarkEnd w:id="473"/>
      <w:bookmarkStart w:id="474" w:name="Bookmark_I6B11G192HM6BH0040000400_4"/>
      <w:bookmarkEnd w:id="474"/>
      <w:bookmarkStart w:id="475" w:name="Bookmark_I6B11G192HM6BH0030000400"/>
      <w:bookmarkEnd w:id="475"/>
      <w:hyperlink r:id="rId97" w:history="1">
        <w:r>
          <w:rPr>
            <w:rFonts w:ascii="arial" w:eastAsia="arial" w:hAnsi="arial" w:cs="arial"/>
            <w:b w:val="0"/>
            <w:i/>
            <w:strike w:val="0"/>
            <w:noProof w:val="0"/>
            <w:color w:val="0077CC"/>
            <w:position w:val="0"/>
            <w:sz w:val="20"/>
            <w:u w:val="single"/>
            <w:vertAlign w:val="baseline"/>
          </w:rPr>
          <w:t>Frey</w:t>
        </w:r>
      </w:hyperlink>
      <w:bookmarkStart w:id="476" w:name="Bookmark_I6B11G192N1RFF0030000400"/>
      <w:bookmarkEnd w:id="476"/>
      <w:r>
        <w:rPr>
          <w:rFonts w:ascii="arial" w:eastAsia="arial" w:hAnsi="arial" w:cs="arial"/>
          <w:b w:val="0"/>
          <w:i w:val="0"/>
          <w:strike w:val="0"/>
          <w:noProof w:val="0"/>
          <w:color w:val="000000"/>
          <w:position w:val="0"/>
          <w:sz w:val="20"/>
          <w:u w:val="none"/>
          <w:vertAlign w:val="baseline"/>
        </w:rPr>
        <w:t xml:space="preserve">, for example, the district court did not stop after concluding that New York City could use an objective licensing system, but rather continued and considered whether cities and other local governments could impose their own regulations.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477" w:name="Bookmark_I6B11G192HM6BH0050000400"/>
      <w:bookmarkEnd w:id="477"/>
      <w:hyperlink r:id="rId97" w:history="1">
        <w:r>
          <w:rPr>
            <w:rFonts w:ascii="arial" w:eastAsia="arial" w:hAnsi="arial" w:cs="arial"/>
            <w:b w:val="0"/>
            <w:i/>
            <w:strike w:val="0"/>
            <w:noProof w:val="0"/>
            <w:color w:val="0077CC"/>
            <w:position w:val="0"/>
            <w:sz w:val="20"/>
            <w:u w:val="single"/>
            <w:vertAlign w:val="baseline"/>
          </w:rPr>
          <w:t>2023 U.S. Dist. LEXIS 42067, 2023 WL 2473375, at *13</w:t>
        </w:r>
      </w:hyperlink>
      <w:r>
        <w:rPr>
          <w:rFonts w:ascii="arial" w:eastAsia="arial" w:hAnsi="arial" w:cs="arial"/>
          <w:b w:val="0"/>
          <w:i w:val="0"/>
          <w:strike w:val="0"/>
          <w:noProof w:val="0"/>
          <w:color w:val="000000"/>
          <w:position w:val="0"/>
          <w:sz w:val="20"/>
          <w:u w:val="none"/>
          <w:vertAlign w:val="baseline"/>
        </w:rPr>
        <w:t xml:space="preserve">. </w:t>
      </w:r>
      <w:bookmarkStart w:id="478" w:name="Bookmark_I6B11G192N1RFF0030000400_2"/>
      <w:bookmarkEnd w:id="478"/>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val="0"/>
          <w:strike w:val="0"/>
          <w:noProof w:val="0"/>
          <w:color w:val="000000"/>
          <w:position w:val="0"/>
          <w:sz w:val="20"/>
          <w:u w:val="none"/>
          <w:vertAlign w:val="baseline"/>
        </w:rPr>
        <w:t> [*1121] </w:t>
      </w:r>
      <w:r>
        <w:rPr>
          <w:rFonts w:ascii="arial" w:eastAsia="arial" w:hAnsi="arial" w:cs="arial"/>
          <w:b w:val="0"/>
          <w:i w:val="0"/>
          <w:strike w:val="0"/>
          <w:noProof w:val="0"/>
          <w:color w:val="000000"/>
          <w:position w:val="0"/>
          <w:sz w:val="20"/>
          <w:u w:val="none"/>
          <w:vertAlign w:val="baseline"/>
        </w:rPr>
        <w:t xml:space="preserve"> public's and the parties' interests in completeness and certainty persuade this</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court to engage in further analysis here. That is, the court will consider directly whether licensing systems in general are "consistent with this Nation's historical tradition of firearm regulation." </w:t>
      </w:r>
      <w:r>
        <w:rPr>
          <w:rFonts w:ascii="arial" w:eastAsia="arial" w:hAnsi="arial" w:cs="arial"/>
          <w:b w:val="0"/>
          <w:i/>
          <w:strike w:val="0"/>
          <w:noProof w:val="0"/>
          <w:color w:val="000000"/>
          <w:position w:val="0"/>
          <w:sz w:val="20"/>
          <w:u w:val="none"/>
          <w:vertAlign w:val="baseline"/>
        </w:rPr>
        <w:t xml:space="preserve">See </w:t>
      </w:r>
      <w:bookmarkStart w:id="479" w:name="Bookmark_I6B11G192N1RFF0020000400"/>
      <w:bookmarkEnd w:id="479"/>
      <w:hyperlink r:id="rId11" w:history="1">
        <w:r>
          <w:rPr>
            <w:rFonts w:ascii="arial" w:eastAsia="arial" w:hAnsi="arial" w:cs="arial"/>
            <w:b w:val="0"/>
            <w:i/>
            <w:strike w:val="0"/>
            <w:noProof w:val="0"/>
            <w:color w:val="0077CC"/>
            <w:position w:val="0"/>
            <w:sz w:val="20"/>
            <w:u w:val="single"/>
            <w:vertAlign w:val="baseline"/>
          </w:rPr>
          <w:t>Bruen</w:t>
        </w:r>
      </w:hyperlink>
      <w:hyperlink r:id="rId11" w:history="1">
        <w:r>
          <w:rPr>
            <w:rFonts w:ascii="arial" w:eastAsia="arial" w:hAnsi="arial" w:cs="arial"/>
            <w:b w:val="0"/>
            <w:i/>
            <w:strike w:val="0"/>
            <w:noProof w:val="0"/>
            <w:color w:val="0077CC"/>
            <w:position w:val="0"/>
            <w:sz w:val="20"/>
            <w:u w:val="single"/>
            <w:vertAlign w:val="baseline"/>
          </w:rPr>
          <w:t>, 142 S. Ct. at 2126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80" w:name="Bookmark_para_94"/>
      <w:bookmarkEnd w:id="480"/>
      <w:r>
        <w:rPr>
          <w:rFonts w:ascii="arial" w:eastAsia="arial" w:hAnsi="arial" w:cs="arial"/>
          <w:b w:val="0"/>
          <w:i w:val="0"/>
          <w:strike w:val="0"/>
          <w:noProof w:val="0"/>
          <w:color w:val="000000"/>
          <w:position w:val="0"/>
          <w:sz w:val="20"/>
          <w:u w:val="none"/>
          <w:vertAlign w:val="baseline"/>
        </w:rPr>
        <w:t xml:space="preserve">Upon consideration, the court concludes California has proven licensing systems fit comfortably within the historical tradition of firearm regulation. California points to a number of historical statutes to illustrate how states and colonies made relevant distinctions in both the founding and reconstruction eras. Many of these statutes effectively codified presumptions, some dubious, about which people were not "ordinary, law-abiding citizens." For example, there was long a presumption that only criminals carried some weapons, such as small pistols and large knives.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Cornell Decl. Ex. A at 14 (describing "concealed carry" as "a dastardly and cowardly practice to most Americans in antebellum America"); Rivas Decl. at 4-6 ("A characteristic feature of deadly weapons was their association with crime and needless bloodshed; as a result, the people habitually carrying them were presumed to be ruffians, burglars, and assassins—those ready to settle personal difficulties with</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blood rather than by reason and law."). Some states and colonies therefore banned concealed weapons or concealed weapons carrying outright, and many others placed restrictions on weapons associated with crimes and illegal violence.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Spitzer Decl. at 6-9; Cornell Decl. Ex. A at 15-16; </w:t>
      </w:r>
      <w:r>
        <w:rPr>
          <w:rFonts w:ascii="arial" w:eastAsia="arial" w:hAnsi="arial" w:cs="arial"/>
          <w:b w:val="0"/>
          <w:i/>
          <w:strike w:val="0"/>
          <w:noProof w:val="0"/>
          <w:color w:val="000000"/>
          <w:position w:val="0"/>
          <w:sz w:val="20"/>
          <w:u w:val="none"/>
          <w:vertAlign w:val="baseline"/>
        </w:rPr>
        <w:t>see also, e.g.</w:t>
      </w:r>
      <w:r>
        <w:rPr>
          <w:rFonts w:ascii="arial" w:eastAsia="arial" w:hAnsi="arial" w:cs="arial"/>
          <w:b w:val="0"/>
          <w:i w:val="0"/>
          <w:strike w:val="0"/>
          <w:noProof w:val="0"/>
          <w:color w:val="000000"/>
          <w:position w:val="0"/>
          <w:sz w:val="20"/>
          <w:u w:val="none"/>
          <w:vertAlign w:val="baseline"/>
        </w:rPr>
        <w:t xml:space="preserve">, Def.s' Updated Req. J. Not. No. 5 (1686 New Jersey enactment);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No. 23 (1801 Tennessee enactment). Other historical laws assumed essentially that people were lawbreakers if they carried weapons while moving about in large groups. </w:t>
      </w:r>
      <w:bookmarkStart w:id="481" w:name="Bookmark_I6B11G192N1RFF0050000400"/>
      <w:bookmarkEnd w:id="481"/>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Spitzer Decl. at 11-12; </w:t>
      </w:r>
      <w:r>
        <w:rPr>
          <w:rFonts w:ascii="arial" w:eastAsia="arial" w:hAnsi="arial" w:cs="arial"/>
          <w:b w:val="0"/>
          <w:i/>
          <w:strike w:val="0"/>
          <w:noProof w:val="0"/>
          <w:color w:val="000000"/>
          <w:position w:val="0"/>
          <w:sz w:val="20"/>
          <w:u w:val="none"/>
          <w:vertAlign w:val="baseline"/>
        </w:rPr>
        <w:t>see also, e.g.</w:t>
      </w:r>
      <w:r>
        <w:rPr>
          <w:rFonts w:ascii="arial" w:eastAsia="arial" w:hAnsi="arial" w:cs="arial"/>
          <w:b w:val="0"/>
          <w:i w:val="0"/>
          <w:strike w:val="0"/>
          <w:noProof w:val="0"/>
          <w:color w:val="000000"/>
          <w:position w:val="0"/>
          <w:sz w:val="20"/>
          <w:u w:val="none"/>
          <w:vertAlign w:val="baseline"/>
        </w:rPr>
        <w:t xml:space="preserve">, Defs.' Updated Req. J. Not. No. 14 (1771 New Hampshire enactment);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No. 11 (1750 Massachusetts enactment). Historical surety statutes placed heavier restrictions on some than others, by requiring those who posed a danger or threat to others based on a specific complaint to post a bond before they carried weapons in public. </w:t>
      </w:r>
      <w:r>
        <w:rPr>
          <w:rFonts w:ascii="arial" w:eastAsia="arial" w:hAnsi="arial" w:cs="arial"/>
          <w:b w:val="0"/>
          <w:i/>
          <w:strike w:val="0"/>
          <w:noProof w:val="0"/>
          <w:color w:val="000000"/>
          <w:position w:val="0"/>
          <w:sz w:val="20"/>
          <w:u w:val="none"/>
          <w:vertAlign w:val="baseline"/>
        </w:rPr>
        <w:t xml:space="preserve">See </w:t>
      </w:r>
      <w:bookmarkStart w:id="482" w:name="Bookmark_I6B11G192N1RFF0040000400"/>
      <w:bookmarkEnd w:id="482"/>
      <w:hyperlink r:id="rId11" w:history="1">
        <w:r>
          <w:rPr>
            <w:rFonts w:ascii="arial" w:eastAsia="arial" w:hAnsi="arial" w:cs="arial"/>
            <w:b w:val="0"/>
            <w:i/>
            <w:strike w:val="0"/>
            <w:noProof w:val="0"/>
            <w:color w:val="0077CC"/>
            <w:position w:val="0"/>
            <w:sz w:val="20"/>
            <w:u w:val="single"/>
            <w:vertAlign w:val="baseline"/>
          </w:rPr>
          <w:t>Bruen</w:t>
        </w:r>
      </w:hyperlink>
      <w:hyperlink r:id="rId11" w:history="1">
        <w:r>
          <w:rPr>
            <w:rFonts w:ascii="arial" w:eastAsia="arial" w:hAnsi="arial" w:cs="arial"/>
            <w:b w:val="0"/>
            <w:i/>
            <w:strike w:val="0"/>
            <w:noProof w:val="0"/>
            <w:color w:val="0077CC"/>
            <w:position w:val="0"/>
            <w:sz w:val="20"/>
            <w:u w:val="single"/>
            <w:vertAlign w:val="baseline"/>
          </w:rPr>
          <w:t>, 142 S. Ct. at 2148</w:t>
        </w:r>
      </w:hyperlink>
      <w:r>
        <w:rPr>
          <w:rFonts w:ascii="arial" w:eastAsia="arial" w:hAnsi="arial" w:cs="arial"/>
          <w:b w:val="0"/>
          <w:i w:val="0"/>
          <w:strike w:val="0"/>
          <w:noProof w:val="0"/>
          <w:color w:val="000000"/>
          <w:position w:val="0"/>
          <w:sz w:val="20"/>
          <w:u w:val="none"/>
          <w:vertAlign w:val="baseline"/>
        </w:rPr>
        <w:t xml:space="preserve">. Many states and local governments also used licensing systems or levied taxes on specific weapons, some prohibitive, although licenses were much less common until later in the nineteenth century.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Spitzer Decl. at 17-26; Rivas Decl. at 31-35.</w:t>
      </w:r>
    </w:p>
    <w:p>
      <w:pPr>
        <w:keepNext w:val="0"/>
        <w:spacing w:before="200" w:after="0" w:line="260" w:lineRule="atLeast"/>
        <w:ind w:left="0" w:right="0" w:firstLine="0"/>
        <w:jc w:val="both"/>
      </w:pPr>
      <w:bookmarkStart w:id="483" w:name="Bookmark_para_95"/>
      <w:bookmarkEnd w:id="483"/>
      <w:r>
        <w:rPr>
          <w:rFonts w:ascii="arial" w:eastAsia="arial" w:hAnsi="arial" w:cs="arial"/>
          <w:b w:val="0"/>
          <w:i w:val="0"/>
          <w:strike w:val="0"/>
          <w:noProof w:val="0"/>
          <w:color w:val="000000"/>
          <w:position w:val="0"/>
          <w:sz w:val="20"/>
          <w:u w:val="none"/>
          <w:vertAlign w:val="baseline"/>
        </w:rPr>
        <w:t>An account of American firearm</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restrictions inevitably runs into historical restrictions based on racial prejudice and ugly biases. As one scholar notes in an article California cites, "[t]he landscape of American history is littered with facially racist, misogynistic, homophobic, xenophobic, and other demeaning, marginalizing, and subordinating laws. . . . The history books teem with tales of these heinous American legacies. But legacies they are." Jacob D. Charles, </w:t>
      </w:r>
      <w:r>
        <w:rPr>
          <w:rFonts w:ascii="arial" w:eastAsia="arial" w:hAnsi="arial" w:cs="arial"/>
          <w:b w:val="0"/>
          <w:i/>
          <w:strike w:val="0"/>
          <w:noProof w:val="0"/>
          <w:color w:val="000000"/>
          <w:position w:val="0"/>
          <w:sz w:val="20"/>
          <w:u w:val="none"/>
          <w:vertAlign w:val="baseline"/>
        </w:rPr>
        <w:t>On Sordid Sources in Second Amendment Litigation</w:t>
      </w:r>
      <w:r>
        <w:rPr>
          <w:rFonts w:ascii="arial" w:eastAsia="arial" w:hAnsi="arial" w:cs="arial"/>
          <w:b w:val="0"/>
          <w:i w:val="0"/>
          <w:strike w:val="0"/>
          <w:noProof w:val="0"/>
          <w:color w:val="000000"/>
          <w:position w:val="0"/>
          <w:sz w:val="20"/>
          <w:u w:val="none"/>
          <w:vertAlign w:val="baseline"/>
        </w:rPr>
        <w:t xml:space="preserve">, Stan. L. Rev. Online, 30, 30 (2023) (footnote omitted), </w:t>
      </w:r>
      <w:r>
        <w:rPr>
          <w:rFonts w:ascii="arial" w:eastAsia="arial" w:hAnsi="arial" w:cs="arial"/>
          <w:b w:val="0"/>
          <w:i/>
          <w:strike w:val="0"/>
          <w:noProof w:val="0"/>
          <w:color w:val="000000"/>
          <w:position w:val="0"/>
          <w:sz w:val="20"/>
          <w:u w:val="none"/>
          <w:vertAlign w:val="baseline"/>
        </w:rPr>
        <w:t>cited in</w:t>
      </w:r>
      <w:r>
        <w:rPr>
          <w:rFonts w:ascii="arial" w:eastAsia="arial" w:hAnsi="arial" w:cs="arial"/>
          <w:b w:val="0"/>
          <w:i w:val="0"/>
          <w:strike w:val="0"/>
          <w:noProof w:val="0"/>
          <w:color w:val="000000"/>
          <w:position w:val="0"/>
          <w:sz w:val="20"/>
          <w:u w:val="none"/>
          <w:vertAlign w:val="baseline"/>
        </w:rPr>
        <w:t xml:space="preserve"> Def.'s Opp'n at 11 n.9. "Within the Anglo-American legal tradition there have been laws expressly disarming specific marginalized groups, like African-Americans, Native Americans, and religious minorities."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31 &amp; n.3;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Spitzer Decl. at 18, 31-32. White European settlers often prohibited non-whites from carrying weapons. Spitzer Decl. at 18, 31-32. Virginia, for example, prohibited any "negro or mulatto" from possessing or carrying guns and other weapons and required Catholics to swear an oath of loyalty.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Cornell Decl. at 10; Charles (2023) at 31 &amp; n.3; Def.'s Updated Req. J. Not. No. 19 (1792 Virginia enactment).</w:t>
      </w:r>
    </w:p>
    <w:p>
      <w:pPr>
        <w:keepNext w:val="0"/>
        <w:spacing w:before="240" w:after="0" w:line="260" w:lineRule="atLeast"/>
        <w:ind w:left="0" w:right="0" w:firstLine="0"/>
        <w:jc w:val="both"/>
      </w:pPr>
      <w:bookmarkStart w:id="484" w:name="Bookmark_para_96"/>
      <w:bookmarkEnd w:id="484"/>
      <w:r>
        <w:rPr>
          <w:rFonts w:ascii="arial" w:eastAsia="arial" w:hAnsi="arial" w:cs="arial"/>
          <w:b/>
          <w:i w:val="0"/>
          <w:strike w:val="0"/>
          <w:noProof w:val="0"/>
          <w:color w:val="000000"/>
          <w:position w:val="0"/>
          <w:sz w:val="20"/>
          <w:u w:val="none"/>
          <w:vertAlign w:val="baseline"/>
        </w:rPr>
        <w:t> [*1122] </w:t>
      </w:r>
      <w:r>
        <w:rPr>
          <w:rFonts w:ascii="arial" w:eastAsia="arial" w:hAnsi="arial" w:cs="arial"/>
          <w:b w:val="0"/>
          <w:i w:val="0"/>
          <w:strike w:val="0"/>
          <w:noProof w:val="0"/>
          <w:color w:val="000000"/>
          <w:position w:val="0"/>
          <w:sz w:val="20"/>
          <w:u w:val="none"/>
          <w:vertAlign w:val="baseline"/>
        </w:rPr>
        <w:t xml:space="preserve"> </w:t>
      </w:r>
      <w:bookmarkStart w:id="485" w:name="Bookmark_I6B11G192D6NN70020000400"/>
      <w:bookmarkEnd w:id="485"/>
      <w:r>
        <w:rPr>
          <w:rFonts w:ascii="arial" w:eastAsia="arial" w:hAnsi="arial" w:cs="arial"/>
          <w:b w:val="0"/>
          <w:i w:val="0"/>
          <w:strike w:val="0"/>
          <w:noProof w:val="0"/>
          <w:color w:val="000000"/>
          <w:position w:val="0"/>
          <w:sz w:val="20"/>
          <w:u w:val="none"/>
          <w:vertAlign w:val="baseline"/>
        </w:rPr>
        <w:t>The court acknowledges these stains in the historical record and faces them head on. Some government officials,</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including the state in this case, cite these discriminatory laws as evidence that modern firearms regulations fit a historical tradition of making distinctions based on status.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Def.'s Mem. at 15 &amp; n.9; State Defs.' Mem. at 21 &amp; n.4; </w:t>
      </w:r>
      <w:r>
        <w:rPr>
          <w:rFonts w:ascii="arial" w:eastAsia="arial" w:hAnsi="arial" w:cs="arial"/>
          <w:b w:val="0"/>
          <w:i/>
          <w:strike w:val="0"/>
          <w:noProof w:val="0"/>
          <w:color w:val="000000"/>
          <w:position w:val="0"/>
          <w:sz w:val="20"/>
          <w:u w:val="none"/>
          <w:vertAlign w:val="baseline"/>
        </w:rPr>
        <w:t>Antonyuk v. Hochul</w:t>
      </w:r>
      <w:r>
        <w:rPr>
          <w:rFonts w:ascii="arial" w:eastAsia="arial" w:hAnsi="arial" w:cs="arial"/>
          <w:b w:val="0"/>
          <w:i w:val="0"/>
          <w:strike w:val="0"/>
          <w:noProof w:val="0"/>
          <w:color w:val="000000"/>
          <w:position w:val="0"/>
          <w:sz w:val="20"/>
          <w:u w:val="none"/>
          <w:vertAlign w:val="baseline"/>
        </w:rPr>
        <w:t xml:space="preserve">, No. 22-986 (N.D.N.Y. Oct. 13, 2022), ECF No. 48; United States's Suppl. Opp'n Mot. Dismiss at 6, </w:t>
      </w:r>
      <w:r>
        <w:rPr>
          <w:rFonts w:ascii="arial" w:eastAsia="arial" w:hAnsi="arial" w:cs="arial"/>
          <w:b w:val="0"/>
          <w:i/>
          <w:strike w:val="0"/>
          <w:noProof w:val="0"/>
          <w:color w:val="000000"/>
          <w:position w:val="0"/>
          <w:sz w:val="20"/>
          <w:u w:val="none"/>
          <w:vertAlign w:val="baseline"/>
        </w:rPr>
        <w:t>United States v. Guthery</w:t>
      </w:r>
      <w:r>
        <w:rPr>
          <w:rFonts w:ascii="arial" w:eastAsia="arial" w:hAnsi="arial" w:cs="arial"/>
          <w:b w:val="0"/>
          <w:i w:val="0"/>
          <w:strike w:val="0"/>
          <w:noProof w:val="0"/>
          <w:color w:val="000000"/>
          <w:position w:val="0"/>
          <w:sz w:val="20"/>
          <w:u w:val="none"/>
          <w:vertAlign w:val="baseline"/>
        </w:rPr>
        <w:t xml:space="preserve">, No. 22-173 (E.D. Cal. Mar. 6, 2023), ECF No. 46; </w:t>
      </w:r>
      <w:r>
        <w:rPr>
          <w:rFonts w:ascii="arial" w:eastAsia="arial" w:hAnsi="arial" w:cs="arial"/>
          <w:b w:val="0"/>
          <w:i/>
          <w:strike w:val="0"/>
          <w:noProof w:val="0"/>
          <w:color w:val="000000"/>
          <w:position w:val="0"/>
          <w:sz w:val="20"/>
          <w:u w:val="none"/>
          <w:vertAlign w:val="baseline"/>
        </w:rPr>
        <w:t xml:space="preserve">cf., </w:t>
      </w:r>
      <w:bookmarkStart w:id="486" w:name="Bookmark_I6B11G192D6NN70010000400"/>
      <w:bookmarkEnd w:id="486"/>
      <w:hyperlink r:id="rId98" w:history="1">
        <w:r>
          <w:rPr>
            <w:rFonts w:ascii="arial" w:eastAsia="arial" w:hAnsi="arial" w:cs="arial"/>
            <w:b w:val="0"/>
            <w:i/>
            <w:strike w:val="0"/>
            <w:noProof w:val="0"/>
            <w:color w:val="0077CC"/>
            <w:position w:val="0"/>
            <w:sz w:val="20"/>
            <w:u w:val="single"/>
            <w:vertAlign w:val="baseline"/>
          </w:rPr>
          <w:t>Antonyuk v. Chiumento</w:t>
        </w:r>
      </w:hyperlink>
      <w:hyperlink r:id="rId98" w:history="1">
        <w:r>
          <w:rPr>
            <w:rFonts w:ascii="arial" w:eastAsia="arial" w:hAnsi="arial" w:cs="arial"/>
            <w:b w:val="0"/>
            <w:i/>
            <w:strike w:val="0"/>
            <w:noProof w:val="0"/>
            <w:color w:val="0077CC"/>
            <w:position w:val="0"/>
            <w:sz w:val="20"/>
            <w:u w:val="single"/>
            <w:vertAlign w:val="baseline"/>
          </w:rPr>
          <w:t>, 89 F.4th 271, No. 22-2908, 2023 U.S. App. LEXIS 32492, 2023 WL 8518003, at *33 n.46 (2d Cir. Dec. 8, 2023)</w:t>
        </w:r>
      </w:hyperlink>
      <w:r>
        <w:rPr>
          <w:rFonts w:ascii="arial" w:eastAsia="arial" w:hAnsi="arial" w:cs="arial"/>
          <w:b w:val="0"/>
          <w:i w:val="0"/>
          <w:strike w:val="0"/>
          <w:noProof w:val="0"/>
          <w:color w:val="000000"/>
          <w:position w:val="0"/>
          <w:sz w:val="20"/>
          <w:u w:val="none"/>
          <w:vertAlign w:val="baseline"/>
        </w:rPr>
        <w:t xml:space="preserve"> ("As the district court pointed out, many 18th-century restrictions aimed at keeping firearms away from people perceived as dangerous were based on readily ascertainable—but overbroad and discriminatory—racial, religious, or political categories. Judgments based on 'objective' characteristics are not inherently more fair than individualized determinations."). </w:t>
      </w:r>
      <w:bookmarkStart w:id="487" w:name="Bookmark_I6B11G192D6NN70040000400"/>
      <w:bookmarkEnd w:id="487"/>
      <w:r>
        <w:rPr>
          <w:rFonts w:ascii="arial" w:eastAsia="arial" w:hAnsi="arial" w:cs="arial"/>
          <w:b w:val="0"/>
          <w:i w:val="0"/>
          <w:strike w:val="0"/>
          <w:noProof w:val="0"/>
          <w:color w:val="000000"/>
          <w:position w:val="0"/>
          <w:sz w:val="20"/>
          <w:u w:val="none"/>
          <w:vertAlign w:val="baseline"/>
        </w:rPr>
        <w:t xml:space="preserve">This court cannot accept that approach, at least not without significant qualifications. It simply cannot be the racist and biased laws of the past justify a modern law if similarly discriminatory. </w:t>
      </w:r>
      <w:r>
        <w:rPr>
          <w:rFonts w:ascii="arial" w:eastAsia="arial" w:hAnsi="arial" w:cs="arial"/>
          <w:b w:val="0"/>
          <w:i/>
          <w:strike w:val="0"/>
          <w:noProof w:val="0"/>
          <w:color w:val="000000"/>
          <w:position w:val="0"/>
          <w:sz w:val="20"/>
          <w:u w:val="none"/>
          <w:vertAlign w:val="baseline"/>
        </w:rPr>
        <w:t xml:space="preserve">See </w:t>
      </w:r>
      <w:bookmarkStart w:id="488" w:name="Bookmark_I6B11G192D6NN70030000400"/>
      <w:bookmarkEnd w:id="488"/>
      <w:hyperlink r:id="rId99" w:history="1">
        <w:r>
          <w:rPr>
            <w:rFonts w:ascii="arial" w:eastAsia="arial" w:hAnsi="arial" w:cs="arial"/>
            <w:b w:val="0"/>
            <w:i/>
            <w:strike w:val="0"/>
            <w:noProof w:val="0"/>
            <w:color w:val="0077CC"/>
            <w:position w:val="0"/>
            <w:sz w:val="20"/>
            <w:u w:val="single"/>
            <w:vertAlign w:val="baseline"/>
          </w:rPr>
          <w:t>United States v. Guthery</w:t>
        </w:r>
      </w:hyperlink>
      <w:hyperlink r:id="rId99" w:history="1">
        <w:r>
          <w:rPr>
            <w:rFonts w:ascii="arial" w:eastAsia="arial" w:hAnsi="arial" w:cs="arial"/>
            <w:b w:val="0"/>
            <w:i/>
            <w:strike w:val="0"/>
            <w:noProof w:val="0"/>
            <w:color w:val="0077CC"/>
            <w:position w:val="0"/>
            <w:sz w:val="20"/>
            <w:u w:val="single"/>
            <w:vertAlign w:val="baseline"/>
          </w:rPr>
          <w:t>, No. 22-00173, 2023 U.S. Dist. LEXIS 54072, 2023 WL 2696824, at *8 (E.D. Cal. Mar. 29, 2023)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89" w:name="Bookmark_para_97"/>
      <w:bookmarkEnd w:id="489"/>
      <w:r>
        <w:rPr>
          <w:rFonts w:ascii="arial" w:eastAsia="arial" w:hAnsi="arial" w:cs="arial"/>
          <w:b w:val="0"/>
          <w:i w:val="0"/>
          <w:strike w:val="0"/>
          <w:noProof w:val="0"/>
          <w:color w:val="000000"/>
          <w:position w:val="0"/>
          <w:sz w:val="20"/>
          <w:u w:val="none"/>
          <w:vertAlign w:val="baseline"/>
        </w:rPr>
        <w:t>Here, the California Attorney General is not defending a facially discriminatory law, and he emphasizes his disagreement with the biased laws of the past, offering them "only as additional examples" of restrictions in the historical tradition. Def.'s Mem. at 15 n.9. Despite its reservations, this court is persuaded that in the circumstances of this case, at least, it should take</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account of the history of discriminatory regulations rather than completely ignore it.</w:t>
      </w:r>
    </w:p>
    <w:p>
      <w:pPr>
        <w:keepNext w:val="0"/>
        <w:spacing w:before="200" w:after="0" w:line="260" w:lineRule="atLeast"/>
        <w:ind w:left="0" w:right="0" w:firstLine="0"/>
        <w:jc w:val="both"/>
      </w:pPr>
      <w:bookmarkStart w:id="490" w:name="Bookmark_para_98"/>
      <w:bookmarkEnd w:id="490"/>
      <w:r>
        <w:rPr>
          <w:rFonts w:ascii="arial" w:eastAsia="arial" w:hAnsi="arial" w:cs="arial"/>
          <w:b w:val="0"/>
          <w:i w:val="0"/>
          <w:strike w:val="0"/>
          <w:noProof w:val="0"/>
          <w:color w:val="000000"/>
          <w:position w:val="0"/>
          <w:sz w:val="20"/>
          <w:u w:val="none"/>
          <w:vertAlign w:val="baseline"/>
        </w:rPr>
        <w:t xml:space="preserve">It is impossible to extract ourselves completely from the biases of our past. Facially discriminatory laws are relatively easy to spot, but racism and bias likely infected many other laws as well, and the implicitly discriminatory laws might be very difficult to separate from the others. Facially neutral laws may have been passed with a racist or discriminatory motive, neutral laws enforced selectively in practice, and laws perhaps should have been passed but were not.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hyperlink r:id="rId100" w:history="1">
        <w:r>
          <w:rPr>
            <w:rFonts w:ascii="arial" w:eastAsia="arial" w:hAnsi="arial" w:cs="arial"/>
            <w:b w:val="0"/>
            <w:i/>
            <w:strike w:val="0"/>
            <w:noProof w:val="0"/>
            <w:color w:val="0077CC"/>
            <w:position w:val="0"/>
            <w:sz w:val="20"/>
            <w:u w:val="single"/>
            <w:vertAlign w:val="baseline"/>
          </w:rPr>
          <w:t xml:space="preserve">Franita Tolson, </w:t>
        </w:r>
      </w:hyperlink>
      <w:hyperlink r:id="rId100" w:history="1">
        <w:r>
          <w:rPr>
            <w:rFonts w:ascii="arial" w:eastAsia="arial" w:hAnsi="arial" w:cs="arial"/>
            <w:b w:val="0"/>
            <w:i/>
            <w:strike w:val="0"/>
            <w:noProof w:val="0"/>
            <w:color w:val="0077CC"/>
            <w:position w:val="0"/>
            <w:sz w:val="20"/>
            <w:u w:val="single"/>
            <w:vertAlign w:val="baseline"/>
          </w:rPr>
          <w:t>Parchment Rights</w:t>
        </w:r>
      </w:hyperlink>
      <w:hyperlink r:id="rId100" w:history="1">
        <w:r>
          <w:rPr>
            <w:rFonts w:ascii="arial" w:eastAsia="arial" w:hAnsi="arial" w:cs="arial"/>
            <w:b w:val="0"/>
            <w:i/>
            <w:strike w:val="0"/>
            <w:noProof w:val="0"/>
            <w:color w:val="0077CC"/>
            <w:position w:val="0"/>
            <w:sz w:val="20"/>
            <w:u w:val="single"/>
            <w:vertAlign w:val="baseline"/>
          </w:rPr>
          <w:t>, 135 Harv. L. Rev. Forum 525 (2022)</w:t>
        </w:r>
      </w:hyperlink>
      <w:r>
        <w:rPr>
          <w:rFonts w:ascii="arial" w:eastAsia="arial" w:hAnsi="arial" w:cs="arial"/>
          <w:b w:val="0"/>
          <w:i w:val="0"/>
          <w:strike w:val="0"/>
          <w:noProof w:val="0"/>
          <w:color w:val="000000"/>
          <w:position w:val="0"/>
          <w:sz w:val="20"/>
          <w:u w:val="none"/>
          <w:vertAlign w:val="baseline"/>
        </w:rPr>
        <w:t xml:space="preserve"> (describing history of Colfax Massacre</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and its legacy); </w:t>
      </w:r>
      <w:hyperlink r:id="rId101" w:history="1">
        <w:r>
          <w:rPr>
            <w:rFonts w:ascii="arial" w:eastAsia="arial" w:hAnsi="arial" w:cs="arial"/>
            <w:b w:val="0"/>
            <w:i/>
            <w:strike w:val="0"/>
            <w:noProof w:val="0"/>
            <w:color w:val="0077CC"/>
            <w:position w:val="0"/>
            <w:sz w:val="20"/>
            <w:u w:val="single"/>
            <w:vertAlign w:val="baseline"/>
          </w:rPr>
          <w:t xml:space="preserve">Robert J. Cottrol &amp; Raymond T. Diamond, </w:t>
        </w:r>
      </w:hyperlink>
      <w:hyperlink r:id="rId101" w:history="1">
        <w:r>
          <w:rPr>
            <w:rFonts w:ascii="arial" w:eastAsia="arial" w:hAnsi="arial" w:cs="arial"/>
            <w:b w:val="0"/>
            <w:i/>
            <w:strike w:val="0"/>
            <w:noProof w:val="0"/>
            <w:color w:val="0077CC"/>
            <w:position w:val="0"/>
            <w:sz w:val="20"/>
            <w:u w:val="single"/>
            <w:vertAlign w:val="baseline"/>
          </w:rPr>
          <w:t>The Second Amendment: Toward an Afro-Americanist Reconsideration</w:t>
        </w:r>
      </w:hyperlink>
      <w:hyperlink r:id="rId101" w:history="1">
        <w:r>
          <w:rPr>
            <w:rFonts w:ascii="arial" w:eastAsia="arial" w:hAnsi="arial" w:cs="arial"/>
            <w:b w:val="0"/>
            <w:i/>
            <w:strike w:val="0"/>
            <w:noProof w:val="0"/>
            <w:color w:val="0077CC"/>
            <w:position w:val="0"/>
            <w:sz w:val="20"/>
            <w:u w:val="single"/>
            <w:vertAlign w:val="baseline"/>
          </w:rPr>
          <w:t>, 80 Geo. L.J. 309, 354-55 (1991)</w:t>
        </w:r>
      </w:hyperlink>
      <w:r>
        <w:rPr>
          <w:rFonts w:ascii="arial" w:eastAsia="arial" w:hAnsi="arial" w:cs="arial"/>
          <w:b w:val="0"/>
          <w:i w:val="0"/>
          <w:strike w:val="0"/>
          <w:noProof w:val="0"/>
          <w:color w:val="000000"/>
          <w:position w:val="0"/>
          <w:sz w:val="20"/>
          <w:u w:val="none"/>
          <w:vertAlign w:val="baseline"/>
        </w:rPr>
        <w:t xml:space="preserve"> (describing racial history of facially neutral gun control statutes). "If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forces reliance on regulations passed in the days when the law protected race-based chattel slavery, some of those regulations will surely be infected with America's original sin." Charles (2023),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at 43.</w:t>
      </w:r>
    </w:p>
    <w:p>
      <w:pPr>
        <w:keepNext w:val="0"/>
        <w:spacing w:before="200" w:after="0" w:line="260" w:lineRule="atLeast"/>
        <w:ind w:left="0" w:right="0" w:firstLine="0"/>
        <w:jc w:val="both"/>
      </w:pPr>
      <w:bookmarkStart w:id="492" w:name="Bookmark_para_99"/>
      <w:bookmarkEnd w:id="492"/>
      <w:bookmarkStart w:id="493" w:name="Bookmark_I6B11G1B2SF7T30010000400"/>
      <w:bookmarkEnd w:id="493"/>
      <w:bookmarkStart w:id="494" w:name="Bookmark_I6B11G1B2SF7T30050000400"/>
      <w:bookmarkEnd w:id="494"/>
      <w:r>
        <w:rPr>
          <w:rFonts w:ascii="arial" w:eastAsia="arial" w:hAnsi="arial" w:cs="arial"/>
          <w:b w:val="0"/>
          <w:i w:val="0"/>
          <w:strike w:val="0"/>
          <w:noProof w:val="0"/>
          <w:color w:val="000000"/>
          <w:position w:val="0"/>
          <w:sz w:val="20"/>
          <w:u w:val="none"/>
          <w:vertAlign w:val="baseline"/>
        </w:rPr>
        <w:t xml:space="preserve">Rather than relying on history selectively or through a sterilized modern lens, the Supreme Court has instructed lower courts to ascertain and follow the "original meaning of the constitutional text." </w:t>
      </w:r>
      <w:bookmarkStart w:id="495" w:name="Bookmark_I6B11G192D6NN70050000400"/>
      <w:bookmarkEnd w:id="495"/>
      <w:hyperlink r:id="rId11" w:history="1">
        <w:r>
          <w:rPr>
            <w:rFonts w:ascii="arial" w:eastAsia="arial" w:hAnsi="arial" w:cs="arial"/>
            <w:b w:val="0"/>
            <w:i/>
            <w:strike w:val="0"/>
            <w:noProof w:val="0"/>
            <w:color w:val="0077CC"/>
            <w:position w:val="0"/>
            <w:sz w:val="20"/>
            <w:u w:val="single"/>
            <w:vertAlign w:val="baseline"/>
          </w:rPr>
          <w:t>Bruen</w:t>
        </w:r>
      </w:hyperlink>
      <w:hyperlink r:id="rId11" w:history="1">
        <w:r>
          <w:rPr>
            <w:rFonts w:ascii="arial" w:eastAsia="arial" w:hAnsi="arial" w:cs="arial"/>
            <w:b w:val="0"/>
            <w:i/>
            <w:strike w:val="0"/>
            <w:noProof w:val="0"/>
            <w:color w:val="0077CC"/>
            <w:position w:val="0"/>
            <w:sz w:val="20"/>
            <w:u w:val="single"/>
            <w:vertAlign w:val="baseline"/>
          </w:rPr>
          <w:t>, 142 S. Ct. at 2137</w:t>
        </w:r>
      </w:hyperlink>
      <w:r>
        <w:rPr>
          <w:rFonts w:ascii="arial" w:eastAsia="arial" w:hAnsi="arial" w:cs="arial"/>
          <w:b w:val="0"/>
          <w:i w:val="0"/>
          <w:strike w:val="0"/>
          <w:noProof w:val="0"/>
          <w:color w:val="000000"/>
          <w:position w:val="0"/>
          <w:sz w:val="20"/>
          <w:u w:val="none"/>
          <w:vertAlign w:val="baseline"/>
        </w:rPr>
        <w:t xml:space="preserve"> (quoting </w:t>
      </w:r>
      <w:bookmarkStart w:id="496" w:name="Bookmark_I6B11G1B2SF7T30020000400"/>
      <w:bookmarkEnd w:id="496"/>
      <w:hyperlink r:id="rId74" w:history="1">
        <w:r>
          <w:rPr>
            <w:rFonts w:ascii="arial" w:eastAsia="arial" w:hAnsi="arial" w:cs="arial"/>
            <w:b w:val="0"/>
            <w:i/>
            <w:strike w:val="0"/>
            <w:noProof w:val="0"/>
            <w:color w:val="0077CC"/>
            <w:position w:val="0"/>
            <w:sz w:val="20"/>
            <w:u w:val="single"/>
            <w:vertAlign w:val="baseline"/>
          </w:rPr>
          <w:t>Heller v. District of Columbia</w:t>
        </w:r>
      </w:hyperlink>
      <w:hyperlink r:id="rId74" w:history="1">
        <w:r>
          <w:rPr>
            <w:rFonts w:ascii="arial" w:eastAsia="arial" w:hAnsi="arial" w:cs="arial"/>
            <w:b w:val="0"/>
            <w:i/>
            <w:strike w:val="0"/>
            <w:noProof w:val="0"/>
            <w:color w:val="0077CC"/>
            <w:position w:val="0"/>
            <w:sz w:val="20"/>
            <w:u w:val="single"/>
            <w:vertAlign w:val="baseline"/>
          </w:rPr>
          <w:t>, 670 F.3d 1244, 1274 n.6, 399 U.S. App. D.C. 314 (D.C. Cir. 2011)</w:t>
        </w:r>
      </w:hyperlink>
      <w:r>
        <w:rPr>
          <w:rFonts w:ascii="arial" w:eastAsia="arial" w:hAnsi="arial" w:cs="arial"/>
          <w:b w:val="0"/>
          <w:i w:val="0"/>
          <w:strike w:val="0"/>
          <w:noProof w:val="0"/>
          <w:color w:val="000000"/>
          <w:position w:val="0"/>
          <w:sz w:val="20"/>
          <w:u w:val="none"/>
          <w:vertAlign w:val="baseline"/>
        </w:rPr>
        <w:t xml:space="preserve"> (Kavanaugh, J., dissenting)). It wrote in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for example, that</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courts are "guided by the principle that '[t]he Constitution was written to be understood by the voters.'" </w:t>
      </w:r>
      <w:bookmarkStart w:id="497" w:name="Bookmark_I6B11G1B2SF7T30040000400"/>
      <w:bookmarkEnd w:id="497"/>
      <w:hyperlink r:id="rId22" w:history="1">
        <w:r>
          <w:rPr>
            <w:rFonts w:ascii="arial" w:eastAsia="arial" w:hAnsi="arial" w:cs="arial"/>
            <w:b w:val="0"/>
            <w:i/>
            <w:strike w:val="0"/>
            <w:noProof w:val="0"/>
            <w:color w:val="0077CC"/>
            <w:position w:val="0"/>
            <w:sz w:val="20"/>
            <w:u w:val="single"/>
            <w:vertAlign w:val="baseline"/>
          </w:rPr>
          <w:t>554 U.S. at 576</w:t>
        </w:r>
      </w:hyperlink>
      <w:r>
        <w:rPr>
          <w:rFonts w:ascii="arial" w:eastAsia="arial" w:hAnsi="arial" w:cs="arial"/>
          <w:b w:val="0"/>
          <w:i w:val="0"/>
          <w:strike w:val="0"/>
          <w:noProof w:val="0"/>
          <w:color w:val="000000"/>
          <w:position w:val="0"/>
          <w:sz w:val="20"/>
          <w:u w:val="none"/>
          <w:vertAlign w:val="baseline"/>
        </w:rPr>
        <w:t xml:space="preserve"> (quoting </w:t>
      </w:r>
      <w:bookmarkStart w:id="498" w:name="Bookmark_I6B11G1B2D6NNM0010000400"/>
      <w:bookmarkEnd w:id="498"/>
      <w:hyperlink r:id="rId102" w:history="1">
        <w:r>
          <w:rPr>
            <w:rFonts w:ascii="arial" w:eastAsia="arial" w:hAnsi="arial" w:cs="arial"/>
            <w:b w:val="0"/>
            <w:i/>
            <w:strike w:val="0"/>
            <w:noProof w:val="0"/>
            <w:color w:val="0077CC"/>
            <w:position w:val="0"/>
            <w:sz w:val="20"/>
            <w:u w:val="single"/>
            <w:vertAlign w:val="baseline"/>
          </w:rPr>
          <w:t>United States v. Sprague</w:t>
        </w:r>
      </w:hyperlink>
      <w:hyperlink r:id="rId102" w:history="1">
        <w:r>
          <w:rPr>
            <w:rFonts w:ascii="arial" w:eastAsia="arial" w:hAnsi="arial" w:cs="arial"/>
            <w:b w:val="0"/>
            <w:i/>
            <w:strike w:val="0"/>
            <w:noProof w:val="0"/>
            <w:color w:val="0077CC"/>
            <w:position w:val="0"/>
            <w:sz w:val="20"/>
            <w:u w:val="single"/>
            <w:vertAlign w:val="baseline"/>
          </w:rPr>
          <w:t xml:space="preserve">, 282 U.S. 716, 731, 51 S. Ct. 220, </w:t>
        </w:r>
      </w:hyperlink>
      <w:hyperlink r:id="rId102" w:history="1">
        <w:r>
          <w:rPr>
            <w:rFonts w:ascii="arial" w:eastAsia="arial" w:hAnsi="arial" w:cs="arial"/>
            <w:b/>
            <w:i/>
            <w:strike w:val="0"/>
            <w:noProof w:val="0"/>
            <w:color w:val="0077CC"/>
            <w:position w:val="0"/>
            <w:sz w:val="20"/>
            <w:u w:val="single"/>
            <w:vertAlign w:val="baseline"/>
          </w:rPr>
          <w:t> [*1123] </w:t>
        </w:r>
      </w:hyperlink>
      <w:hyperlink r:id="rId102" w:history="1">
        <w:r>
          <w:rPr>
            <w:rFonts w:ascii="arial" w:eastAsia="arial" w:hAnsi="arial" w:cs="arial"/>
            <w:b w:val="0"/>
            <w:i/>
            <w:strike w:val="0"/>
            <w:noProof w:val="0"/>
            <w:color w:val="0077CC"/>
            <w:position w:val="0"/>
            <w:sz w:val="20"/>
            <w:u w:val="single"/>
            <w:vertAlign w:val="baseline"/>
          </w:rPr>
          <w:t xml:space="preserve"> 75 L. Ed. 640 (1931)</w:t>
        </w:r>
      </w:hyperlink>
      <w:r>
        <w:rPr>
          <w:rFonts w:ascii="arial" w:eastAsia="arial" w:hAnsi="arial" w:cs="arial"/>
          <w:b w:val="0"/>
          <w:i w:val="0"/>
          <w:strike w:val="0"/>
          <w:noProof w:val="0"/>
          <w:color w:val="000000"/>
          <w:position w:val="0"/>
          <w:sz w:val="20"/>
          <w:u w:val="none"/>
          <w:vertAlign w:val="baseline"/>
        </w:rPr>
        <w:t xml:space="preserve">). As some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scholars have said, "under a test that demands sole reliance on history and tradition, 'it is hard to justify ignoring these unseemly laws, which after all help demonstrate the principles the Framers thought relevant.'" Charles (2023),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38 (quoting Joseph Blocher &amp; Caitlan Carberry, "Historical Gun Laws Targeting 'Dangerous' Groups and Outsiders, in Blocher (2023),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6"/>
        <w:t xml:space="preserve">25</w:t>
      </w:r>
    </w:p>
    <w:p>
      <w:pPr>
        <w:keepNext w:val="0"/>
        <w:spacing w:before="200" w:after="0" w:line="260" w:lineRule="atLeast"/>
        <w:ind w:left="0" w:right="0" w:firstLine="0"/>
        <w:jc w:val="both"/>
      </w:pPr>
      <w:bookmarkStart w:id="500" w:name="Bookmark_para_100"/>
      <w:bookmarkEnd w:id="500"/>
      <w:bookmarkStart w:id="501" w:name="Bookmark_I6B11G1B2D6NNM0040000400"/>
      <w:bookmarkEnd w:id="501"/>
      <w:r>
        <w:rPr>
          <w:rFonts w:ascii="arial" w:eastAsia="arial" w:hAnsi="arial" w:cs="arial"/>
          <w:b w:val="0"/>
          <w:i w:val="0"/>
          <w:strike w:val="0"/>
          <w:noProof w:val="0"/>
          <w:color w:val="000000"/>
          <w:position w:val="0"/>
          <w:sz w:val="20"/>
          <w:u w:val="none"/>
          <w:vertAlign w:val="baseline"/>
        </w:rPr>
        <w:t xml:space="preserve">In some cases, this one included, a court cannot understand what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permitted and forbade at the time it was adopted without considering the racist or discriminatory laws commonly accepted at the time. </w:t>
      </w:r>
      <w:r>
        <w:rPr>
          <w:rFonts w:ascii="arial" w:eastAsia="arial" w:hAnsi="arial" w:cs="arial"/>
          <w:b w:val="0"/>
          <w:i/>
          <w:strike w:val="0"/>
          <w:noProof w:val="0"/>
          <w:color w:val="000000"/>
          <w:position w:val="0"/>
          <w:sz w:val="20"/>
          <w:u w:val="none"/>
          <w:vertAlign w:val="baseline"/>
        </w:rPr>
        <w:t xml:space="preserve">See </w:t>
      </w:r>
      <w:bookmarkStart w:id="502" w:name="Bookmark_I6B11G1B2D6NNM0030000400"/>
      <w:bookmarkEnd w:id="502"/>
      <w:hyperlink r:id="rId103" w:history="1">
        <w:r>
          <w:rPr>
            <w:rFonts w:ascii="arial" w:eastAsia="arial" w:hAnsi="arial" w:cs="arial"/>
            <w:b w:val="0"/>
            <w:i/>
            <w:strike w:val="0"/>
            <w:noProof w:val="0"/>
            <w:color w:val="0077CC"/>
            <w:position w:val="0"/>
            <w:sz w:val="20"/>
            <w:u w:val="single"/>
            <w:vertAlign w:val="baseline"/>
          </w:rPr>
          <w:t>Kanter v. Barr</w:t>
        </w:r>
      </w:hyperlink>
      <w:hyperlink r:id="rId103" w:history="1">
        <w:r>
          <w:rPr>
            <w:rFonts w:ascii="arial" w:eastAsia="arial" w:hAnsi="arial" w:cs="arial"/>
            <w:b w:val="0"/>
            <w:i/>
            <w:strike w:val="0"/>
            <w:noProof w:val="0"/>
            <w:color w:val="0077CC"/>
            <w:position w:val="0"/>
            <w:sz w:val="20"/>
            <w:u w:val="single"/>
            <w:vertAlign w:val="baseline"/>
          </w:rPr>
          <w:t>, 919 F.3d 437, 457-58 &amp; n.7 (7th Cir. 2019)</w:t>
        </w:r>
      </w:hyperlink>
      <w:r>
        <w:rPr>
          <w:rFonts w:ascii="arial" w:eastAsia="arial" w:hAnsi="arial" w:cs="arial"/>
          <w:b w:val="0"/>
          <w:i w:val="0"/>
          <w:strike w:val="0"/>
          <w:noProof w:val="0"/>
          <w:color w:val="000000"/>
          <w:position w:val="0"/>
          <w:sz w:val="20"/>
          <w:u w:val="none"/>
          <w:vertAlign w:val="baseline"/>
        </w:rPr>
        <w:t xml:space="preserve"> (Barrett, J., dissenting) (although facially discriminatory laws are almost certainly unconstitutional today, not to mention repugnant, they can demonstrate what people in the past thought their governments could do without violating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And as reviewed above, historical assessment must unearth the context and the circumstances of a historical text's creation to properly understand it.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hyperlink r:id="rId66" w:history="1">
        <w:r>
          <w:rPr>
            <w:rFonts w:ascii="arial" w:eastAsia="arial" w:hAnsi="arial" w:cs="arial"/>
            <w:b w:val="0"/>
            <w:i/>
            <w:strike w:val="0"/>
            <w:noProof w:val="0"/>
            <w:color w:val="0077CC"/>
            <w:position w:val="0"/>
            <w:sz w:val="20"/>
            <w:u w:val="single"/>
            <w:vertAlign w:val="baseline"/>
          </w:rPr>
          <w:t xml:space="preserve">Kramer (2003), </w:t>
        </w:r>
      </w:hyperlink>
      <w:hyperlink r:id="rId66" w:history="1">
        <w:r>
          <w:rPr>
            <w:rFonts w:ascii="arial" w:eastAsia="arial" w:hAnsi="arial" w:cs="arial"/>
            <w:b w:val="0"/>
            <w:i/>
            <w:strike w:val="0"/>
            <w:noProof w:val="0"/>
            <w:color w:val="0077CC"/>
            <w:position w:val="0"/>
            <w:sz w:val="20"/>
            <w:u w:val="single"/>
            <w:vertAlign w:val="baseline"/>
          </w:rPr>
          <w:t>supra</w:t>
        </w:r>
      </w:hyperlink>
      <w:hyperlink r:id="rId66" w:history="1">
        <w:r>
          <w:rPr>
            <w:rFonts w:ascii="arial" w:eastAsia="arial" w:hAnsi="arial" w:cs="arial"/>
            <w:b w:val="0"/>
            <w:i/>
            <w:strike w:val="0"/>
            <w:noProof w:val="0"/>
            <w:color w:val="0077CC"/>
            <w:position w:val="0"/>
            <w:sz w:val="20"/>
            <w:u w:val="single"/>
            <w:vertAlign w:val="baseline"/>
          </w:rPr>
          <w:t>, at 392</w:t>
        </w:r>
      </w:hyperlink>
      <w:r>
        <w:rPr>
          <w:rFonts w:ascii="arial" w:eastAsia="arial" w:hAnsi="arial" w:cs="arial"/>
          <w:b w:val="0"/>
          <w:i w:val="0"/>
          <w:strike w:val="0"/>
          <w:noProof w:val="0"/>
          <w:color w:val="000000"/>
          <w:position w:val="0"/>
          <w:sz w:val="20"/>
          <w:u w:val="none"/>
          <w:vertAlign w:val="baseline"/>
        </w:rPr>
        <w:t xml:space="preserve">; </w:t>
      </w:r>
      <w:hyperlink r:id="rId63" w:history="1">
        <w:r>
          <w:rPr>
            <w:rFonts w:ascii="arial" w:eastAsia="arial" w:hAnsi="arial" w:cs="arial"/>
            <w:b w:val="0"/>
            <w:i/>
            <w:strike w:val="0"/>
            <w:noProof w:val="0"/>
            <w:color w:val="0077CC"/>
            <w:position w:val="0"/>
            <w:sz w:val="20"/>
            <w:u w:val="single"/>
            <w:vertAlign w:val="baseline"/>
          </w:rPr>
          <w:t xml:space="preserve">Flaherty (1995), </w:t>
        </w:r>
      </w:hyperlink>
      <w:hyperlink r:id="rId63" w:history="1">
        <w:r>
          <w:rPr>
            <w:rFonts w:ascii="arial" w:eastAsia="arial" w:hAnsi="arial" w:cs="arial"/>
            <w:b w:val="0"/>
            <w:i/>
            <w:strike w:val="0"/>
            <w:noProof w:val="0"/>
            <w:color w:val="0077CC"/>
            <w:position w:val="0"/>
            <w:sz w:val="20"/>
            <w:u w:val="single"/>
            <w:vertAlign w:val="baseline"/>
          </w:rPr>
          <w:t>supra</w:t>
        </w:r>
      </w:hyperlink>
      <w:hyperlink r:id="rId63" w:history="1">
        <w:r>
          <w:rPr>
            <w:rFonts w:ascii="arial" w:eastAsia="arial" w:hAnsi="arial" w:cs="arial"/>
            <w:b w:val="0"/>
            <w:i/>
            <w:strike w:val="0"/>
            <w:noProof w:val="0"/>
            <w:color w:val="0077CC"/>
            <w:position w:val="0"/>
            <w:sz w:val="20"/>
            <w:u w:val="single"/>
            <w:vertAlign w:val="baseline"/>
          </w:rPr>
          <w:t>, at 550</w:t>
        </w:r>
      </w:hyperlink>
      <w:r>
        <w:rPr>
          <w:rFonts w:ascii="arial" w:eastAsia="arial" w:hAnsi="arial" w:cs="arial"/>
          <w:b w:val="0"/>
          <w:i w:val="0"/>
          <w:strike w:val="0"/>
          <w:noProof w:val="0"/>
          <w:color w:val="000000"/>
          <w:position w:val="0"/>
          <w:sz w:val="20"/>
          <w:u w:val="none"/>
          <w:vertAlign w:val="baseline"/>
        </w:rPr>
        <w:t xml:space="preserve">; </w:t>
      </w:r>
      <w:hyperlink r:id="rId67" w:history="1">
        <w:r>
          <w:rPr>
            <w:rFonts w:ascii="arial" w:eastAsia="arial" w:hAnsi="arial" w:cs="arial"/>
            <w:b w:val="0"/>
            <w:i/>
            <w:strike w:val="0"/>
            <w:noProof w:val="0"/>
            <w:color w:val="0077CC"/>
            <w:position w:val="0"/>
            <w:sz w:val="20"/>
            <w:u w:val="single"/>
            <w:vertAlign w:val="baseline"/>
          </w:rPr>
          <w:t xml:space="preserve">Powell (1987), </w:t>
        </w:r>
      </w:hyperlink>
      <w:hyperlink r:id="rId67" w:history="1">
        <w:r>
          <w:rPr>
            <w:rFonts w:ascii="arial" w:eastAsia="arial" w:hAnsi="arial" w:cs="arial"/>
            <w:b w:val="0"/>
            <w:i/>
            <w:strike w:val="0"/>
            <w:noProof w:val="0"/>
            <w:color w:val="0077CC"/>
            <w:position w:val="0"/>
            <w:sz w:val="20"/>
            <w:u w:val="single"/>
            <w:vertAlign w:val="baseline"/>
          </w:rPr>
          <w:t>supra</w:t>
        </w:r>
      </w:hyperlink>
      <w:hyperlink r:id="rId67" w:history="1">
        <w:r>
          <w:rPr>
            <w:rFonts w:ascii="arial" w:eastAsia="arial" w:hAnsi="arial" w:cs="arial"/>
            <w:b w:val="0"/>
            <w:i/>
            <w:strike w:val="0"/>
            <w:noProof w:val="0"/>
            <w:color w:val="0077CC"/>
            <w:position w:val="0"/>
            <w:sz w:val="20"/>
            <w:u w:val="single"/>
            <w:vertAlign w:val="baseline"/>
          </w:rPr>
          <w:t>, at 674-75</w:t>
        </w:r>
      </w:hyperlink>
      <w:r>
        <w:rPr>
          <w:rFonts w:ascii="arial" w:eastAsia="arial" w:hAnsi="arial" w:cs="arial"/>
          <w:b w:val="0"/>
          <w:i w:val="0"/>
          <w:strike w:val="0"/>
          <w:noProof w:val="0"/>
          <w:color w:val="000000"/>
          <w:position w:val="0"/>
          <w:sz w:val="20"/>
          <w:u w:val="none"/>
          <w:vertAlign w:val="baseline"/>
        </w:rPr>
        <w:t xml:space="preserve">. Cutting discriminatory laws from the picture would make that picture incomplete or misleading. Excluding racist and discriminatory laws from the record might even perpetuate inequality today.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Charles (2023) at 38-39 ("It would be a sad irony</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if the fact that our forebears were so explicitly racist in regulating guns meant that contemporary Americans, including Black Americans who favor stricter gun regulation, were prevented from regulating guns today for their own safety.").</w:t>
      </w:r>
    </w:p>
    <w:p>
      <w:pPr>
        <w:keepNext w:val="0"/>
        <w:spacing w:before="240" w:after="0" w:line="260" w:lineRule="atLeast"/>
        <w:ind w:left="0" w:right="0" w:firstLine="0"/>
        <w:jc w:val="both"/>
      </w:pPr>
      <w:bookmarkStart w:id="503" w:name="Bookmark_para_101"/>
      <w:bookmarkEnd w:id="503"/>
      <w:r>
        <w:rPr>
          <w:rFonts w:ascii="arial" w:eastAsia="arial" w:hAnsi="arial" w:cs="arial"/>
          <w:b w:val="0"/>
          <w:i w:val="0"/>
          <w:strike w:val="0"/>
          <w:noProof w:val="0"/>
          <w:color w:val="000000"/>
          <w:position w:val="0"/>
          <w:sz w:val="20"/>
          <w:u w:val="none"/>
          <w:vertAlign w:val="baseline"/>
        </w:rPr>
        <w:t xml:space="preserve">For these reasons it is appropriate to remember in this case that the American tradition of firearms regulations included discriminatory restrictions based on class, religion, and race. States and colonies passed laws that prevented people from keeping and bearing arms based at times on false and repugnant but widely accepted categorical assumptions. But the acceptance of these laws further demonstrates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did not prevent American governments from placing sometimes heavy and often categorical burdens on the right to keep and bear arms.</w:t>
      </w:r>
    </w:p>
    <w:p>
      <w:pPr>
        <w:keepNext w:val="0"/>
        <w:spacing w:before="240" w:after="0" w:line="260" w:lineRule="atLeast"/>
        <w:ind w:left="0" w:right="0" w:firstLine="0"/>
        <w:jc w:val="both"/>
      </w:pPr>
      <w:bookmarkStart w:id="504" w:name="Bookmark_para_102"/>
      <w:bookmarkEnd w:id="504"/>
      <w:r>
        <w:rPr>
          <w:rFonts w:ascii="arial" w:eastAsia="arial" w:hAnsi="arial" w:cs="arial"/>
          <w:b w:val="0"/>
          <w:i w:val="0"/>
          <w:strike w:val="0"/>
          <w:noProof w:val="0"/>
          <w:color w:val="000000"/>
          <w:position w:val="0"/>
          <w:sz w:val="20"/>
          <w:u w:val="none"/>
          <w:vertAlign w:val="baseline"/>
        </w:rPr>
        <w:t xml:space="preserve">Finally, the state has cited many licensing requirements passed by state and local governments, both inside and outside California, soon after the </w:t>
      </w:r>
      <w:hyperlink r:id="rId59"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was adopted. </w:t>
      </w:r>
      <w:bookmarkStart w:id="505" w:name="Bookmark_I6B11G1C28T43Y0010000400"/>
      <w:bookmarkEnd w:id="505"/>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Cal. Mem. at 13-17 (citing Spitzer Decl. at 10, 17-18; Cornell Decl. Ex. A at 20-21). Other courts and historians have relied on similar evidence. </w:t>
      </w:r>
      <w:bookmarkStart w:id="506" w:name="Bookmark_I6B11G1C28T43Y0030000400"/>
      <w:bookmarkEnd w:id="506"/>
      <w:r>
        <w:rPr>
          <w:rFonts w:ascii="arial" w:eastAsia="arial" w:hAnsi="arial" w:cs="arial"/>
          <w:b w:val="0"/>
          <w:i/>
          <w:strike w:val="0"/>
          <w:noProof w:val="0"/>
          <w:color w:val="000000"/>
          <w:position w:val="0"/>
          <w:sz w:val="20"/>
          <w:u w:val="none"/>
          <w:vertAlign w:val="baseline"/>
        </w:rPr>
        <w:t xml:space="preserve">See, e.g., </w:t>
      </w:r>
      <w:bookmarkStart w:id="507" w:name="Bookmark_I6B11G1B2D6NNM0050000400"/>
      <w:bookmarkEnd w:id="507"/>
      <w:hyperlink r:id="rId98" w:history="1">
        <w:r>
          <w:rPr>
            <w:rFonts w:ascii="arial" w:eastAsia="arial" w:hAnsi="arial" w:cs="arial"/>
            <w:b w:val="0"/>
            <w:i/>
            <w:strike w:val="0"/>
            <w:noProof w:val="0"/>
            <w:color w:val="0077CC"/>
            <w:position w:val="0"/>
            <w:sz w:val="20"/>
            <w:u w:val="single"/>
            <w:vertAlign w:val="baseline"/>
          </w:rPr>
          <w:t>Antonyuk</w:t>
        </w:r>
      </w:hyperlink>
      <w:hyperlink r:id="rId98" w:history="1">
        <w:r>
          <w:rPr>
            <w:rFonts w:ascii="arial" w:eastAsia="arial" w:hAnsi="arial" w:cs="arial"/>
            <w:b w:val="0"/>
            <w:i/>
            <w:strike w:val="0"/>
            <w:noProof w:val="0"/>
            <w:color w:val="0077CC"/>
            <w:position w:val="0"/>
            <w:sz w:val="20"/>
            <w:u w:val="single"/>
            <w:vertAlign w:val="baseline"/>
          </w:rPr>
          <w:t>, 2023 U.S. App. LEXIS 32492, 2023 WL 8518003, at *26-27 &amp; nn.27-33</w:t>
        </w:r>
      </w:hyperlink>
      <w:r>
        <w:rPr>
          <w:rFonts w:ascii="arial" w:eastAsia="arial" w:hAnsi="arial" w:cs="arial"/>
          <w:b w:val="0"/>
          <w:i w:val="0"/>
          <w:strike w:val="0"/>
          <w:noProof w:val="0"/>
          <w:color w:val="000000"/>
          <w:position w:val="0"/>
          <w:sz w:val="20"/>
          <w:u w:val="none"/>
          <w:vertAlign w:val="baseline"/>
        </w:rPr>
        <w:t xml:space="preserve"> (surveying this evidence and citing Brief of Amicus Curiae Patrick J. Charles in Support</w:t>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of Neither Party, </w:t>
      </w:r>
      <w:r>
        <w:rPr>
          <w:rFonts w:ascii="arial" w:eastAsia="arial" w:hAnsi="arial" w:cs="arial"/>
          <w:b w:val="0"/>
          <w:i/>
          <w:strike w:val="0"/>
          <w:noProof w:val="0"/>
          <w:color w:val="000000"/>
          <w:position w:val="0"/>
          <w:sz w:val="20"/>
          <w:u w:val="none"/>
          <w:vertAlign w:val="baseline"/>
        </w:rPr>
        <w:t>N.Y. State Rifle &amp; Pistol Ass'n v. Bruen</w:t>
      </w:r>
      <w:r>
        <w:rPr>
          <w:rFonts w:ascii="arial" w:eastAsia="arial" w:hAnsi="arial" w:cs="arial"/>
          <w:b w:val="0"/>
          <w:i w:val="0"/>
          <w:strike w:val="0"/>
          <w:noProof w:val="0"/>
          <w:color w:val="000000"/>
          <w:position w:val="0"/>
          <w:sz w:val="20"/>
          <w:u w:val="none"/>
          <w:vertAlign w:val="baseline"/>
        </w:rPr>
        <w:t xml:space="preserve">, No. 20-843 (2022), among other sources). </w:t>
      </w:r>
      <w:bookmarkStart w:id="508" w:name="Bookmark_I6B11G1C28T43Y0030000400_2"/>
      <w:bookmarkEnd w:id="508"/>
      <w:r>
        <w:rPr>
          <w:rFonts w:ascii="arial" w:eastAsia="arial" w:hAnsi="arial" w:cs="arial"/>
          <w:b w:val="0"/>
          <w:i w:val="0"/>
          <w:strike w:val="0"/>
          <w:noProof w:val="0"/>
          <w:color w:val="000000"/>
          <w:position w:val="0"/>
          <w:sz w:val="20"/>
          <w:u w:val="none"/>
          <w:vertAlign w:val="baseline"/>
        </w:rPr>
        <w:t xml:space="preserve">No evidence in this record shows these licensing laws were successfully challenged on constitutional grounds, if they were even challenged in the first place. </w:t>
      </w:r>
      <w:r>
        <w:rPr>
          <w:rFonts w:ascii="arial" w:eastAsia="arial" w:hAnsi="arial" w:cs="arial"/>
          <w:b w:val="0"/>
          <w:i/>
          <w:strike w:val="0"/>
          <w:noProof w:val="0"/>
          <w:color w:val="000000"/>
          <w:position w:val="0"/>
          <w:sz w:val="20"/>
          <w:u w:val="none"/>
          <w:vertAlign w:val="baseline"/>
        </w:rPr>
        <w:t xml:space="preserve">See </w:t>
      </w:r>
      <w:bookmarkStart w:id="509" w:name="Bookmark_I6B11G1C28T43Y0020000400"/>
      <w:bookmarkEnd w:id="509"/>
      <w:hyperlink r:id="rId98" w:history="1">
        <w:r>
          <w:rPr>
            <w:rFonts w:ascii="arial" w:eastAsia="arial" w:hAnsi="arial" w:cs="arial"/>
            <w:b w:val="0"/>
            <w:i/>
            <w:strike w:val="0"/>
            <w:noProof w:val="0"/>
            <w:color w:val="0077CC"/>
            <w:position w:val="0"/>
            <w:sz w:val="20"/>
            <w:u w:val="single"/>
            <w:vertAlign w:val="baseline"/>
          </w:rPr>
          <w:t>2023 U.S. App. LEXIS 32492, [WL] at *28</w:t>
        </w:r>
      </w:hyperlink>
      <w:r>
        <w:rPr>
          <w:rFonts w:ascii="arial" w:eastAsia="arial" w:hAnsi="arial" w:cs="arial"/>
          <w:b w:val="0"/>
          <w:i w:val="0"/>
          <w:strike w:val="0"/>
          <w:noProof w:val="0"/>
          <w:color w:val="000000"/>
          <w:position w:val="0"/>
          <w:sz w:val="20"/>
          <w:u w:val="none"/>
          <w:vertAlign w:val="baseline"/>
        </w:rPr>
        <w:t xml:space="preserve"> ("Strikingly, moreover, these laws and ordinances did not merely exist—they appear to have existed without constitutional qualms or challenges."). </w:t>
      </w:r>
      <w:bookmarkStart w:id="510" w:name="Bookmark_I6B11G1C28T43Y0050000400"/>
      <w:bookmarkEnd w:id="510"/>
      <w:r>
        <w:rPr>
          <w:rFonts w:ascii="arial" w:eastAsia="arial" w:hAnsi="arial" w:cs="arial"/>
          <w:b w:val="0"/>
          <w:i w:val="0"/>
          <w:strike w:val="0"/>
          <w:noProof w:val="0"/>
          <w:color w:val="000000"/>
          <w:position w:val="0"/>
          <w:sz w:val="20"/>
          <w:u w:val="none"/>
          <w:vertAlign w:val="baseline"/>
        </w:rPr>
        <w:t xml:space="preserve">This historical evidence strongly confirms the evidence the state has cited from the eighteen century and earlier in the nineteenth century. </w:t>
      </w:r>
      <w:bookmarkStart w:id="511" w:name="Bookmark_I6B11G1C2HM6C50040000400"/>
      <w:bookmarkEnd w:id="511"/>
      <w:r>
        <w:rPr>
          <w:rFonts w:ascii="arial" w:eastAsia="arial" w:hAnsi="arial" w:cs="arial"/>
          <w:b w:val="0"/>
          <w:i w:val="0"/>
          <w:strike w:val="0"/>
          <w:noProof w:val="0"/>
          <w:color w:val="000000"/>
          <w:position w:val="0"/>
          <w:sz w:val="20"/>
          <w:u w:val="none"/>
          <w:vertAlign w:val="baseline"/>
        </w:rPr>
        <w:t xml:space="preserve">It shows licensing requirements are a "[l]ong settled and established practice" with "great weight in a proper interpretation" of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t>
      </w:r>
      <w:bookmarkStart w:id="512" w:name="Bookmark_I6B11G1C28T43Y0040000400"/>
      <w:bookmarkEnd w:id="512"/>
      <w:r>
        <w:rPr>
          <w:rFonts w:ascii="arial" w:eastAsia="arial" w:hAnsi="arial" w:cs="arial"/>
          <w:b w:val="0"/>
          <w:i/>
          <w:strike w:val="0"/>
          <w:noProof w:val="0"/>
          <w:color w:val="000000"/>
          <w:position w:val="0"/>
          <w:sz w:val="20"/>
          <w:u w:val="none"/>
          <w:vertAlign w:val="baseline"/>
        </w:rPr>
        <w:t>Chiafalo</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none"/>
          <w:vertAlign w:val="baseline"/>
        </w:rPr>
        <w:t> [*1124] </w:t>
      </w:r>
      <w:r>
        <w:rPr>
          <w:rFonts w:ascii="arial" w:eastAsia="arial" w:hAnsi="arial" w:cs="arial"/>
          <w:b w:val="0"/>
          <w:i/>
          <w:strike w:val="0"/>
          <w:noProof w:val="0"/>
          <w:color w:val="000000"/>
          <w:position w:val="0"/>
          <w:sz w:val="20"/>
          <w:u w:val="none"/>
          <w:vertAlign w:val="baseline"/>
        </w:rPr>
        <w:t xml:space="preserve"> 140 S. Ct. at 2326</w:t>
      </w:r>
      <w:r>
        <w:rPr>
          <w:rFonts w:ascii="arial" w:eastAsia="arial" w:hAnsi="arial" w:cs="arial"/>
          <w:b w:val="0"/>
          <w:i w:val="0"/>
          <w:strike w:val="0"/>
          <w:noProof w:val="0"/>
          <w:color w:val="000000"/>
          <w:position w:val="0"/>
          <w:sz w:val="20"/>
          <w:u w:val="none"/>
          <w:vertAlign w:val="baseline"/>
        </w:rPr>
        <w:t xml:space="preserve"> (quoting </w:t>
      </w:r>
      <w:bookmarkStart w:id="513" w:name="Bookmark_I6B11G1C2HM6C50010000400"/>
      <w:bookmarkEnd w:id="513"/>
      <w:hyperlink r:id="rId104" w:history="1">
        <w:r>
          <w:rPr>
            <w:rFonts w:ascii="arial" w:eastAsia="arial" w:hAnsi="arial" w:cs="arial"/>
            <w:b w:val="0"/>
            <w:i/>
            <w:strike w:val="0"/>
            <w:noProof w:val="0"/>
            <w:color w:val="0077CC"/>
            <w:position w:val="0"/>
            <w:sz w:val="20"/>
            <w:u w:val="single"/>
            <w:vertAlign w:val="baseline"/>
          </w:rPr>
          <w:t>The Pocket Veto Case</w:t>
        </w:r>
      </w:hyperlink>
      <w:hyperlink r:id="rId104" w:history="1">
        <w:r>
          <w:rPr>
            <w:rFonts w:ascii="arial" w:eastAsia="arial" w:hAnsi="arial" w:cs="arial"/>
            <w:b w:val="0"/>
            <w:i/>
            <w:strike w:val="0"/>
            <w:noProof w:val="0"/>
            <w:color w:val="0077CC"/>
            <w:position w:val="0"/>
            <w:sz w:val="20"/>
            <w:u w:val="single"/>
            <w:vertAlign w:val="baseline"/>
          </w:rPr>
          <w:t>, 279 U.S. 655, 689, 49 S. Ct. 463, 73 L. Ed. 894, 68 Ct. Cl. 786 (1929)</w:t>
        </w:r>
      </w:hyperlink>
      <w:r>
        <w:rPr>
          <w:rFonts w:ascii="arial" w:eastAsia="arial" w:hAnsi="arial" w:cs="arial"/>
          <w:b w:val="0"/>
          <w:i w:val="0"/>
          <w:strike w:val="0"/>
          <w:noProof w:val="0"/>
          <w:color w:val="000000"/>
          <w:position w:val="0"/>
          <w:sz w:val="20"/>
          <w:u w:val="none"/>
          <w:vertAlign w:val="baseline"/>
        </w:rPr>
        <w:t xml:space="preserve">). </w:t>
      </w:r>
      <w:bookmarkStart w:id="514" w:name="Bookmark_I6B11G1C2HM6C50040000400_2"/>
      <w:bookmarkEnd w:id="514"/>
      <w:r>
        <w:rPr>
          <w:rFonts w:ascii="arial" w:eastAsia="arial" w:hAnsi="arial" w:cs="arial"/>
          <w:b w:val="0"/>
          <w:i w:val="0"/>
          <w:strike w:val="0"/>
          <w:noProof w:val="0"/>
          <w:color w:val="000000"/>
          <w:position w:val="0"/>
          <w:sz w:val="20"/>
          <w:u w:val="none"/>
          <w:vertAlign w:val="baseline"/>
        </w:rPr>
        <w:t xml:space="preserve">Firearm licenses are part of "our whole experience as a Nation."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515" w:name="Bookmark_I6B11G1C2HM6C50030000400"/>
      <w:bookmarkEnd w:id="515"/>
      <w:hyperlink r:id="rId58" w:history="1">
        <w:r>
          <w:rPr>
            <w:rFonts w:ascii="arial" w:eastAsia="arial" w:hAnsi="arial" w:cs="arial"/>
            <w:b w:val="0"/>
            <w:i/>
            <w:strike w:val="0"/>
            <w:noProof w:val="0"/>
            <w:color w:val="0077CC"/>
            <w:position w:val="0"/>
            <w:sz w:val="20"/>
            <w:u w:val="single"/>
            <w:vertAlign w:val="baseline"/>
          </w:rPr>
          <w:t>N.L.R.B. v. Noel Canning</w:t>
        </w:r>
      </w:hyperlink>
      <w:hyperlink r:id="rId58" w:history="1">
        <w:r>
          <w:rPr>
            <w:rFonts w:ascii="arial" w:eastAsia="arial" w:hAnsi="arial" w:cs="arial"/>
            <w:b w:val="0"/>
            <w:i/>
            <w:strike w:val="0"/>
            <w:noProof w:val="0"/>
            <w:color w:val="0077CC"/>
            <w:position w:val="0"/>
            <w:sz w:val="20"/>
            <w:u w:val="single"/>
            <w:vertAlign w:val="baseline"/>
          </w:rPr>
          <w:t>, 573 U.S. 513, 557, 134 S. Ct. 2550, 189 L. Ed. 2d 538 (2014)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16" w:name="Bookmark_para_103"/>
      <w:bookmarkEnd w:id="516"/>
      <w:r>
        <w:rPr>
          <w:rFonts w:ascii="arial" w:eastAsia="arial" w:hAnsi="arial" w:cs="arial"/>
          <w:b w:val="0"/>
          <w:i w:val="0"/>
          <w:strike w:val="0"/>
          <w:noProof w:val="0"/>
          <w:color w:val="000000"/>
          <w:position w:val="0"/>
          <w:sz w:val="20"/>
          <w:u w:val="none"/>
          <w:vertAlign w:val="baseline"/>
        </w:rPr>
        <w:t>Viewed in perspective, then, the American tradition of firearms regulation is a patchwork history of bans, presumptions, taxes, licenses, and bonds that governments have used to keep weapons away from people who were not "ordinary, law-abiding citizens." Rather than relying on such a patchwork, California requires everyone to obtain a license before they carry handguns in public, and it relies on specific, objective</w:t>
      </w:r>
      <w:r>
        <w:rPr>
          <w:rFonts w:ascii="arial" w:eastAsia="arial" w:hAnsi="arial" w:cs="arial"/>
          <w:b/>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 xml:space="preserve"> criteria to identify those who are not "ordinary, law2 abiding citizens." The state's licensing system also fits comfortably within the history of licensing regimes adopted after the </w:t>
      </w:r>
      <w:hyperlink r:id="rId59"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took effect. Baird and Gallardo cannot prevail in their claim that California violates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simply by requiring people to obtain a license.</w:t>
      </w:r>
    </w:p>
    <w:p>
      <w:pPr>
        <w:keepNext w:val="0"/>
        <w:spacing w:before="200" w:after="0" w:line="260" w:lineRule="atLeast"/>
        <w:ind w:left="0" w:right="0" w:firstLine="0"/>
        <w:jc w:val="both"/>
      </w:pPr>
      <w:bookmarkStart w:id="517" w:name="Bookmark_para_104"/>
      <w:bookmarkEnd w:id="517"/>
      <w:r>
        <w:rPr>
          <w:rFonts w:ascii="arial" w:eastAsia="arial" w:hAnsi="arial" w:cs="arial"/>
          <w:b w:val="0"/>
          <w:i w:val="0"/>
          <w:strike w:val="0"/>
          <w:noProof w:val="0"/>
          <w:color w:val="000000"/>
          <w:position w:val="0"/>
          <w:sz w:val="20"/>
          <w:u w:val="none"/>
          <w:vertAlign w:val="baseline"/>
        </w:rPr>
        <w:t xml:space="preserve">This conclusion withstands Baird and Gallardo's argument that California has criminalized a natural right.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Pls.' Mem. at 2-3; Pls.' Reply at 1-2, 4-5. It has not. California imposes criminal penalties only on those who carry guns in public without a license, and only then against people who cannot rely on a statutory exception, such as the exception for reasonable responses to imminent threats to safety and property. Nor can Baird and Gallardo obtain summary judgment by denying that their lawsuit challenges the licensing system and refocusing on the criminal code, as they do in their reply.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Pls.' Reply at 8. Their pleadings plainly contend licenses themselves are unconstitutional.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Second Am. Compl. ¶ 8 ("No permission from the government, licensing, registration, or any other action was required (or even imagined) for people to exercise the</w:t>
      </w:r>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God-bestowed, preexisting right that was later codified in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Pls.' Mem. at 3 ("[T]he State failed to identify an historical analogue for requiring ordinary people to apply for and obtain a license to exercise the right to 'bear Arms.'");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 ("Licensing is also repugnant to the plain text of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 . . ."); Pls.' Reply at 8 ("Licensing a 'preexisting and guaranteed right' is an oxymoron."). Even if the court were to consider plaintiff's eleventh-hour argument, American governments have used criminal laws to enforce their firearms restrictions for hundreds of years. </w:t>
      </w:r>
      <w:bookmarkStart w:id="518" w:name="Bookmark_I6B11G1C2D6NNX0010000400"/>
      <w:bookmarkEnd w:id="518"/>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Def.'s Opp'n at 10-15; Spitzer Decl. at 6-17; Rivas Decl. at 17-30. The New York licensing system in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also imposed criminal penalties, and the Supreme Court did not doubt that New York could continue to enforce it, provided the state renounced its "proper cause" requirement.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519" w:name="Bookmark_I6B11G1C2HM6C50050000400"/>
      <w:bookmarkEnd w:id="519"/>
      <w:hyperlink r:id="rId11" w:history="1">
        <w:r>
          <w:rPr>
            <w:rFonts w:ascii="arial" w:eastAsia="arial" w:hAnsi="arial" w:cs="arial"/>
            <w:b w:val="0"/>
            <w:i/>
            <w:strike w:val="0"/>
            <w:noProof w:val="0"/>
            <w:color w:val="0077CC"/>
            <w:position w:val="0"/>
            <w:sz w:val="20"/>
            <w:u w:val="single"/>
            <w:vertAlign w:val="baseline"/>
          </w:rPr>
          <w:t>142 S. Ct. 2122</w:t>
        </w:r>
      </w:hyperlink>
      <w:r>
        <w:rPr>
          <w:rFonts w:ascii="arial" w:eastAsia="arial" w:hAnsi="arial" w:cs="arial"/>
          <w:b w:val="0"/>
          <w:i w:val="0"/>
          <w:strike w:val="0"/>
          <w:noProof w:val="0"/>
          <w:color w:val="000000"/>
          <w:position w:val="0"/>
          <w:sz w:val="20"/>
          <w:u w:val="none"/>
          <w:vertAlign w:val="baseline"/>
        </w:rPr>
        <w:t xml:space="preserve"> (summarizing law); </w:t>
      </w:r>
      <w:r>
        <w:rPr>
          <w:rFonts w:ascii="arial" w:eastAsia="arial" w:hAnsi="arial" w:cs="arial"/>
          <w:b w:val="0"/>
          <w:i/>
          <w:strike w:val="0"/>
          <w:noProof w:val="0"/>
          <w:color w:val="000000"/>
          <w:position w:val="0"/>
          <w:sz w:val="20"/>
          <w:u w:val="none"/>
          <w:vertAlign w:val="baseline"/>
        </w:rPr>
        <w:t xml:space="preserve">see also </w:t>
      </w:r>
      <w:bookmarkStart w:id="520" w:name="Bookmark_I6B11G1C2D6NNX0020000400"/>
      <w:bookmarkEnd w:id="520"/>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2162</w:t>
        </w:r>
      </w:hyperlink>
      <w:r>
        <w:rPr>
          <w:rFonts w:ascii="arial" w:eastAsia="arial" w:hAnsi="arial" w:cs="arial"/>
          <w:b w:val="0"/>
          <w:i w:val="0"/>
          <w:strike w:val="0"/>
          <w:noProof w:val="0"/>
          <w:color w:val="000000"/>
          <w:position w:val="0"/>
          <w:sz w:val="20"/>
          <w:u w:val="none"/>
          <w:vertAlign w:val="baseline"/>
        </w:rPr>
        <w:t xml:space="preserve"> (Kavanaugh, J., concurring) ("[T]he 6 States including New York potentially affected by today's decision may continue to require licenses for carrying handguns for self-defense so long as those States employ objective licensing requirements like those used by the 43 shall-issue States.").</w:t>
      </w:r>
      <w:r>
        <w:rPr>
          <w:rFonts w:ascii="arial" w:eastAsia="arial" w:hAnsi="arial" w:cs="arial"/>
          <w:b/>
          <w:i w:val="0"/>
          <w:strike w:val="0"/>
          <w:noProof w:val="0"/>
          <w:color w:val="000000"/>
          <w:position w:val="0"/>
          <w:sz w:val="20"/>
          <w:u w:val="none"/>
          <w:vertAlign w:val="baseline"/>
        </w:rPr>
        <w:t> [**81] </w:t>
      </w:r>
    </w:p>
    <w:p>
      <w:pPr>
        <w:keepNext w:val="0"/>
        <w:spacing w:before="240" w:after="0" w:line="260" w:lineRule="atLeast"/>
        <w:ind w:left="0" w:right="0" w:firstLine="0"/>
        <w:jc w:val="both"/>
      </w:pPr>
      <w:bookmarkStart w:id="521" w:name="Bookmark_para_105"/>
      <w:bookmarkEnd w:id="521"/>
      <w:r>
        <w:rPr>
          <w:rFonts w:ascii="arial" w:eastAsia="arial" w:hAnsi="arial" w:cs="arial"/>
          <w:b w:val="0"/>
          <w:i w:val="0"/>
          <w:strike w:val="0"/>
          <w:noProof w:val="0"/>
          <w:color w:val="000000"/>
          <w:position w:val="0"/>
          <w:sz w:val="20"/>
          <w:u w:val="none"/>
          <w:vertAlign w:val="baseline"/>
        </w:rPr>
        <w:t xml:space="preserve">Nor are Baird and Gallardo correct in their argument that California's licensing system continues to be enforced as an unconstitutionally discretionary "may-issue" regime. </w:t>
      </w:r>
      <w:bookmarkStart w:id="522" w:name="Bookmark_I6B11G1C2D6NNX0050000400"/>
      <w:bookmarkEnd w:id="522"/>
      <w:r>
        <w:rPr>
          <w:rFonts w:ascii="arial" w:eastAsia="arial" w:hAnsi="arial" w:cs="arial"/>
          <w:b w:val="0"/>
          <w:i w:val="0"/>
          <w:strike w:val="0"/>
          <w:noProof w:val="0"/>
          <w:color w:val="000000"/>
          <w:position w:val="0"/>
          <w:sz w:val="20"/>
          <w:u w:val="none"/>
          <w:vertAlign w:val="baseline"/>
        </w:rPr>
        <w:t xml:space="preserve">The defendant, the California Attorney General, has made clear the state will no longer require "good cause," as noted above. And as the Supreme Court noted in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a state law is not unconstitutionally discretionary just because it uses some specific forbidden words, but rather because its effect is to restrict constitutional</w:t>
      </w:r>
      <w:r>
        <w:rPr>
          <w:rFonts w:ascii="arial" w:eastAsia="arial" w:hAnsi="arial" w:cs="arial"/>
          <w:b/>
          <w:i w:val="0"/>
          <w:strike w:val="0"/>
          <w:noProof w:val="0"/>
          <w:color w:val="000000"/>
          <w:position w:val="0"/>
          <w:sz w:val="20"/>
          <w:u w:val="none"/>
          <w:vertAlign w:val="baseline"/>
        </w:rPr>
        <w:t> [*1125] </w:t>
      </w:r>
      <w:r>
        <w:rPr>
          <w:rFonts w:ascii="arial" w:eastAsia="arial" w:hAnsi="arial" w:cs="arial"/>
          <w:b w:val="0"/>
          <w:i w:val="0"/>
          <w:strike w:val="0"/>
          <w:noProof w:val="0"/>
          <w:color w:val="000000"/>
          <w:position w:val="0"/>
          <w:sz w:val="20"/>
          <w:u w:val="none"/>
          <w:vertAlign w:val="baseline"/>
        </w:rPr>
        <w:t xml:space="preserve"> rights. </w:t>
      </w:r>
      <w:r>
        <w:rPr>
          <w:rFonts w:ascii="arial" w:eastAsia="arial" w:hAnsi="arial" w:cs="arial"/>
          <w:b w:val="0"/>
          <w:i/>
          <w:strike w:val="0"/>
          <w:noProof w:val="0"/>
          <w:color w:val="000000"/>
          <w:position w:val="0"/>
          <w:sz w:val="20"/>
          <w:u w:val="none"/>
          <w:vertAlign w:val="baseline"/>
        </w:rPr>
        <w:t xml:space="preserve">See </w:t>
      </w:r>
      <w:bookmarkStart w:id="523" w:name="Bookmark_I6B11G1C2D6NNX0040000400"/>
      <w:bookmarkEnd w:id="523"/>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2123 n.1</w:t>
        </w:r>
      </w:hyperlink>
      <w:r>
        <w:rPr>
          <w:rFonts w:ascii="arial" w:eastAsia="arial" w:hAnsi="arial" w:cs="arial"/>
          <w:b w:val="0"/>
          <w:i w:val="0"/>
          <w:strike w:val="0"/>
          <w:noProof w:val="0"/>
          <w:color w:val="000000"/>
          <w:position w:val="0"/>
          <w:sz w:val="20"/>
          <w:u w:val="none"/>
          <w:vertAlign w:val="baseline"/>
        </w:rPr>
        <w:t xml:space="preserve"> (citing Connecticut, Delaware and Rhode Island laws with "discretionary criteria" that however "appear to operate like [the laws in] 'shall issue' jurisdictions"); </w:t>
      </w:r>
      <w:bookmarkStart w:id="524" w:name="Bookmark_I6B11G1C28T4450010000400"/>
      <w:bookmarkEnd w:id="524"/>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2123</w:t>
        </w:r>
      </w:hyperlink>
      <w:r>
        <w:rPr>
          <w:rFonts w:ascii="arial" w:eastAsia="arial" w:hAnsi="arial" w:cs="arial"/>
          <w:b w:val="0"/>
          <w:i w:val="0"/>
          <w:strike w:val="0"/>
          <w:noProof w:val="0"/>
          <w:color w:val="000000"/>
          <w:position w:val="0"/>
          <w:sz w:val="20"/>
          <w:u w:val="none"/>
          <w:vertAlign w:val="baseline"/>
        </w:rPr>
        <w:t xml:space="preserve"> (explaining New York courts' interpretation of the "proper cause" requirement at issue, noting the absence of a statutory definition). California may require people to obtain licenses before they carry firearms openly in public without violating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California's open-carry licensing system is consistent with the historical tradition reflected in the record before the court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25" w:name="Bookmark_para_106"/>
      <w:bookmarkEnd w:id="525"/>
      <w:r>
        <w:rPr>
          <w:rFonts w:ascii="arial" w:eastAsia="arial" w:hAnsi="arial" w:cs="arial"/>
          <w:b w:val="0"/>
          <w:i w:val="0"/>
          <w:strike w:val="0"/>
          <w:noProof w:val="0"/>
          <w:color w:val="000000"/>
          <w:position w:val="0"/>
          <w:sz w:val="20"/>
          <w:u w:val="none"/>
          <w:vertAlign w:val="baseline"/>
        </w:rPr>
        <w:t xml:space="preserve">The next question is whether California's licensing system violates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by preventing people, including Baird and Gallardo, from carrying handguns</w:t>
      </w:r>
      <w:r>
        <w:rPr>
          <w:rFonts w:ascii="arial" w:eastAsia="arial" w:hAnsi="arial" w:cs="arial"/>
          <w:b/>
          <w:i w:val="0"/>
          <w:strike w:val="0"/>
          <w:noProof w:val="0"/>
          <w:color w:val="000000"/>
          <w:position w:val="0"/>
          <w:sz w:val="20"/>
          <w:u w:val="none"/>
          <w:vertAlign w:val="baseline"/>
        </w:rPr>
        <w:t> [**82] </w:t>
      </w:r>
      <w:r>
        <w:rPr>
          <w:rFonts w:ascii="arial" w:eastAsia="arial" w:hAnsi="arial" w:cs="arial"/>
          <w:b w:val="0"/>
          <w:i w:val="0"/>
          <w:strike w:val="0"/>
          <w:noProof w:val="0"/>
          <w:color w:val="000000"/>
          <w:position w:val="0"/>
          <w:sz w:val="20"/>
          <w:u w:val="none"/>
          <w:vertAlign w:val="baseline"/>
        </w:rPr>
        <w:t xml:space="preserve"> openly in about half of California's counties. Baird and Gallardo argue California must defend its laws specifically as restrictions on openly carrying firearms in public.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notes 3-4. That is, they contend the state cannot rely on historical restrictions on carrying concealed weapons, but must instead cite only restrictions on carrying weapons openly.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Pls.' Mem. at 20. California argues the right in question is not the right to carry firearms in some specific way, such as openly or concealed, but rather the right to carry firearms in public for self-defense in general.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Def.'s Mem. at 6 ("[T]he term 'bear' in 'to keep and bear arms' requires some form of public carry but does not require open carry."); Def.'s Opp'n at 5 ("[N]ot all forms of public carry are required. . . . [S]tates can restrict some forms of public carry if it allows others." (emphasis omitted)). These competing positions illustrate how the scope of a plaintiff's rights can be pivotal in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cases. In general, plaintiffs who assert rights under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will have an incentive to define the challenged state laws and their own rights narrowly and in turn to demand similarly specific evidence from</w:t>
      </w:r>
      <w:r>
        <w:rPr>
          <w:rFonts w:ascii="arial" w:eastAsia="arial" w:hAnsi="arial" w:cs="arial"/>
          <w:b/>
          <w:i w:val="0"/>
          <w:strike w:val="0"/>
          <w:noProof w:val="0"/>
          <w:color w:val="000000"/>
          <w:position w:val="0"/>
          <w:sz w:val="20"/>
          <w:u w:val="none"/>
          <w:vertAlign w:val="baseline"/>
        </w:rPr>
        <w:t> [**83] </w:t>
      </w:r>
      <w:r>
        <w:rPr>
          <w:rFonts w:ascii="arial" w:eastAsia="arial" w:hAnsi="arial" w:cs="arial"/>
          <w:b w:val="0"/>
          <w:i w:val="0"/>
          <w:strike w:val="0"/>
          <w:noProof w:val="0"/>
          <w:color w:val="000000"/>
          <w:position w:val="0"/>
          <w:sz w:val="20"/>
          <w:u w:val="none"/>
          <w:vertAlign w:val="baseline"/>
        </w:rPr>
        <w:t xml:space="preserve"> the government. States will have an incentive to define the plaintiffs' rights and its own laws broadly and to offer broader evidence.</w:t>
      </w:r>
    </w:p>
    <w:p>
      <w:pPr>
        <w:keepNext w:val="0"/>
        <w:spacing w:before="240" w:after="0" w:line="260" w:lineRule="atLeast"/>
        <w:ind w:left="0" w:right="0" w:firstLine="0"/>
        <w:jc w:val="both"/>
      </w:pPr>
      <w:bookmarkStart w:id="526" w:name="Bookmark_para_107"/>
      <w:bookmarkEnd w:id="526"/>
      <w:bookmarkStart w:id="527" w:name="Bookmark_I6B11G1C28T4450040000400"/>
      <w:bookmarkEnd w:id="527"/>
      <w:r>
        <w:rPr>
          <w:rFonts w:ascii="arial" w:eastAsia="arial" w:hAnsi="arial" w:cs="arial"/>
          <w:b w:val="0"/>
          <w:i w:val="0"/>
          <w:strike w:val="0"/>
          <w:noProof w:val="0"/>
          <w:color w:val="000000"/>
          <w:position w:val="0"/>
          <w:sz w:val="20"/>
          <w:u w:val="none"/>
          <w:vertAlign w:val="baseline"/>
        </w:rPr>
        <w:t xml:space="preserve">Defining a plaintiff's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rights may be difficult in some cases, but in this one, the Court's opinion in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makes the decision relatively simple. </w:t>
      </w:r>
      <w:bookmarkStart w:id="528" w:name="Bookmark_I6B11G1C2SF7TH0030000400"/>
      <w:bookmarkEnd w:id="528"/>
      <w:r>
        <w:rPr>
          <w:rFonts w:ascii="arial" w:eastAsia="arial" w:hAnsi="arial" w:cs="arial"/>
          <w:b w:val="0"/>
          <w:i w:val="0"/>
          <w:strike w:val="0"/>
          <w:noProof w:val="0"/>
          <w:color w:val="000000"/>
          <w:position w:val="0"/>
          <w:sz w:val="20"/>
          <w:u w:val="none"/>
          <w:vertAlign w:val="baseline"/>
        </w:rPr>
        <w:t xml:space="preserve">The plaintiffs in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focused their complaint on laws that prevented them from carrying handguns for self-defense outside their homes and businesses. </w:t>
      </w:r>
      <w:bookmarkStart w:id="529" w:name="Bookmark_I6B11G1C28T4450030000400"/>
      <w:bookmarkEnd w:id="529"/>
      <w:hyperlink r:id="rId11" w:history="1">
        <w:r>
          <w:rPr>
            <w:rFonts w:ascii="arial" w:eastAsia="arial" w:hAnsi="arial" w:cs="arial"/>
            <w:b w:val="0"/>
            <w:i/>
            <w:strike w:val="0"/>
            <w:noProof w:val="0"/>
            <w:color w:val="0077CC"/>
            <w:position w:val="0"/>
            <w:sz w:val="20"/>
            <w:u w:val="single"/>
            <w:vertAlign w:val="baseline"/>
          </w:rPr>
          <w:t>142 S. Ct. at 2125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bookmarkStart w:id="530" w:name="Bookmark_I6B11G1C28T4450050000400"/>
      <w:bookmarkEnd w:id="530"/>
      <w:hyperlink r:id="rId105" w:history="1">
        <w:r>
          <w:rPr>
            <w:rFonts w:ascii="arial" w:eastAsia="arial" w:hAnsi="arial" w:cs="arial"/>
            <w:b w:val="0"/>
            <w:i/>
            <w:strike w:val="0"/>
            <w:noProof w:val="0"/>
            <w:color w:val="0077CC"/>
            <w:position w:val="0"/>
            <w:sz w:val="20"/>
            <w:u w:val="single"/>
            <w:vertAlign w:val="baseline"/>
          </w:rPr>
          <w:t>354 F. Supp. 3d 143, 146 (N.D.N.Y. 2018)</w:t>
        </w:r>
      </w:hyperlink>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complaint). </w:t>
      </w:r>
      <w:bookmarkStart w:id="531" w:name="Bookmark_I6B11G1C2SF7TH0050000400"/>
      <w:bookmarkEnd w:id="531"/>
      <w:r>
        <w:rPr>
          <w:rFonts w:ascii="arial" w:eastAsia="arial" w:hAnsi="arial" w:cs="arial"/>
          <w:b w:val="0"/>
          <w:i w:val="0"/>
          <w:strike w:val="0"/>
          <w:noProof w:val="0"/>
          <w:color w:val="000000"/>
          <w:position w:val="0"/>
          <w:sz w:val="20"/>
          <w:u w:val="none"/>
          <w:vertAlign w:val="baseline"/>
        </w:rPr>
        <w:t xml:space="preserve">The Court accepted that framing, but considered the statute as a whole. </w:t>
      </w:r>
      <w:bookmarkStart w:id="532" w:name="Bookmark_I6B11G1C2SF7TH0050000400_2"/>
      <w:bookmarkEnd w:id="532"/>
      <w:bookmarkStart w:id="533" w:name="Bookmark_I6B11G1C2SF7TH0030000400_2"/>
      <w:bookmarkEnd w:id="533"/>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534" w:name="Bookmark_I6B11G1C2SF7TH0020000400"/>
      <w:bookmarkEnd w:id="534"/>
      <w:hyperlink r:id="rId11" w:history="1">
        <w:r>
          <w:rPr>
            <w:rFonts w:ascii="arial" w:eastAsia="arial" w:hAnsi="arial" w:cs="arial"/>
            <w:b w:val="0"/>
            <w:i/>
            <w:strike w:val="0"/>
            <w:noProof w:val="0"/>
            <w:color w:val="0077CC"/>
            <w:position w:val="0"/>
            <w:sz w:val="20"/>
            <w:u w:val="single"/>
            <w:vertAlign w:val="baseline"/>
          </w:rPr>
          <w:t>142 S. Ct. at 2122-24</w:t>
        </w:r>
      </w:hyperlink>
      <w:r>
        <w:rPr>
          <w:rFonts w:ascii="arial" w:eastAsia="arial" w:hAnsi="arial" w:cs="arial"/>
          <w:b w:val="0"/>
          <w:i w:val="0"/>
          <w:strike w:val="0"/>
          <w:noProof w:val="0"/>
          <w:color w:val="000000"/>
          <w:position w:val="0"/>
          <w:sz w:val="20"/>
          <w:u w:val="none"/>
          <w:vertAlign w:val="baseline"/>
        </w:rPr>
        <w:t xml:space="preserve">. </w:t>
      </w:r>
      <w:bookmarkStart w:id="535" w:name="Bookmark_I6B11G1C2N1RG60020000400"/>
      <w:bookmarkEnd w:id="535"/>
      <w:r>
        <w:rPr>
          <w:rFonts w:ascii="arial" w:eastAsia="arial" w:hAnsi="arial" w:cs="arial"/>
          <w:b w:val="0"/>
          <w:i w:val="0"/>
          <w:strike w:val="0"/>
          <w:noProof w:val="0"/>
          <w:color w:val="000000"/>
          <w:position w:val="0"/>
          <w:sz w:val="20"/>
          <w:u w:val="none"/>
          <w:vertAlign w:val="baseline"/>
        </w:rPr>
        <w:t xml:space="preserve">People could carry a concealed pistol or revolver for self-defense outside their homes and businesses if they demonstrated a "special need for self-protection distinguishable from that of the general community." </w:t>
      </w:r>
      <w:bookmarkStart w:id="536" w:name="Bookmark_I6B11G1C2SF7TH0040000400"/>
      <w:bookmarkEnd w:id="536"/>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2123</w:t>
        </w:r>
      </w:hyperlink>
      <w:r>
        <w:rPr>
          <w:rFonts w:ascii="arial" w:eastAsia="arial" w:hAnsi="arial" w:cs="arial"/>
          <w:b w:val="0"/>
          <w:i w:val="0"/>
          <w:strike w:val="0"/>
          <w:noProof w:val="0"/>
          <w:color w:val="000000"/>
          <w:position w:val="0"/>
          <w:sz w:val="20"/>
          <w:u w:val="none"/>
          <w:vertAlign w:val="baseline"/>
        </w:rPr>
        <w:t xml:space="preserve"> (citation omitted). </w:t>
      </w:r>
      <w:bookmarkStart w:id="537" w:name="Bookmark_I6B11G1C2N1RG60020000400_2"/>
      <w:bookmarkEnd w:id="537"/>
      <w:r>
        <w:rPr>
          <w:rFonts w:ascii="arial" w:eastAsia="arial" w:hAnsi="arial" w:cs="arial"/>
          <w:b w:val="0"/>
          <w:i w:val="0"/>
          <w:strike w:val="0"/>
          <w:noProof w:val="0"/>
          <w:color w:val="000000"/>
          <w:position w:val="0"/>
          <w:sz w:val="20"/>
          <w:u w:val="none"/>
          <w:vertAlign w:val="baseline"/>
        </w:rPr>
        <w:t xml:space="preserve">The Supreme Court confirmed the plaintiffs had a right to carry handguns publicly for self-defense without showing "proper cause," as the state did not show that requirement was consistent with the historical tradition of firearm regulation. </w:t>
      </w:r>
      <w:bookmarkStart w:id="538" w:name="Bookmark_I6B11G1C2N1RG60010000400"/>
      <w:bookmarkEnd w:id="538"/>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2156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39" w:name="Bookmark_para_108"/>
      <w:bookmarkEnd w:id="539"/>
      <w:bookmarkStart w:id="540" w:name="Bookmark_I6B11G1C2N1RG60040000400"/>
      <w:bookmarkEnd w:id="540"/>
      <w:r>
        <w:rPr>
          <w:rFonts w:ascii="arial" w:eastAsia="arial" w:hAnsi="arial" w:cs="arial"/>
          <w:b w:val="0"/>
          <w:i w:val="0"/>
          <w:strike w:val="0"/>
          <w:noProof w:val="0"/>
          <w:color w:val="000000"/>
          <w:position w:val="0"/>
          <w:sz w:val="20"/>
          <w:u w:val="none"/>
          <w:vertAlign w:val="baseline"/>
        </w:rPr>
        <w:t xml:space="preserve">The Court in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did not decide, however, whether the plaintiffs had a right to carry handguns openly or concealed. Nor did the Court consider what other restrictions the state</w:t>
      </w:r>
      <w:r>
        <w:rPr>
          <w:rFonts w:ascii="arial" w:eastAsia="arial" w:hAnsi="arial" w:cs="arial"/>
          <w:b/>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 xml:space="preserve"> might lawfully impose on that right, such as banning handguns from specific sensitive places.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541" w:name="Bookmark_I6B11G1C2N1RG60030000400"/>
      <w:bookmarkEnd w:id="541"/>
      <w:hyperlink r:id="rId11" w:history="1">
        <w:r>
          <w:rPr>
            <w:rFonts w:ascii="arial" w:eastAsia="arial" w:hAnsi="arial" w:cs="arial"/>
            <w:b w:val="0"/>
            <w:i/>
            <w:strike w:val="0"/>
            <w:noProof w:val="0"/>
            <w:color w:val="0077CC"/>
            <w:position w:val="0"/>
            <w:sz w:val="20"/>
            <w:u w:val="single"/>
            <w:vertAlign w:val="baseline"/>
          </w:rPr>
          <w:t>142 S. Ct. at 2133</w:t>
        </w:r>
      </w:hyperlink>
      <w:r>
        <w:rPr>
          <w:rFonts w:ascii="arial" w:eastAsia="arial" w:hAnsi="arial" w:cs="arial"/>
          <w:b w:val="0"/>
          <w:i w:val="0"/>
          <w:strike w:val="0"/>
          <w:noProof w:val="0"/>
          <w:color w:val="000000"/>
          <w:position w:val="0"/>
          <w:sz w:val="20"/>
          <w:u w:val="none"/>
          <w:vertAlign w:val="baseline"/>
        </w:rPr>
        <w:t xml:space="preserve">. But as California points out, Cal. Opp'n at 5, the Court construed the right in question broadly as "the right to carry handguns publicly for their self-defense," and the Court suggested strongly that states could adopt regulations very much </w:t>
      </w:r>
      <w:r>
        <w:rPr>
          <w:rFonts w:ascii="arial" w:eastAsia="arial" w:hAnsi="arial" w:cs="arial"/>
          <w:b/>
          <w:i w:val="0"/>
          <w:strike w:val="0"/>
          <w:noProof w:val="0"/>
          <w:color w:val="000000"/>
          <w:position w:val="0"/>
          <w:sz w:val="20"/>
          <w:u w:val="none"/>
          <w:vertAlign w:val="baseline"/>
        </w:rPr>
        <w:t> [*1126] </w:t>
      </w:r>
      <w:r>
        <w:rPr>
          <w:rFonts w:ascii="arial" w:eastAsia="arial" w:hAnsi="arial" w:cs="arial"/>
          <w:b w:val="0"/>
          <w:i w:val="0"/>
          <w:strike w:val="0"/>
          <w:noProof w:val="0"/>
          <w:color w:val="000000"/>
          <w:position w:val="0"/>
          <w:sz w:val="20"/>
          <w:u w:val="none"/>
          <w:vertAlign w:val="baseline"/>
        </w:rPr>
        <w:t xml:space="preserve"> like California's without violating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542" w:name="Bookmark_para_109"/>
      <w:bookmarkEnd w:id="542"/>
      <w:r>
        <w:rPr>
          <w:rFonts w:ascii="arial" w:eastAsia="arial" w:hAnsi="arial" w:cs="arial"/>
          <w:b w:val="0"/>
          <w:i w:val="0"/>
          <w:strike w:val="0"/>
          <w:noProof w:val="0"/>
          <w:color w:val="000000"/>
          <w:position w:val="0"/>
          <w:sz w:val="20"/>
          <w:u w:val="none"/>
          <w:vertAlign w:val="baseline"/>
        </w:rPr>
        <w:t xml:space="preserve">The historical evidence from antebellum America does demonstrate that the </w:t>
      </w:r>
      <w:r>
        <w:rPr>
          <w:rFonts w:ascii="arial" w:eastAsia="arial" w:hAnsi="arial" w:cs="arial"/>
          <w:b w:val="0"/>
          <w:i/>
          <w:strike w:val="0"/>
          <w:noProof w:val="0"/>
          <w:color w:val="000000"/>
          <w:position w:val="0"/>
          <w:sz w:val="20"/>
          <w:u w:val="none"/>
          <w:vertAlign w:val="baseline"/>
        </w:rPr>
        <w:t>manner</w:t>
      </w:r>
      <w:r>
        <w:rPr>
          <w:rFonts w:ascii="arial" w:eastAsia="arial" w:hAnsi="arial" w:cs="arial"/>
          <w:b w:val="0"/>
          <w:i w:val="0"/>
          <w:strike w:val="0"/>
          <w:noProof w:val="0"/>
          <w:color w:val="000000"/>
          <w:position w:val="0"/>
          <w:sz w:val="20"/>
          <w:u w:val="none"/>
          <w:vertAlign w:val="baseline"/>
        </w:rPr>
        <w:t xml:space="preserve"> of public carry was subject to reasonable regulation. Under the common law, individuals could not carry deadly weapons in a manner likely to terrorize others. </w:t>
      </w:r>
      <w:bookmarkStart w:id="543" w:name="Bookmark_I6B11G1C2N1RG70010000400"/>
      <w:bookmarkEnd w:id="543"/>
      <w:r>
        <w:rPr>
          <w:rFonts w:ascii="arial" w:eastAsia="arial" w:hAnsi="arial" w:cs="arial"/>
          <w:b w:val="0"/>
          <w:i w:val="0"/>
          <w:strike w:val="0"/>
          <w:noProof w:val="0"/>
          <w:color w:val="000000"/>
          <w:position w:val="0"/>
          <w:sz w:val="20"/>
          <w:u w:val="none"/>
          <w:vertAlign w:val="baseline"/>
        </w:rPr>
        <w:t>Similarly, although surety statutes did not directly restrict public carry, they did provide financial incentives for responsible arms carrying. Finally, States could lawfully eliminate one kind of public carry—concealed carry—so long as they left open the option to carry openly.</w:t>
      </w:r>
    </w:p>
    <w:p>
      <w:pPr>
        <w:keepNext w:val="0"/>
        <w:spacing w:before="200" w:after="0" w:line="260" w:lineRule="atLeast"/>
        <w:ind w:left="0" w:right="0" w:firstLine="0"/>
        <w:jc w:val="both"/>
      </w:pPr>
      <w:bookmarkStart w:id="544" w:name="Bookmark_I6B11G1C2N1RG70010000400_2"/>
      <w:bookmarkEnd w:id="544"/>
      <w:bookmarkStart w:id="545" w:name="Bookmark_I6B11G1C2N1RG60050000400"/>
      <w:bookmarkEnd w:id="545"/>
      <w:hyperlink r:id="rId11" w:history="1">
        <w:r>
          <w:rPr>
            <w:rFonts w:ascii="arial" w:eastAsia="arial" w:hAnsi="arial" w:cs="arial"/>
            <w:b w:val="0"/>
            <w:i/>
            <w:strike w:val="0"/>
            <w:color w:val="0077CC"/>
            <w:sz w:val="20"/>
            <w:u w:val="single"/>
            <w:vertAlign w:val="baseline"/>
          </w:rPr>
          <w:t>142 S. Ct. at 2150</w:t>
        </w:r>
      </w:hyperlink>
      <w:r>
        <w:rPr>
          <w:rFonts w:ascii="arial" w:eastAsia="arial" w:hAnsi="arial" w:cs="arial"/>
          <w:b w:val="0"/>
          <w:i w:val="0"/>
          <w:strike w:val="0"/>
          <w:noProof w:val="0"/>
          <w:color w:val="000000"/>
          <w:position w:val="0"/>
          <w:sz w:val="20"/>
          <w:u w:val="none"/>
          <w:vertAlign w:val="baseline"/>
        </w:rPr>
        <w:t xml:space="preserve"> (emphasis in original). In sum, the Supreme Court's decision in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shows lower courts must accept a plaintiff's claims as they are framed but should consider state laws as a whole, along with their practical effects. For cases about the right to carry handguns in public, like this one, it is</w:t>
      </w:r>
      <w:r>
        <w:rPr>
          <w:rFonts w:ascii="arial" w:eastAsia="arial" w:hAnsi="arial" w:cs="arial"/>
          <w:b/>
          <w:i w:val="0"/>
          <w:strike w:val="0"/>
          <w:noProof w:val="0"/>
          <w:color w:val="000000"/>
          <w:position w:val="0"/>
          <w:sz w:val="20"/>
          <w:u w:val="none"/>
          <w:vertAlign w:val="baseline"/>
        </w:rPr>
        <w:t> [**85] </w:t>
      </w:r>
      <w:r>
        <w:rPr>
          <w:rFonts w:ascii="arial" w:eastAsia="arial" w:hAnsi="arial" w:cs="arial"/>
          <w:b w:val="0"/>
          <w:i w:val="0"/>
          <w:strike w:val="0"/>
          <w:noProof w:val="0"/>
          <w:color w:val="000000"/>
          <w:position w:val="0"/>
          <w:sz w:val="20"/>
          <w:u w:val="none"/>
          <w:vertAlign w:val="baseline"/>
        </w:rPr>
        <w:t xml:space="preserve"> appropriate to consider whether a state's law is a "reasonable regulation" on "the manner of public carry" in line with tradition and history.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omitted).</w:t>
      </w:r>
    </w:p>
    <w:p>
      <w:pPr>
        <w:keepNext w:val="0"/>
        <w:spacing w:before="200" w:after="0" w:line="260" w:lineRule="atLeast"/>
        <w:ind w:left="0" w:right="0" w:firstLine="0"/>
        <w:jc w:val="both"/>
      </w:pPr>
      <w:bookmarkStart w:id="546" w:name="Bookmark_para_110"/>
      <w:bookmarkEnd w:id="546"/>
      <w:r>
        <w:rPr>
          <w:rFonts w:ascii="arial" w:eastAsia="arial" w:hAnsi="arial" w:cs="arial"/>
          <w:b w:val="0"/>
          <w:i w:val="0"/>
          <w:strike w:val="0"/>
          <w:noProof w:val="0"/>
          <w:color w:val="000000"/>
          <w:position w:val="0"/>
          <w:sz w:val="20"/>
          <w:u w:val="none"/>
          <w:vertAlign w:val="baseline"/>
        </w:rPr>
        <w:t xml:space="preserve">Additionally, Baird and Gallardo repeatedly refer to the state's laws as a "ban."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Pls.' Mem. at 6 (header for section II). California does not ban the carrying of firearms for self6 defense in public. People can carry handguns in public throughout California if they obtain a license. Local law enforcement agencies may issue licenses for concealed carry in any county based on objective criteria. Local authorities also may issue licenses to carry guns openly to those who live and work in counties with populations below 200,000. Additionally, people may carry firearms without a license for self-defense in a few limited circumstances. The question, then, is whether California may require people who carry handguns in public to conceal those handguns if they live in, work in, or enter a county with a population greater than 200,000. That limit must fit the historical tradition of firearm regulations if it is to stand. The court considers first the backdrop of English and early colonial history, then regulations of</w:t>
      </w:r>
      <w:r>
        <w:rPr>
          <w:rFonts w:ascii="arial" w:eastAsia="arial" w:hAnsi="arial" w:cs="arial"/>
          <w:b/>
          <w:i w:val="0"/>
          <w:strike w:val="0"/>
          <w:noProof w:val="0"/>
          <w:color w:val="000000"/>
          <w:position w:val="0"/>
          <w:sz w:val="20"/>
          <w:u w:val="none"/>
          <w:vertAlign w:val="baseline"/>
        </w:rPr>
        <w:t> [**86] </w:t>
      </w:r>
      <w:r>
        <w:rPr>
          <w:rFonts w:ascii="arial" w:eastAsia="arial" w:hAnsi="arial" w:cs="arial"/>
          <w:b w:val="0"/>
          <w:i w:val="0"/>
          <w:strike w:val="0"/>
          <w:noProof w:val="0"/>
          <w:color w:val="000000"/>
          <w:position w:val="0"/>
          <w:sz w:val="20"/>
          <w:u w:val="none"/>
          <w:vertAlign w:val="baseline"/>
        </w:rPr>
        <w:t xml:space="preserve"> colonial and antebellum America, and finally post-Civil War laws before finally evaluating whether that history shows California's laws are consistent with the historical tradition of firearm regulation.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The English history of firearms regulations is a relevant backdrop but does not itself show whether the state's regulation is constitutional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47" w:name="Bookmark_para_111"/>
      <w:bookmarkEnd w:id="547"/>
      <w:bookmarkStart w:id="548" w:name="Bookmark_I6B11G1C2N1RG70030000400"/>
      <w:bookmarkEnd w:id="548"/>
      <w:r>
        <w:rPr>
          <w:rFonts w:ascii="arial" w:eastAsia="arial" w:hAnsi="arial" w:cs="arial"/>
          <w:b w:val="0"/>
          <w:i w:val="0"/>
          <w:strike w:val="0"/>
          <w:noProof w:val="0"/>
          <w:color w:val="000000"/>
          <w:position w:val="0"/>
          <w:sz w:val="20"/>
          <w:u w:val="none"/>
          <w:vertAlign w:val="baseline"/>
        </w:rPr>
        <w:t xml:space="preserve">As the state argues and the parties' experts discuss, the earliest arms restrictions that might have some bearing on the American tradition were established hundreds of years ago, long before European colonists first came to North America. </w:t>
      </w:r>
      <w:bookmarkStart w:id="549" w:name="Bookmark_I6B11G1C2N1RG70050000400"/>
      <w:bookmarkEnd w:id="549"/>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Def.'s Mem. at 11-12; Spitzer Decl. at 11-12 (citing colonial laws that "mirrored" English statutes); Cornell Decl. Ex. A at 2-3 (discussing English common law); </w:t>
      </w:r>
      <w:r>
        <w:rPr>
          <w:rFonts w:ascii="arial" w:eastAsia="arial" w:hAnsi="arial" w:cs="arial"/>
          <w:b w:val="0"/>
          <w:i/>
          <w:strike w:val="0"/>
          <w:noProof w:val="0"/>
          <w:color w:val="000000"/>
          <w:position w:val="0"/>
          <w:sz w:val="20"/>
          <w:u w:val="none"/>
          <w:vertAlign w:val="baseline"/>
        </w:rPr>
        <w:t xml:space="preserve">see also, e.g., </w:t>
      </w:r>
      <w:bookmarkStart w:id="550" w:name="Bookmark_I6B11G1C2N1RG70020000400"/>
      <w:bookmarkEnd w:id="550"/>
      <w:hyperlink r:id="rId11" w:history="1">
        <w:r>
          <w:rPr>
            <w:rFonts w:ascii="arial" w:eastAsia="arial" w:hAnsi="arial" w:cs="arial"/>
            <w:b w:val="0"/>
            <w:i/>
            <w:strike w:val="0"/>
            <w:noProof w:val="0"/>
            <w:color w:val="0077CC"/>
            <w:position w:val="0"/>
            <w:sz w:val="20"/>
            <w:u w:val="single"/>
            <w:vertAlign w:val="baseline"/>
          </w:rPr>
          <w:t>Bruen</w:t>
        </w:r>
      </w:hyperlink>
      <w:hyperlink r:id="rId11" w:history="1">
        <w:r>
          <w:rPr>
            <w:rFonts w:ascii="arial" w:eastAsia="arial" w:hAnsi="arial" w:cs="arial"/>
            <w:b w:val="0"/>
            <w:i/>
            <w:strike w:val="0"/>
            <w:noProof w:val="0"/>
            <w:color w:val="0077CC"/>
            <w:position w:val="0"/>
            <w:sz w:val="20"/>
            <w:u w:val="single"/>
            <w:vertAlign w:val="baseline"/>
          </w:rPr>
          <w:t>, 142 S. Ct. at 2139-40</w:t>
        </w:r>
      </w:hyperlink>
      <w:r>
        <w:rPr>
          <w:rFonts w:ascii="arial" w:eastAsia="arial" w:hAnsi="arial" w:cs="arial"/>
          <w:b w:val="0"/>
          <w:i w:val="0"/>
          <w:strike w:val="0"/>
          <w:noProof w:val="0"/>
          <w:color w:val="000000"/>
          <w:position w:val="0"/>
          <w:sz w:val="20"/>
          <w:u w:val="none"/>
          <w:vertAlign w:val="baseline"/>
        </w:rPr>
        <w:t xml:space="preserve"> (reviewing English statutes and history); Cornell (2017),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18-19 (same); Charles (2012),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1801-03 (same); Blocher (2013),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112 (same). The most commonly cited of these laws, the Statute of Northampton, was passed in 1328. </w:t>
      </w:r>
      <w:bookmarkStart w:id="551" w:name="Bookmark_I6B11G1C2N1RG70050000400_2"/>
      <w:bookmarkEnd w:id="551"/>
      <w:bookmarkStart w:id="552" w:name="Bookmark_I6B11G1C2N1RG70040000400"/>
      <w:bookmarkEnd w:id="552"/>
      <w:hyperlink r:id="rId11" w:history="1">
        <w:r>
          <w:rPr>
            <w:rFonts w:ascii="arial" w:eastAsia="arial" w:hAnsi="arial" w:cs="arial"/>
            <w:b w:val="0"/>
            <w:i/>
            <w:strike w:val="0"/>
            <w:noProof w:val="0"/>
            <w:color w:val="0077CC"/>
            <w:position w:val="0"/>
            <w:sz w:val="20"/>
            <w:u w:val="single"/>
            <w:vertAlign w:val="baseline"/>
          </w:rPr>
          <w:t>Bruen</w:t>
        </w:r>
      </w:hyperlink>
      <w:hyperlink r:id="rId11" w:history="1">
        <w:r>
          <w:rPr>
            <w:rFonts w:ascii="arial" w:eastAsia="arial" w:hAnsi="arial" w:cs="arial"/>
            <w:b w:val="0"/>
            <w:i/>
            <w:strike w:val="0"/>
            <w:noProof w:val="0"/>
            <w:color w:val="0077CC"/>
            <w:position w:val="0"/>
            <w:sz w:val="20"/>
            <w:u w:val="single"/>
            <w:vertAlign w:val="baseline"/>
          </w:rPr>
          <w:t>, 142 S. Ct. at 2139</w:t>
        </w:r>
      </w:hyperlink>
      <w:r>
        <w:rPr>
          <w:rFonts w:ascii="arial" w:eastAsia="arial" w:hAnsi="arial" w:cs="arial"/>
          <w:b w:val="0"/>
          <w:i w:val="0"/>
          <w:strike w:val="0"/>
          <w:noProof w:val="0"/>
          <w:color w:val="000000"/>
          <w:position w:val="0"/>
          <w:sz w:val="20"/>
          <w:u w:val="none"/>
          <w:vertAlign w:val="baseline"/>
        </w:rPr>
        <w:t xml:space="preserve">; Cornell (2017),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18. "Precisely what the Statute of Northampton prohibited is a matter of debate." </w:t>
      </w:r>
      <w:hyperlink r:id="rId69" w:history="1">
        <w:r>
          <w:rPr>
            <w:rFonts w:ascii="arial" w:eastAsia="arial" w:hAnsi="arial" w:cs="arial"/>
            <w:b w:val="0"/>
            <w:i/>
            <w:strike w:val="0"/>
            <w:noProof w:val="0"/>
            <w:color w:val="0077CC"/>
            <w:position w:val="0"/>
            <w:sz w:val="20"/>
            <w:u w:val="single"/>
            <w:vertAlign w:val="baseline"/>
          </w:rPr>
          <w:t xml:space="preserve">Blocher (2013), </w:t>
        </w:r>
      </w:hyperlink>
      <w:hyperlink r:id="rId69" w:history="1">
        <w:r>
          <w:rPr>
            <w:rFonts w:ascii="arial" w:eastAsia="arial" w:hAnsi="arial" w:cs="arial"/>
            <w:b w:val="0"/>
            <w:i/>
            <w:strike w:val="0"/>
            <w:noProof w:val="0"/>
            <w:color w:val="0077CC"/>
            <w:position w:val="0"/>
            <w:sz w:val="20"/>
            <w:u w:val="single"/>
            <w:vertAlign w:val="baseline"/>
          </w:rPr>
          <w:t>supra</w:t>
        </w:r>
      </w:hyperlink>
      <w:hyperlink r:id="rId69" w:history="1">
        <w:r>
          <w:rPr>
            <w:rFonts w:ascii="arial" w:eastAsia="arial" w:hAnsi="arial" w:cs="arial"/>
            <w:b w:val="0"/>
            <w:i/>
            <w:strike w:val="0"/>
            <w:noProof w:val="0"/>
            <w:color w:val="0077CC"/>
            <w:position w:val="0"/>
            <w:sz w:val="20"/>
            <w:u w:val="single"/>
            <w:vertAlign w:val="baseline"/>
          </w:rPr>
          <w:t>, at 112</w:t>
        </w:r>
      </w:hyperlink>
      <w:r>
        <w:rPr>
          <w:rFonts w:ascii="arial" w:eastAsia="arial" w:hAnsi="arial" w:cs="arial"/>
          <w:b w:val="0"/>
          <w:i w:val="0"/>
          <w:strike w:val="0"/>
          <w:noProof w:val="0"/>
          <w:color w:val="000000"/>
          <w:position w:val="0"/>
          <w:sz w:val="20"/>
          <w:u w:val="none"/>
          <w:vertAlign w:val="baseline"/>
        </w:rPr>
        <w:t xml:space="preserve">. </w:t>
      </w:r>
      <w:bookmarkStart w:id="553" w:name="Bookmark_I6B11G1C2SF7TK0020000400"/>
      <w:bookmarkEnd w:id="553"/>
      <w:r>
        <w:rPr>
          <w:rFonts w:ascii="arial" w:eastAsia="arial" w:hAnsi="arial" w:cs="arial"/>
          <w:b w:val="0"/>
          <w:i w:val="0"/>
          <w:strike w:val="0"/>
          <w:noProof w:val="0"/>
          <w:color w:val="000000"/>
          <w:position w:val="0"/>
          <w:sz w:val="20"/>
          <w:u w:val="none"/>
          <w:vertAlign w:val="baseline"/>
        </w:rPr>
        <w:t>We know comparatively little about the daily lives of English kings in the 1300s and even less about the everyday people who lived under their laws. It is difficult</w:t>
      </w:r>
      <w:r>
        <w:rPr>
          <w:rFonts w:ascii="arial" w:eastAsia="arial" w:hAnsi="arial" w:cs="arial"/>
          <w:b/>
          <w:i w:val="0"/>
          <w:strike w:val="0"/>
          <w:noProof w:val="0"/>
          <w:color w:val="000000"/>
          <w:position w:val="0"/>
          <w:sz w:val="20"/>
          <w:u w:val="none"/>
          <w:vertAlign w:val="baseline"/>
        </w:rPr>
        <w:t> [**87] </w:t>
      </w:r>
      <w:r>
        <w:rPr>
          <w:rFonts w:ascii="arial" w:eastAsia="arial" w:hAnsi="arial" w:cs="arial"/>
          <w:b w:val="0"/>
          <w:i w:val="0"/>
          <w:strike w:val="0"/>
          <w:noProof w:val="0"/>
          <w:color w:val="000000"/>
          <w:position w:val="0"/>
          <w:sz w:val="20"/>
          <w:u w:val="none"/>
          <w:vertAlign w:val="baseline"/>
        </w:rPr>
        <w:t xml:space="preserve"> to say what the Statute of Northampton might mean for this country's historical traditions. The weapons and armor people used in those times bore little resemblance to the handguns Baird and Gallardo </w:t>
      </w:r>
      <w:r>
        <w:rPr>
          <w:rFonts w:ascii="arial" w:eastAsia="arial" w:hAnsi="arial" w:cs="arial"/>
          <w:b/>
          <w:i w:val="0"/>
          <w:strike w:val="0"/>
          <w:noProof w:val="0"/>
          <w:color w:val="000000"/>
          <w:position w:val="0"/>
          <w:sz w:val="20"/>
          <w:u w:val="none"/>
          <w:vertAlign w:val="baseline"/>
        </w:rPr>
        <w:t> [*1127] </w:t>
      </w:r>
      <w:r>
        <w:rPr>
          <w:rFonts w:ascii="arial" w:eastAsia="arial" w:hAnsi="arial" w:cs="arial"/>
          <w:b w:val="0"/>
          <w:i w:val="0"/>
          <w:strike w:val="0"/>
          <w:noProof w:val="0"/>
          <w:color w:val="000000"/>
          <w:position w:val="0"/>
          <w:sz w:val="20"/>
          <w:u w:val="none"/>
          <w:vertAlign w:val="baseline"/>
        </w:rPr>
        <w:t xml:space="preserve"> would like to carry. </w:t>
      </w:r>
      <w:r>
        <w:rPr>
          <w:rFonts w:ascii="arial" w:eastAsia="arial" w:hAnsi="arial" w:cs="arial"/>
          <w:b w:val="0"/>
          <w:i/>
          <w:strike w:val="0"/>
          <w:noProof w:val="0"/>
          <w:color w:val="000000"/>
          <w:position w:val="0"/>
          <w:sz w:val="20"/>
          <w:u w:val="none"/>
          <w:vertAlign w:val="baseline"/>
        </w:rPr>
        <w:t xml:space="preserve">See, e.g., </w:t>
      </w:r>
      <w:bookmarkStart w:id="554" w:name="Bookmark_I6B11G1C2SF7TK0010000400"/>
      <w:bookmarkEnd w:id="554"/>
      <w:hyperlink r:id="rId11" w:history="1">
        <w:r>
          <w:rPr>
            <w:rFonts w:ascii="arial" w:eastAsia="arial" w:hAnsi="arial" w:cs="arial"/>
            <w:b w:val="0"/>
            <w:i/>
            <w:strike w:val="0"/>
            <w:noProof w:val="0"/>
            <w:color w:val="0077CC"/>
            <w:position w:val="0"/>
            <w:sz w:val="20"/>
            <w:u w:val="single"/>
            <w:vertAlign w:val="baseline"/>
          </w:rPr>
          <w:t>Bruen</w:t>
        </w:r>
      </w:hyperlink>
      <w:hyperlink r:id="rId11" w:history="1">
        <w:r>
          <w:rPr>
            <w:rFonts w:ascii="arial" w:eastAsia="arial" w:hAnsi="arial" w:cs="arial"/>
            <w:b w:val="0"/>
            <w:i/>
            <w:strike w:val="0"/>
            <w:noProof w:val="0"/>
            <w:color w:val="0077CC"/>
            <w:position w:val="0"/>
            <w:sz w:val="20"/>
            <w:u w:val="single"/>
            <w:vertAlign w:val="baseline"/>
          </w:rPr>
          <w:t>, 142 S. Ct. at 2140</w:t>
        </w:r>
      </w:hyperlink>
      <w:r>
        <w:rPr>
          <w:rFonts w:ascii="arial" w:eastAsia="arial" w:hAnsi="arial" w:cs="arial"/>
          <w:b w:val="0"/>
          <w:i w:val="0"/>
          <w:strike w:val="0"/>
          <w:noProof w:val="0"/>
          <w:color w:val="000000"/>
          <w:position w:val="0"/>
          <w:sz w:val="20"/>
          <w:u w:val="none"/>
          <w:vertAlign w:val="baseline"/>
        </w:rPr>
        <w:t xml:space="preserve">. "Although gunpowder-fired weapons were known in England as early as the late thirteenth century, they were used almost entirely in war." </w:t>
      </w:r>
      <w:hyperlink r:id="rId86" w:history="1">
        <w:r>
          <w:rPr>
            <w:rFonts w:ascii="arial" w:eastAsia="arial" w:hAnsi="arial" w:cs="arial"/>
            <w:b w:val="0"/>
            <w:i/>
            <w:strike w:val="0"/>
            <w:noProof w:val="0"/>
            <w:color w:val="0077CC"/>
            <w:position w:val="0"/>
            <w:sz w:val="20"/>
            <w:u w:val="single"/>
            <w:vertAlign w:val="baseline"/>
          </w:rPr>
          <w:t xml:space="preserve">Schwoerer (2019), </w:t>
        </w:r>
      </w:hyperlink>
      <w:hyperlink r:id="rId86" w:history="1">
        <w:r>
          <w:rPr>
            <w:rFonts w:ascii="arial" w:eastAsia="arial" w:hAnsi="arial" w:cs="arial"/>
            <w:b w:val="0"/>
            <w:i/>
            <w:strike w:val="0"/>
            <w:noProof w:val="0"/>
            <w:color w:val="0077CC"/>
            <w:position w:val="0"/>
            <w:sz w:val="20"/>
            <w:u w:val="single"/>
            <w:vertAlign w:val="baseline"/>
          </w:rPr>
          <w:t>supra</w:t>
        </w:r>
      </w:hyperlink>
      <w:hyperlink r:id="rId86" w:history="1">
        <w:r>
          <w:rPr>
            <w:rFonts w:ascii="arial" w:eastAsia="arial" w:hAnsi="arial" w:cs="arial"/>
            <w:b w:val="0"/>
            <w:i/>
            <w:strike w:val="0"/>
            <w:noProof w:val="0"/>
            <w:color w:val="0077CC"/>
            <w:position w:val="0"/>
            <w:sz w:val="20"/>
            <w:u w:val="single"/>
            <w:vertAlign w:val="baseline"/>
          </w:rPr>
          <w:t>, at 140</w:t>
        </w:r>
      </w:hyperlink>
      <w:r>
        <w:rPr>
          <w:rFonts w:ascii="arial" w:eastAsia="arial" w:hAnsi="arial" w:cs="arial"/>
          <w:b w:val="0"/>
          <w:i w:val="0"/>
          <w:strike w:val="0"/>
          <w:noProof w:val="0"/>
          <w:color w:val="000000"/>
          <w:position w:val="0"/>
          <w:sz w:val="20"/>
          <w:u w:val="none"/>
          <w:vertAlign w:val="baseline"/>
        </w:rPr>
        <w:t xml:space="preserve">. Over the centuries since the 1300s, the Statute of Northampton has been paraphrased and adapted to many circumstances.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Cornell (2017),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at 18-20. Generalized comparisons are unhelpful.</w:t>
      </w:r>
    </w:p>
    <w:p>
      <w:pPr>
        <w:keepNext w:val="0"/>
        <w:spacing w:before="200" w:after="0" w:line="260" w:lineRule="atLeast"/>
        <w:ind w:left="0" w:right="0" w:firstLine="0"/>
        <w:jc w:val="both"/>
      </w:pPr>
      <w:bookmarkStart w:id="555" w:name="Bookmark_para_112"/>
      <w:bookmarkEnd w:id="555"/>
      <w:bookmarkStart w:id="556" w:name="Bookmark_I6B11G1C2SF7TK0040000400"/>
      <w:bookmarkEnd w:id="556"/>
      <w:bookmarkStart w:id="557" w:name="Bookmark_I6B11G1C2HM6CD0030000400"/>
      <w:bookmarkEnd w:id="557"/>
      <w:r>
        <w:rPr>
          <w:rFonts w:ascii="arial" w:eastAsia="arial" w:hAnsi="arial" w:cs="arial"/>
          <w:b w:val="0"/>
          <w:i w:val="0"/>
          <w:strike w:val="0"/>
          <w:noProof w:val="0"/>
          <w:color w:val="000000"/>
          <w:position w:val="0"/>
          <w:sz w:val="20"/>
          <w:u w:val="none"/>
          <w:vertAlign w:val="baseline"/>
        </w:rPr>
        <w:t xml:space="preserve">The Supreme Court has said, however, the history of the </w:t>
      </w:r>
      <w:hyperlink r:id="rId61" w:history="1">
        <w:r>
          <w:rPr>
            <w:rFonts w:ascii="arial" w:eastAsia="arial" w:hAnsi="arial" w:cs="arial"/>
            <w:b w:val="0"/>
            <w:i/>
            <w:strike w:val="0"/>
            <w:noProof w:val="0"/>
            <w:color w:val="0077CC"/>
            <w:position w:val="0"/>
            <w:sz w:val="20"/>
            <w:u w:val="single"/>
            <w:vertAlign w:val="baseline"/>
          </w:rPr>
          <w:t>English Bill of Rights</w:t>
        </w:r>
      </w:hyperlink>
      <w:r>
        <w:rPr>
          <w:rFonts w:ascii="arial" w:eastAsia="arial" w:hAnsi="arial" w:cs="arial"/>
          <w:b w:val="0"/>
          <w:i w:val="0"/>
          <w:strike w:val="0"/>
          <w:noProof w:val="0"/>
          <w:color w:val="000000"/>
          <w:position w:val="0"/>
          <w:sz w:val="20"/>
          <w:u w:val="none"/>
          <w:vertAlign w:val="baseline"/>
        </w:rPr>
        <w:t xml:space="preserve">, passed in the late 1600s, and the years leading up to its codification are "particularly instructive." </w:t>
      </w:r>
      <w:bookmarkStart w:id="558" w:name="Bookmark_I6B11G1C2SF7TK0030000400"/>
      <w:bookmarkEnd w:id="558"/>
      <w:hyperlink r:id="rId11" w:history="1">
        <w:r>
          <w:rPr>
            <w:rFonts w:ascii="arial" w:eastAsia="arial" w:hAnsi="arial" w:cs="arial"/>
            <w:b w:val="0"/>
            <w:i/>
            <w:strike w:val="0"/>
            <w:noProof w:val="0"/>
            <w:color w:val="0077CC"/>
            <w:position w:val="0"/>
            <w:sz w:val="20"/>
            <w:u w:val="single"/>
            <w:vertAlign w:val="baseline"/>
          </w:rPr>
          <w:t>Bruen</w:t>
        </w:r>
      </w:hyperlink>
      <w:hyperlink r:id="rId11" w:history="1">
        <w:r>
          <w:rPr>
            <w:rFonts w:ascii="arial" w:eastAsia="arial" w:hAnsi="arial" w:cs="arial"/>
            <w:b w:val="0"/>
            <w:i/>
            <w:strike w:val="0"/>
            <w:noProof w:val="0"/>
            <w:color w:val="0077CC"/>
            <w:position w:val="0"/>
            <w:sz w:val="20"/>
            <w:u w:val="single"/>
            <w:vertAlign w:val="baseline"/>
          </w:rPr>
          <w:t>, 142 S. Ct. at 2140</w:t>
        </w:r>
      </w:hyperlink>
      <w:r>
        <w:rPr>
          <w:rFonts w:ascii="arial" w:eastAsia="arial" w:hAnsi="arial" w:cs="arial"/>
          <w:b w:val="0"/>
          <w:i w:val="0"/>
          <w:strike w:val="0"/>
          <w:noProof w:val="0"/>
          <w:color w:val="000000"/>
          <w:position w:val="0"/>
          <w:sz w:val="20"/>
          <w:u w:val="none"/>
          <w:vertAlign w:val="baseline"/>
        </w:rPr>
        <w:t xml:space="preserve"> (citing </w:t>
      </w:r>
      <w:bookmarkStart w:id="559" w:name="Bookmark_I6B11G1C2SF7TK0050000400"/>
      <w:bookmarkEnd w:id="559"/>
      <w:hyperlink r:id="rId22" w:history="1">
        <w:r>
          <w:rPr>
            <w:rFonts w:ascii="arial" w:eastAsia="arial" w:hAnsi="arial" w:cs="arial"/>
            <w:b w:val="0"/>
            <w:i/>
            <w:strike w:val="0"/>
            <w:noProof w:val="0"/>
            <w:color w:val="0077CC"/>
            <w:position w:val="0"/>
            <w:sz w:val="20"/>
            <w:u w:val="single"/>
            <w:vertAlign w:val="baseline"/>
          </w:rPr>
          <w:t>Heller</w:t>
        </w:r>
      </w:hyperlink>
      <w:hyperlink r:id="rId22" w:history="1">
        <w:r>
          <w:rPr>
            <w:rFonts w:ascii="arial" w:eastAsia="arial" w:hAnsi="arial" w:cs="arial"/>
            <w:b w:val="0"/>
            <w:i/>
            <w:strike w:val="0"/>
            <w:noProof w:val="0"/>
            <w:color w:val="0077CC"/>
            <w:position w:val="0"/>
            <w:sz w:val="20"/>
            <w:u w:val="single"/>
            <w:vertAlign w:val="baseline"/>
          </w:rPr>
          <w:t>, 554 U.S. at 592</w:t>
        </w:r>
      </w:hyperlink>
      <w:r>
        <w:rPr>
          <w:rFonts w:ascii="arial" w:eastAsia="arial" w:hAnsi="arial" w:cs="arial"/>
          <w:b w:val="0"/>
          <w:i w:val="0"/>
          <w:strike w:val="0"/>
          <w:noProof w:val="0"/>
          <w:color w:val="000000"/>
          <w:position w:val="0"/>
          <w:sz w:val="20"/>
          <w:u w:val="none"/>
          <w:vertAlign w:val="baseline"/>
        </w:rPr>
        <w:t xml:space="preserve">). It has described </w:t>
      </w:r>
      <w:hyperlink r:id="rId61" w:history="1">
        <w:r>
          <w:rPr>
            <w:rFonts w:ascii="arial" w:eastAsia="arial" w:hAnsi="arial" w:cs="arial"/>
            <w:b w:val="0"/>
            <w:i/>
            <w:strike w:val="0"/>
            <w:noProof w:val="0"/>
            <w:color w:val="0077CC"/>
            <w:position w:val="0"/>
            <w:sz w:val="20"/>
            <w:u w:val="single"/>
            <w:vertAlign w:val="baseline"/>
          </w:rPr>
          <w:t>Article VII of that Bill of Rights</w:t>
        </w:r>
      </w:hyperlink>
      <w:r>
        <w:rPr>
          <w:rFonts w:ascii="arial" w:eastAsia="arial" w:hAnsi="arial" w:cs="arial"/>
          <w:b w:val="0"/>
          <w:i w:val="0"/>
          <w:strike w:val="0"/>
          <w:noProof w:val="0"/>
          <w:color w:val="000000"/>
          <w:position w:val="0"/>
          <w:sz w:val="20"/>
          <w:u w:val="none"/>
          <w:vertAlign w:val="baseline"/>
        </w:rPr>
        <w:t xml:space="preserve"> as "the predecessor to our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t>
      </w:r>
      <w:bookmarkStart w:id="560" w:name="Bookmark_I6B11G1C2HM6CD0020000400"/>
      <w:bookmarkEnd w:id="560"/>
      <w:hyperlink r:id="rId22" w:history="1">
        <w:r>
          <w:rPr>
            <w:rFonts w:ascii="arial" w:eastAsia="arial" w:hAnsi="arial" w:cs="arial"/>
            <w:b w:val="0"/>
            <w:i/>
            <w:strike w:val="0"/>
            <w:noProof w:val="0"/>
            <w:color w:val="0077CC"/>
            <w:position w:val="0"/>
            <w:sz w:val="20"/>
            <w:u w:val="single"/>
            <w:vertAlign w:val="baseline"/>
          </w:rPr>
          <w:t>Heller</w:t>
        </w:r>
      </w:hyperlink>
      <w:hyperlink r:id="rId22" w:history="1">
        <w:r>
          <w:rPr>
            <w:rFonts w:ascii="arial" w:eastAsia="arial" w:hAnsi="arial" w:cs="arial"/>
            <w:b w:val="0"/>
            <w:i/>
            <w:strike w:val="0"/>
            <w:noProof w:val="0"/>
            <w:color w:val="0077CC"/>
            <w:position w:val="0"/>
            <w:sz w:val="20"/>
            <w:u w:val="single"/>
            <w:vertAlign w:val="baseline"/>
          </w:rPr>
          <w:t>, 554 U.S. at 593</w:t>
        </w:r>
      </w:hyperlink>
      <w:r>
        <w:rPr>
          <w:rFonts w:ascii="arial" w:eastAsia="arial" w:hAnsi="arial" w:cs="arial"/>
          <w:b w:val="0"/>
          <w:i w:val="0"/>
          <w:strike w:val="0"/>
          <w:noProof w:val="0"/>
          <w:color w:val="000000"/>
          <w:position w:val="0"/>
          <w:sz w:val="20"/>
          <w:u w:val="none"/>
          <w:vertAlign w:val="baseline"/>
        </w:rPr>
        <w:t xml:space="preserve">. California thus cites and discusses Article VII in its motion.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Def.'s Mem. at 11-12. But the history of Article VII is unenlightening in this case. A few details about the history and context of Article VII help explain why.</w:t>
      </w:r>
    </w:p>
    <w:p>
      <w:pPr>
        <w:keepNext w:val="0"/>
        <w:spacing w:before="200" w:after="0" w:line="260" w:lineRule="atLeast"/>
        <w:ind w:left="0" w:right="0" w:firstLine="0"/>
        <w:jc w:val="both"/>
      </w:pPr>
      <w:bookmarkStart w:id="561" w:name="Bookmark_para_113"/>
      <w:bookmarkEnd w:id="561"/>
      <w:r>
        <w:rPr>
          <w:rFonts w:ascii="arial" w:eastAsia="arial" w:hAnsi="arial" w:cs="arial"/>
          <w:b w:val="0"/>
          <w:i w:val="0"/>
          <w:strike w:val="0"/>
          <w:noProof w:val="0"/>
          <w:color w:val="000000"/>
          <w:position w:val="0"/>
          <w:sz w:val="20"/>
          <w:u w:val="none"/>
          <w:vertAlign w:val="baseline"/>
        </w:rPr>
        <w:t xml:space="preserve">The members of the body that debated and proposed the Declaration of Rights, known as the Convention, met in England in early 1689. </w:t>
      </w:r>
      <w:hyperlink r:id="rId86" w:history="1">
        <w:r>
          <w:rPr>
            <w:rFonts w:ascii="arial" w:eastAsia="arial" w:hAnsi="arial" w:cs="arial"/>
            <w:b w:val="0"/>
            <w:i/>
            <w:strike w:val="0"/>
            <w:noProof w:val="0"/>
            <w:color w:val="0077CC"/>
            <w:position w:val="0"/>
            <w:sz w:val="20"/>
            <w:u w:val="single"/>
            <w:vertAlign w:val="baseline"/>
          </w:rPr>
          <w:t xml:space="preserve">Schwoerer (2019), </w:t>
        </w:r>
      </w:hyperlink>
      <w:hyperlink r:id="rId86" w:history="1">
        <w:r>
          <w:rPr>
            <w:rFonts w:ascii="arial" w:eastAsia="arial" w:hAnsi="arial" w:cs="arial"/>
            <w:b w:val="0"/>
            <w:i/>
            <w:strike w:val="0"/>
            <w:noProof w:val="0"/>
            <w:color w:val="0077CC"/>
            <w:position w:val="0"/>
            <w:sz w:val="20"/>
            <w:u w:val="single"/>
            <w:vertAlign w:val="baseline"/>
          </w:rPr>
          <w:t>supra</w:t>
        </w:r>
      </w:hyperlink>
      <w:hyperlink r:id="rId86" w:history="1">
        <w:r>
          <w:rPr>
            <w:rFonts w:ascii="arial" w:eastAsia="arial" w:hAnsi="arial" w:cs="arial"/>
            <w:b w:val="0"/>
            <w:i/>
            <w:strike w:val="0"/>
            <w:noProof w:val="0"/>
            <w:color w:val="0077CC"/>
            <w:position w:val="0"/>
            <w:sz w:val="20"/>
            <w:u w:val="single"/>
            <w:vertAlign w:val="baseline"/>
          </w:rPr>
          <w:t xml:space="preserve"> at 142</w:t>
        </w:r>
      </w:hyperlink>
      <w:r>
        <w:rPr>
          <w:rFonts w:ascii="arial" w:eastAsia="arial" w:hAnsi="arial" w:cs="arial"/>
          <w:b w:val="0"/>
          <w:i w:val="0"/>
          <w:strike w:val="0"/>
          <w:noProof w:val="0"/>
          <w:color w:val="000000"/>
          <w:position w:val="0"/>
          <w:sz w:val="20"/>
          <w:u w:val="none"/>
          <w:vertAlign w:val="baseline"/>
        </w:rPr>
        <w:t>. "Their target was to limit the power of the</w:t>
      </w:r>
      <w:r>
        <w:rPr>
          <w:rFonts w:ascii="arial" w:eastAsia="arial" w:hAnsi="arial" w:cs="arial"/>
          <w:b/>
          <w:i w:val="0"/>
          <w:strike w:val="0"/>
          <w:noProof w:val="0"/>
          <w:color w:val="000000"/>
          <w:position w:val="0"/>
          <w:sz w:val="20"/>
          <w:u w:val="none"/>
          <w:vertAlign w:val="baseline"/>
        </w:rPr>
        <w:t> [**88] </w:t>
      </w:r>
      <w:r>
        <w:rPr>
          <w:rFonts w:ascii="arial" w:eastAsia="arial" w:hAnsi="arial" w:cs="arial"/>
          <w:b w:val="0"/>
          <w:i w:val="0"/>
          <w:strike w:val="0"/>
          <w:noProof w:val="0"/>
          <w:color w:val="000000"/>
          <w:position w:val="0"/>
          <w:sz w:val="20"/>
          <w:u w:val="none"/>
          <w:vertAlign w:val="baseline"/>
        </w:rPr>
        <w:t xml:space="preserve"> crown."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They listed twenty-three grievances.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Three were related to the military. The first declared "the Acts concerning the Militia are grievous to the Subject."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That is, the committee members decried laws that had given King Charles II and King James II power over the militia, which those monarchs had used to seize weapons and harass their enemies.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second grievance was against standing armies.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Convention declared standing armies "against Law" in times of peace.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Third, the Convention declared "it is necessary for the public Safety that the Subjects, which are Protestants, should provide and keep arms for their common Defence; and the arms which have been seized, and taken from them be restored."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was "[a]lmost certainly" a response to James II's treatment of some Protestant members of parliament.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562" w:name="Bookmark_para_114"/>
      <w:bookmarkEnd w:id="562"/>
      <w:r>
        <w:rPr>
          <w:rFonts w:ascii="arial" w:eastAsia="arial" w:hAnsi="arial" w:cs="arial"/>
          <w:b w:val="0"/>
          <w:i w:val="0"/>
          <w:strike w:val="0"/>
          <w:noProof w:val="0"/>
          <w:color w:val="000000"/>
          <w:position w:val="0"/>
          <w:sz w:val="20"/>
          <w:u w:val="none"/>
          <w:vertAlign w:val="baseline"/>
        </w:rPr>
        <w:t xml:space="preserve">This third grievance eventually became </w:t>
      </w:r>
      <w:hyperlink r:id="rId61" w:history="1">
        <w:r>
          <w:rPr>
            <w:rFonts w:ascii="arial" w:eastAsia="arial" w:hAnsi="arial" w:cs="arial"/>
            <w:b w:val="0"/>
            <w:i/>
            <w:strike w:val="0"/>
            <w:noProof w:val="0"/>
            <w:color w:val="0077CC"/>
            <w:position w:val="0"/>
            <w:sz w:val="20"/>
            <w:u w:val="single"/>
            <w:vertAlign w:val="baseline"/>
          </w:rPr>
          <w:t>Article VII of the English Bill of Rights</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86" w:history="1">
        <w:r>
          <w:rPr>
            <w:rFonts w:ascii="arial" w:eastAsia="arial" w:hAnsi="arial" w:cs="arial"/>
            <w:b w:val="0"/>
            <w:i/>
            <w:strike w:val="0"/>
            <w:noProof w:val="0"/>
            <w:color w:val="0077CC"/>
            <w:position w:val="0"/>
            <w:sz w:val="20"/>
            <w:u w:val="single"/>
            <w:vertAlign w:val="baseline"/>
          </w:rPr>
          <w:t>id.</w:t>
        </w:r>
      </w:hyperlink>
      <w:hyperlink r:id="rId86" w:history="1">
        <w:r>
          <w:rPr>
            <w:rFonts w:ascii="arial" w:eastAsia="arial" w:hAnsi="arial" w:cs="arial"/>
            <w:b w:val="0"/>
            <w:i/>
            <w:strike w:val="0"/>
            <w:noProof w:val="0"/>
            <w:color w:val="0077CC"/>
            <w:position w:val="0"/>
            <w:sz w:val="20"/>
            <w:u w:val="single"/>
            <w:vertAlign w:val="baseline"/>
          </w:rPr>
          <w:t xml:space="preserve"> at 143-44</w:t>
        </w:r>
      </w:hyperlink>
      <w:r>
        <w:rPr>
          <w:rFonts w:ascii="arial" w:eastAsia="arial" w:hAnsi="arial" w:cs="arial"/>
          <w:b w:val="0"/>
          <w:i w:val="0"/>
          <w:strike w:val="0"/>
          <w:noProof w:val="0"/>
          <w:color w:val="000000"/>
          <w:position w:val="0"/>
          <w:sz w:val="20"/>
          <w:u w:val="none"/>
          <w:vertAlign w:val="baseline"/>
        </w:rPr>
        <w:t xml:space="preserve">. In its final version, it provided "Protestant subjects may have Armes for their defence Suitable to their Condition and as allowed by law." </w:t>
      </w:r>
      <w:hyperlink r:id="rId86" w:history="1">
        <w:r>
          <w:rPr>
            <w:rFonts w:ascii="arial" w:eastAsia="arial" w:hAnsi="arial" w:cs="arial"/>
            <w:b w:val="0"/>
            <w:i/>
            <w:strike w:val="0"/>
            <w:noProof w:val="0"/>
            <w:color w:val="0077CC"/>
            <w:position w:val="0"/>
            <w:sz w:val="20"/>
            <w:u w:val="single"/>
            <w:vertAlign w:val="baseline"/>
          </w:rPr>
          <w:t>Id.</w:t>
        </w:r>
      </w:hyperlink>
      <w:hyperlink r:id="rId86" w:history="1">
        <w:r>
          <w:rPr>
            <w:rFonts w:ascii="arial" w:eastAsia="arial" w:hAnsi="arial" w:cs="arial"/>
            <w:b w:val="0"/>
            <w:i/>
            <w:strike w:val="0"/>
            <w:noProof w:val="0"/>
            <w:color w:val="0077CC"/>
            <w:position w:val="0"/>
            <w:sz w:val="20"/>
            <w:u w:val="single"/>
            <w:vertAlign w:val="baseline"/>
          </w:rPr>
          <w:t xml:space="preserve"> at 144</w:t>
        </w:r>
      </w:hyperlink>
      <w:r>
        <w:rPr>
          <w:rFonts w:ascii="arial" w:eastAsia="arial" w:hAnsi="arial" w:cs="arial"/>
          <w:b w:val="0"/>
          <w:i w:val="0"/>
          <w:strike w:val="0"/>
          <w:noProof w:val="0"/>
          <w:color w:val="000000"/>
          <w:position w:val="0"/>
          <w:sz w:val="20"/>
          <w:u w:val="none"/>
          <w:vertAlign w:val="baseline"/>
        </w:rPr>
        <w:t xml:space="preserve">. In context, the limitation to Protestants is unsurprising. </w:t>
      </w:r>
      <w:bookmarkStart w:id="563" w:name="Bookmark_I6B11G1C2HM6CD0050000400"/>
      <w:bookmarkEnd w:id="563"/>
      <w:r>
        <w:rPr>
          <w:rFonts w:ascii="arial" w:eastAsia="arial" w:hAnsi="arial" w:cs="arial"/>
          <w:b w:val="0"/>
          <w:i w:val="0"/>
          <w:strike w:val="0"/>
          <w:noProof w:val="0"/>
          <w:color w:val="000000"/>
          <w:position w:val="0"/>
          <w:sz w:val="20"/>
          <w:u w:val="none"/>
          <w:vertAlign w:val="baseline"/>
        </w:rPr>
        <w:t>"A national fear and loathing of Roman Catholicism and of persons who practiced it were the major reasons</w:t>
      </w:r>
      <w:r>
        <w:rPr>
          <w:rFonts w:ascii="arial" w:eastAsia="arial" w:hAnsi="arial" w:cs="arial"/>
          <w:b/>
          <w:i w:val="0"/>
          <w:strike w:val="0"/>
          <w:noProof w:val="0"/>
          <w:color w:val="000000"/>
          <w:position w:val="0"/>
          <w:sz w:val="20"/>
          <w:u w:val="none"/>
          <w:vertAlign w:val="baseline"/>
        </w:rPr>
        <w:t> [**89] </w:t>
      </w:r>
      <w:r>
        <w:rPr>
          <w:rFonts w:ascii="arial" w:eastAsia="arial" w:hAnsi="arial" w:cs="arial"/>
          <w:b w:val="0"/>
          <w:i w:val="0"/>
          <w:strike w:val="0"/>
          <w:noProof w:val="0"/>
          <w:color w:val="000000"/>
          <w:position w:val="0"/>
          <w:sz w:val="20"/>
          <w:u w:val="none"/>
          <w:vertAlign w:val="baseline"/>
        </w:rPr>
        <w:t xml:space="preserve"> for the revolution," i.e., the revolution of 1688-1689 that led to the Convention and King James II's flight to France. </w:t>
      </w:r>
      <w:hyperlink r:id="rId86" w:history="1">
        <w:r>
          <w:rPr>
            <w:rFonts w:ascii="arial" w:eastAsia="arial" w:hAnsi="arial" w:cs="arial"/>
            <w:b w:val="0"/>
            <w:i/>
            <w:strike w:val="0"/>
            <w:noProof w:val="0"/>
            <w:color w:val="0077CC"/>
            <w:position w:val="0"/>
            <w:sz w:val="20"/>
            <w:u w:val="single"/>
            <w:vertAlign w:val="baseline"/>
          </w:rPr>
          <w:t>Id.</w:t>
        </w:r>
      </w:hyperlink>
      <w:hyperlink r:id="rId86" w:history="1">
        <w:r>
          <w:rPr>
            <w:rFonts w:ascii="arial" w:eastAsia="arial" w:hAnsi="arial" w:cs="arial"/>
            <w:b w:val="0"/>
            <w:i/>
            <w:strike w:val="0"/>
            <w:noProof w:val="0"/>
            <w:color w:val="0077CC"/>
            <w:position w:val="0"/>
            <w:sz w:val="20"/>
            <w:u w:val="single"/>
            <w:vertAlign w:val="baseline"/>
          </w:rPr>
          <w:t xml:space="preserve"> at 143</w:t>
        </w:r>
      </w:hyperlink>
      <w:r>
        <w:rPr>
          <w:rFonts w:ascii="arial" w:eastAsia="arial" w:hAnsi="arial" w:cs="arial"/>
          <w:b w:val="0"/>
          <w:i w:val="0"/>
          <w:strike w:val="0"/>
          <w:noProof w:val="0"/>
          <w:color w:val="000000"/>
          <w:position w:val="0"/>
          <w:sz w:val="20"/>
          <w:u w:val="none"/>
          <w:vertAlign w:val="baseline"/>
        </w:rPr>
        <w:t xml:space="preserve">. The reference to "Condition" also is comprehensible, given "the hierarchical nature of early modern English society and its attendant social and economic prejudices." </w:t>
      </w:r>
      <w:bookmarkStart w:id="564" w:name="Bookmark_I6B11G1C2HM6CD0040000400"/>
      <w:bookmarkEnd w:id="564"/>
      <w:hyperlink r:id="rId105" w:history="1">
        <w:r>
          <w:rPr>
            <w:rFonts w:ascii="arial" w:eastAsia="arial" w:hAnsi="arial" w:cs="arial"/>
            <w:b w:val="0"/>
            <w:i/>
            <w:strike w:val="0"/>
            <w:noProof w:val="0"/>
            <w:color w:val="0077CC"/>
            <w:position w:val="0"/>
            <w:sz w:val="20"/>
            <w:u w:val="single"/>
            <w:vertAlign w:val="baseline"/>
          </w:rPr>
          <w:t>Id.</w:t>
        </w:r>
      </w:hyperlink>
      <w:hyperlink r:id="rId105" w:history="1">
        <w:r>
          <w:rPr>
            <w:rFonts w:ascii="arial" w:eastAsia="arial" w:hAnsi="arial" w:cs="arial"/>
            <w:b w:val="0"/>
            <w:i/>
            <w:strike w:val="0"/>
            <w:noProof w:val="0"/>
            <w:color w:val="0077CC"/>
            <w:position w:val="0"/>
            <w:sz w:val="20"/>
            <w:u w:val="single"/>
            <w:vertAlign w:val="baseline"/>
          </w:rPr>
          <w:t xml:space="preserve"> at 144</w:t>
        </w:r>
      </w:hyperlink>
      <w:r>
        <w:rPr>
          <w:rFonts w:ascii="arial" w:eastAsia="arial" w:hAnsi="arial" w:cs="arial"/>
          <w:b w:val="0"/>
          <w:i w:val="0"/>
          <w:strike w:val="0"/>
          <w:noProof w:val="0"/>
          <w:color w:val="000000"/>
          <w:position w:val="0"/>
          <w:sz w:val="20"/>
          <w:u w:val="none"/>
          <w:vertAlign w:val="baseline"/>
        </w:rPr>
        <w:t xml:space="preserve">. The limiting phrase "as allowed by law" emphasized that Parliament, not the crown, was sovereign and prohibited the crown from disarming subjects in the future.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omission of any reference to the "public Safety" was "almost certainly" a concession to Prince William, because its inclusion "implied he was unable to protect the nation." </w:t>
      </w:r>
      <w:hyperlink r:id="rId86" w:history="1">
        <w:r>
          <w:rPr>
            <w:rFonts w:ascii="arial" w:eastAsia="arial" w:hAnsi="arial" w:cs="arial"/>
            <w:b w:val="0"/>
            <w:i/>
            <w:strike w:val="0"/>
            <w:noProof w:val="0"/>
            <w:color w:val="0077CC"/>
            <w:position w:val="0"/>
            <w:sz w:val="20"/>
            <w:u w:val="single"/>
            <w:vertAlign w:val="baseline"/>
          </w:rPr>
          <w:t>Id.</w:t>
        </w:r>
      </w:hyperlink>
      <w:hyperlink r:id="rId86" w:history="1">
        <w:r>
          <w:rPr>
            <w:rFonts w:ascii="arial" w:eastAsia="arial" w:hAnsi="arial" w:cs="arial"/>
            <w:b w:val="0"/>
            <w:i/>
            <w:strike w:val="0"/>
            <w:noProof w:val="0"/>
            <w:color w:val="0077CC"/>
            <w:position w:val="0"/>
            <w:sz w:val="20"/>
            <w:u w:val="single"/>
            <w:vertAlign w:val="baseline"/>
          </w:rPr>
          <w:t xml:space="preserve"> at 143</w:t>
        </w:r>
      </w:hyperlink>
      <w:r>
        <w:rPr>
          <w:rFonts w:ascii="arial" w:eastAsia="arial" w:hAnsi="arial" w:cs="arial"/>
          <w:b w:val="0"/>
          <w:i w:val="0"/>
          <w:strike w:val="0"/>
          <w:noProof w:val="0"/>
          <w:color w:val="000000"/>
          <w:position w:val="0"/>
          <w:sz w:val="20"/>
          <w:u w:val="none"/>
          <w:vertAlign w:val="baseline"/>
        </w:rPr>
        <w:t xml:space="preserve">. The word "Armes" likely referred to "war equipment."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Gary Wills, </w:t>
      </w:r>
      <w:r>
        <w:rPr>
          <w:rFonts w:ascii="arial" w:eastAsia="arial" w:hAnsi="arial" w:cs="arial"/>
          <w:b w:val="0"/>
          <w:i/>
          <w:strike w:val="0"/>
          <w:noProof w:val="0"/>
          <w:color w:val="000000"/>
          <w:position w:val="0"/>
          <w:sz w:val="20"/>
          <w:u w:val="none"/>
          <w:vertAlign w:val="baseline"/>
        </w:rPr>
        <w:t>To Keep and Bear Arms</w:t>
      </w:r>
      <w:r>
        <w:rPr>
          <w:rFonts w:ascii="arial" w:eastAsia="arial" w:hAnsi="arial" w:cs="arial"/>
          <w:b w:val="0"/>
          <w:i w:val="0"/>
          <w:strike w:val="0"/>
          <w:noProof w:val="0"/>
          <w:color w:val="000000"/>
          <w:position w:val="0"/>
          <w:sz w:val="20"/>
          <w:u w:val="none"/>
          <w:vertAlign w:val="baseline"/>
        </w:rPr>
        <w:t xml:space="preserve">, 42 N.Y. Review of Books 64-65 (Sept. 21, 1995)). Finally, it is uncertain why the final version of Article VII used the phrase "for their defence" rather than "for their common Defense." Some historians believe the final version, "for their defence," referred specifically to "the use of force against a tyrannical government and against 'outside forces.'"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Patrick J. Charles, </w:t>
      </w:r>
      <w:r>
        <w:rPr>
          <w:rFonts w:ascii="arial" w:eastAsia="arial" w:hAnsi="arial" w:cs="arial"/>
          <w:b w:val="0"/>
          <w:i/>
          <w:strike w:val="0"/>
          <w:noProof w:val="0"/>
          <w:color w:val="000000"/>
          <w:position w:val="0"/>
          <w:sz w:val="20"/>
          <w:u w:val="none"/>
          <w:vertAlign w:val="baseline"/>
        </w:rPr>
        <w:t xml:space="preserve">Arms for Their Defence"? An Historical, Legal, and Textual Analysis of the English Right to </w:t>
      </w:r>
      <w:r>
        <w:rPr>
          <w:rFonts w:ascii="arial" w:eastAsia="arial" w:hAnsi="arial" w:cs="arial"/>
          <w:b/>
          <w:i/>
          <w:strike w:val="0"/>
          <w:noProof w:val="0"/>
          <w:color w:val="000000"/>
          <w:position w:val="0"/>
          <w:sz w:val="20"/>
          <w:u w:val="none"/>
          <w:vertAlign w:val="baseline"/>
        </w:rPr>
        <w:t> [*1128] </w:t>
      </w:r>
      <w:r>
        <w:rPr>
          <w:rFonts w:ascii="arial" w:eastAsia="arial" w:hAnsi="arial" w:cs="arial"/>
          <w:b w:val="0"/>
          <w:i/>
          <w:strike w:val="0"/>
          <w:noProof w:val="0"/>
          <w:color w:val="000000"/>
          <w:position w:val="0"/>
          <w:sz w:val="20"/>
          <w:u w:val="none"/>
          <w:vertAlign w:val="baseline"/>
        </w:rPr>
        <w:t xml:space="preserve"> Have Arms and Whether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strike w:val="0"/>
          <w:noProof w:val="0"/>
          <w:color w:val="000000"/>
          <w:position w:val="0"/>
          <w:sz w:val="20"/>
          <w:u w:val="none"/>
          <w:vertAlign w:val="baseline"/>
        </w:rPr>
        <w:t xml:space="preserve"> Should be Incorporated in</w:t>
      </w:r>
      <w:r>
        <w:rPr>
          <w:rFonts w:ascii="arial" w:eastAsia="arial" w:hAnsi="arial" w:cs="arial"/>
          <w:b w:val="0"/>
          <w:i w:val="0"/>
          <w:strike w:val="0"/>
          <w:noProof w:val="0"/>
          <w:color w:val="000000"/>
          <w:position w:val="0"/>
          <w:sz w:val="20"/>
          <w:u w:val="none"/>
          <w:vertAlign w:val="baseline"/>
        </w:rPr>
        <w:t xml:space="preserve"> McDonald</w:t>
      </w:r>
      <w:r>
        <w:rPr>
          <w:rFonts w:ascii="arial" w:eastAsia="arial" w:hAnsi="arial" w:cs="arial"/>
          <w:b/>
          <w:i w:val="0"/>
          <w:strike w:val="0"/>
          <w:noProof w:val="0"/>
          <w:color w:val="000000"/>
          <w:position w:val="0"/>
          <w:sz w:val="20"/>
          <w:u w:val="none"/>
          <w:vertAlign w:val="baseline"/>
        </w:rPr>
        <w:t> [**90] </w:t>
      </w:r>
      <w:r>
        <w:rPr>
          <w:rFonts w:ascii="arial" w:eastAsia="arial" w:hAnsi="arial" w:cs="arial"/>
          <w:b w:val="0"/>
          <w:i w:val="0"/>
          <w:strike w:val="0"/>
          <w:noProof w:val="0"/>
          <w:color w:val="000000"/>
          <w:position w:val="0"/>
          <w:sz w:val="20"/>
          <w:u w:val="none"/>
          <w:vertAlign w:val="baseline"/>
        </w:rPr>
        <w:t xml:space="preserve"> v. City of Chicago, </w:t>
      </w:r>
      <w:hyperlink r:id="rId106" w:history="1">
        <w:r>
          <w:rPr>
            <w:rFonts w:ascii="arial" w:eastAsia="arial" w:hAnsi="arial" w:cs="arial"/>
            <w:b w:val="0"/>
            <w:i/>
            <w:strike w:val="0"/>
            <w:noProof w:val="0"/>
            <w:color w:val="0077CC"/>
            <w:position w:val="0"/>
            <w:sz w:val="20"/>
            <w:u w:val="single"/>
            <w:vertAlign w:val="baseline"/>
          </w:rPr>
          <w:t>57 Cleveland State L. Rev. 351, 390 (2009)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65" w:name="Bookmark_para_115"/>
      <w:bookmarkEnd w:id="565"/>
      <w:r>
        <w:rPr>
          <w:rFonts w:ascii="arial" w:eastAsia="arial" w:hAnsi="arial" w:cs="arial"/>
          <w:b w:val="0"/>
          <w:i w:val="0"/>
          <w:strike w:val="0"/>
          <w:noProof w:val="0"/>
          <w:color w:val="000000"/>
          <w:position w:val="0"/>
          <w:sz w:val="20"/>
          <w:u w:val="none"/>
          <w:vertAlign w:val="baseline"/>
        </w:rPr>
        <w:t xml:space="preserve">No party in this case has established a strong connection between the </w:t>
      </w:r>
      <w:hyperlink r:id="rId61" w:history="1">
        <w:r>
          <w:rPr>
            <w:rFonts w:ascii="arial" w:eastAsia="arial" w:hAnsi="arial" w:cs="arial"/>
            <w:b w:val="0"/>
            <w:i/>
            <w:strike w:val="0"/>
            <w:noProof w:val="0"/>
            <w:color w:val="0077CC"/>
            <w:position w:val="0"/>
            <w:sz w:val="20"/>
            <w:u w:val="single"/>
            <w:vertAlign w:val="baseline"/>
          </w:rPr>
          <w:t>English Bill of Rights</w:t>
        </w:r>
      </w:hyperlink>
      <w:r>
        <w:rPr>
          <w:rFonts w:ascii="arial" w:eastAsia="arial" w:hAnsi="arial" w:cs="arial"/>
          <w:b w:val="0"/>
          <w:i w:val="0"/>
          <w:strike w:val="0"/>
          <w:noProof w:val="0"/>
          <w:color w:val="000000"/>
          <w:position w:val="0"/>
          <w:sz w:val="20"/>
          <w:u w:val="none"/>
          <w:vertAlign w:val="baseline"/>
        </w:rPr>
        <w:t xml:space="preserve"> and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Although in this country during the founding era, the Anti-Federalists protested the Federalists' proposal to set up a standing army just as the members of the 1689 Convention decried the king's standing army, records of the American debates of 1787 and 1788 include no references to Article VII. </w:t>
      </w:r>
      <w:hyperlink r:id="rId86" w:history="1">
        <w:r>
          <w:rPr>
            <w:rFonts w:ascii="arial" w:eastAsia="arial" w:hAnsi="arial" w:cs="arial"/>
            <w:b w:val="0"/>
            <w:i/>
            <w:strike w:val="0"/>
            <w:noProof w:val="0"/>
            <w:color w:val="0077CC"/>
            <w:position w:val="0"/>
            <w:sz w:val="20"/>
            <w:u w:val="single"/>
            <w:vertAlign w:val="baseline"/>
          </w:rPr>
          <w:t>Id.</w:t>
        </w:r>
      </w:hyperlink>
      <w:hyperlink r:id="rId86" w:history="1">
        <w:r>
          <w:rPr>
            <w:rFonts w:ascii="arial" w:eastAsia="arial" w:hAnsi="arial" w:cs="arial"/>
            <w:b w:val="0"/>
            <w:i/>
            <w:strike w:val="0"/>
            <w:noProof w:val="0"/>
            <w:color w:val="0077CC"/>
            <w:position w:val="0"/>
            <w:sz w:val="20"/>
            <w:u w:val="single"/>
            <w:vertAlign w:val="baseline"/>
          </w:rPr>
          <w:t xml:space="preserve"> at 146</w:t>
        </w:r>
      </w:hyperlink>
      <w:r>
        <w:rPr>
          <w:rFonts w:ascii="arial" w:eastAsia="arial" w:hAnsi="arial" w:cs="arial"/>
          <w:b w:val="0"/>
          <w:i w:val="0"/>
          <w:strike w:val="0"/>
          <w:noProof w:val="0"/>
          <w:color w:val="000000"/>
          <w:position w:val="0"/>
          <w:sz w:val="20"/>
          <w:u w:val="none"/>
          <w:vertAlign w:val="baseline"/>
        </w:rPr>
        <w:t xml:space="preserve">. Neither the Federalist Papers nor the Anti-Federalist Papers refer to Article VII, although Federalist No. 26 does invoke </w:t>
      </w:r>
      <w:hyperlink r:id="rId107" w:history="1">
        <w:r>
          <w:rPr>
            <w:rFonts w:ascii="arial" w:eastAsia="arial" w:hAnsi="arial" w:cs="arial"/>
            <w:b w:val="0"/>
            <w:i/>
            <w:strike w:val="0"/>
            <w:noProof w:val="0"/>
            <w:color w:val="0077CC"/>
            <w:position w:val="0"/>
            <w:sz w:val="20"/>
            <w:u w:val="single"/>
            <w:vertAlign w:val="baseline"/>
          </w:rPr>
          <w:t>Article V</w:t>
        </w:r>
      </w:hyperlink>
      <w:r>
        <w:rPr>
          <w:rFonts w:ascii="arial" w:eastAsia="arial" w:hAnsi="arial" w:cs="arial"/>
          <w:b w:val="0"/>
          <w:i w:val="0"/>
          <w:strike w:val="0"/>
          <w:noProof w:val="0"/>
          <w:color w:val="000000"/>
          <w:position w:val="0"/>
          <w:sz w:val="20"/>
          <w:u w:val="none"/>
          <w:vertAlign w:val="baseline"/>
        </w:rPr>
        <w:t xml:space="preserve">, which prohibits a standing army in peacetime. </w:t>
      </w:r>
      <w:hyperlink r:id="rId86" w:history="1">
        <w:r>
          <w:rPr>
            <w:rFonts w:ascii="arial" w:eastAsia="arial" w:hAnsi="arial" w:cs="arial"/>
            <w:b w:val="0"/>
            <w:i/>
            <w:strike w:val="0"/>
            <w:noProof w:val="0"/>
            <w:color w:val="0077CC"/>
            <w:position w:val="0"/>
            <w:sz w:val="20"/>
            <w:u w:val="single"/>
            <w:vertAlign w:val="baseline"/>
          </w:rPr>
          <w:t>Id.</w:t>
        </w:r>
      </w:hyperlink>
      <w:hyperlink r:id="rId86" w:history="1">
        <w:r>
          <w:rPr>
            <w:rFonts w:ascii="arial" w:eastAsia="arial" w:hAnsi="arial" w:cs="arial"/>
            <w:b w:val="0"/>
            <w:i/>
            <w:strike w:val="0"/>
            <w:noProof w:val="0"/>
            <w:color w:val="0077CC"/>
            <w:position w:val="0"/>
            <w:sz w:val="20"/>
            <w:u w:val="single"/>
            <w:vertAlign w:val="baseline"/>
          </w:rPr>
          <w:t xml:space="preserve"> at 147</w:t>
        </w:r>
      </w:hyperlink>
      <w:r>
        <w:rPr>
          <w:rFonts w:ascii="arial" w:eastAsia="arial" w:hAnsi="arial" w:cs="arial"/>
          <w:b w:val="0"/>
          <w:i w:val="0"/>
          <w:strike w:val="0"/>
          <w:noProof w:val="0"/>
          <w:color w:val="000000"/>
          <w:position w:val="0"/>
          <w:sz w:val="20"/>
          <w:u w:val="none"/>
          <w:vertAlign w:val="baseline"/>
        </w:rPr>
        <w:t xml:space="preserve">. Madison did make a scant notation referencing Article VII in papers related to his draft </w:t>
      </w:r>
      <w:hyperlink r:id="rId61" w:history="1">
        <w:r>
          <w:rPr>
            <w:rFonts w:ascii="arial" w:eastAsia="arial" w:hAnsi="arial" w:cs="arial"/>
            <w:b w:val="0"/>
            <w:i/>
            <w:strike w:val="0"/>
            <w:noProof w:val="0"/>
            <w:color w:val="0077CC"/>
            <w:position w:val="0"/>
            <w:sz w:val="20"/>
            <w:u w:val="single"/>
            <w:vertAlign w:val="baseline"/>
          </w:rPr>
          <w:t>Bill of Rights</w:t>
        </w:r>
      </w:hyperlink>
      <w:r>
        <w:rPr>
          <w:rFonts w:ascii="arial" w:eastAsia="arial" w:hAnsi="arial" w:cs="arial"/>
          <w:b w:val="0"/>
          <w:i w:val="0"/>
          <w:strike w:val="0"/>
          <w:noProof w:val="0"/>
          <w:color w:val="000000"/>
          <w:position w:val="0"/>
          <w:sz w:val="20"/>
          <w:u w:val="none"/>
          <w:vertAlign w:val="baseline"/>
        </w:rPr>
        <w:t xml:space="preserve"> in 1789, but it is unclear from those notes whether he thought of Article VII as a model, and the Senate debates about the proposed </w:t>
      </w:r>
      <w:hyperlink r:id="rId61" w:history="1">
        <w:r>
          <w:rPr>
            <w:rFonts w:ascii="arial" w:eastAsia="arial" w:hAnsi="arial" w:cs="arial"/>
            <w:b w:val="0"/>
            <w:i/>
            <w:strike w:val="0"/>
            <w:noProof w:val="0"/>
            <w:color w:val="0077CC"/>
            <w:position w:val="0"/>
            <w:sz w:val="20"/>
            <w:u w:val="single"/>
            <w:vertAlign w:val="baseline"/>
          </w:rPr>
          <w:t>Bill of Rights</w:t>
        </w:r>
      </w:hyperlink>
      <w:r>
        <w:rPr>
          <w:rFonts w:ascii="arial" w:eastAsia="arial" w:hAnsi="arial" w:cs="arial"/>
          <w:b w:val="0"/>
          <w:i w:val="0"/>
          <w:strike w:val="0"/>
          <w:noProof w:val="0"/>
          <w:color w:val="000000"/>
          <w:position w:val="0"/>
          <w:sz w:val="20"/>
          <w:u w:val="none"/>
          <w:vertAlign w:val="baseline"/>
        </w:rPr>
        <w:t xml:space="preserve"> "were kept secret."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149.</w:t>
      </w:r>
    </w:p>
    <w:p>
      <w:pPr>
        <w:keepNext w:val="0"/>
        <w:spacing w:before="200" w:after="0" w:line="260" w:lineRule="atLeast"/>
        <w:ind w:left="0" w:right="0" w:firstLine="0"/>
        <w:jc w:val="both"/>
      </w:pPr>
      <w:bookmarkStart w:id="566" w:name="Bookmark_para_116"/>
      <w:bookmarkEnd w:id="566"/>
      <w:r>
        <w:rPr>
          <w:rFonts w:ascii="arial" w:eastAsia="arial" w:hAnsi="arial" w:cs="arial"/>
          <w:b w:val="0"/>
          <w:i w:val="0"/>
          <w:strike w:val="0"/>
          <w:noProof w:val="0"/>
          <w:color w:val="000000"/>
          <w:position w:val="0"/>
          <w:sz w:val="20"/>
          <w:u w:val="none"/>
          <w:vertAlign w:val="baseline"/>
        </w:rPr>
        <w:t xml:space="preserve">People who read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in the 1790s might very well have understood it as an adaptation of </w:t>
      </w:r>
      <w:hyperlink r:id="rId61" w:history="1">
        <w:r>
          <w:rPr>
            <w:rFonts w:ascii="arial" w:eastAsia="arial" w:hAnsi="arial" w:cs="arial"/>
            <w:b w:val="0"/>
            <w:i/>
            <w:strike w:val="0"/>
            <w:noProof w:val="0"/>
            <w:color w:val="0077CC"/>
            <w:position w:val="0"/>
            <w:sz w:val="20"/>
            <w:u w:val="single"/>
            <w:vertAlign w:val="baseline"/>
          </w:rPr>
          <w:t>Article VII of the English Bill of Rights</w:t>
        </w:r>
      </w:hyperlink>
      <w:r>
        <w:rPr>
          <w:rFonts w:ascii="arial" w:eastAsia="arial" w:hAnsi="arial" w:cs="arial"/>
          <w:b w:val="0"/>
          <w:i w:val="0"/>
          <w:strike w:val="0"/>
          <w:noProof w:val="0"/>
          <w:color w:val="000000"/>
          <w:position w:val="0"/>
          <w:sz w:val="20"/>
          <w:u w:val="none"/>
          <w:vertAlign w:val="baseline"/>
        </w:rPr>
        <w:t xml:space="preserve">. Baird and Gallardo invite that comparison implicitly.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Pls.' Mem. at 21-22. From the circumstances of its creation, Article VII seems to have been a Protestant upper class's effort to preserve its power against the crown and the minority adherents of a mostly foreign faith. Did</w:t>
      </w:r>
      <w:r>
        <w:rPr>
          <w:rFonts w:ascii="arial" w:eastAsia="arial" w:hAnsi="arial" w:cs="arial"/>
          <w:b/>
          <w:i w:val="0"/>
          <w:strike w:val="0"/>
          <w:noProof w:val="0"/>
          <w:color w:val="000000"/>
          <w:position w:val="0"/>
          <w:sz w:val="20"/>
          <w:u w:val="none"/>
          <w:vertAlign w:val="baseline"/>
        </w:rPr>
        <w:t> [**91] </w:t>
      </w:r>
      <w:r>
        <w:rPr>
          <w:rFonts w:ascii="arial" w:eastAsia="arial" w:hAnsi="arial" w:cs="arial"/>
          <w:b w:val="0"/>
          <w:i w:val="0"/>
          <w:strike w:val="0"/>
          <w:noProof w:val="0"/>
          <w:color w:val="000000"/>
          <w:position w:val="0"/>
          <w:sz w:val="20"/>
          <w:u w:val="none"/>
          <w:vertAlign w:val="baseline"/>
        </w:rPr>
        <w:t xml:space="preserve"> the American colonists see themselves as heirs to these protections, even if they did not experience equivalent tension rooted in religion? Would they also have understood that inheritance as more than just a right to resist tyrants, but also a right to carry weapons in public? And if so, would they have understood also that their elected representatives could place limits on when and where they could bear arms, or not? And are any of those historically acceptable limits comparable to California's firearms licenses in purpose and effect? On balance, this court cannot find the English history and its legacy offer helpful guidance here.</w:t>
      </w:r>
    </w:p>
    <w:p>
      <w:pPr>
        <w:keepNext w:val="0"/>
        <w:spacing w:before="200" w:after="0" w:line="260" w:lineRule="atLeast"/>
        <w:ind w:left="0" w:right="0" w:firstLine="0"/>
        <w:jc w:val="both"/>
      </w:pPr>
      <w:bookmarkStart w:id="567" w:name="Bookmark_para_117"/>
      <w:bookmarkEnd w:id="567"/>
      <w:r>
        <w:rPr>
          <w:rFonts w:ascii="arial" w:eastAsia="arial" w:hAnsi="arial" w:cs="arial"/>
          <w:b w:val="0"/>
          <w:i w:val="0"/>
          <w:strike w:val="0"/>
          <w:noProof w:val="0"/>
          <w:color w:val="000000"/>
          <w:position w:val="0"/>
          <w:sz w:val="20"/>
          <w:u w:val="none"/>
          <w:vertAlign w:val="baseline"/>
        </w:rPr>
        <w:t xml:space="preserve">But as the state argues,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Def.'s Mem. at 11-12, and as Cornell explains in his declaration, there are other "continuities between English law and the common law in America," Cornell Decl. Ex. A at 3. Each of the new American states "adopted multiple aspects of the common law, focusing primarily on those features of English law that had been in effect in the English colonies for generations."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One of these aspects was "the concept of peace."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right of the people to pass laws to promote public health and safety is one of the most fundamental</w:t>
      </w:r>
      <w:r>
        <w:rPr>
          <w:rFonts w:ascii="arial" w:eastAsia="arial" w:hAnsi="arial" w:cs="arial"/>
          <w:b/>
          <w:i w:val="0"/>
          <w:strike w:val="0"/>
          <w:noProof w:val="0"/>
          <w:color w:val="000000"/>
          <w:position w:val="0"/>
          <w:sz w:val="20"/>
          <w:u w:val="none"/>
          <w:vertAlign w:val="baseline"/>
        </w:rPr>
        <w:t> [**92] </w:t>
      </w:r>
      <w:r>
        <w:rPr>
          <w:rFonts w:ascii="arial" w:eastAsia="arial" w:hAnsi="arial" w:cs="arial"/>
          <w:b w:val="0"/>
          <w:i w:val="0"/>
          <w:strike w:val="0"/>
          <w:noProof w:val="0"/>
          <w:color w:val="000000"/>
          <w:position w:val="0"/>
          <w:sz w:val="20"/>
          <w:u w:val="none"/>
          <w:vertAlign w:val="baseline"/>
        </w:rPr>
        <w:t xml:space="preserve"> rights in the pantheon of American rights."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"Although modern lawyers and jurists are accustomed to thinking of this concept under the rubric of state police power, the Founding generation viewed it as a right, not a power," that is, "the right of the people to regulate their own internal police."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 Cornell cites, for example, the contrast between "wild and savage liberty" in nature with a "civil society" governed by "laws and regulations that promoted </w:t>
      </w:r>
      <w:r>
        <w:rPr>
          <w:rFonts w:ascii="arial" w:eastAsia="arial" w:hAnsi="arial" w:cs="arial"/>
          <w:b w:val="0"/>
          <w:i/>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liberty."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(emphasis original; quotation marks omitted).</w:t>
      </w:r>
    </w:p>
    <w:p>
      <w:pPr>
        <w:keepNext w:val="0"/>
        <w:spacing w:before="200" w:after="0" w:line="260" w:lineRule="atLeast"/>
        <w:ind w:left="0" w:right="0" w:firstLine="0"/>
        <w:jc w:val="both"/>
      </w:pPr>
      <w:bookmarkStart w:id="568" w:name="Bookmark_para_118"/>
      <w:bookmarkEnd w:id="568"/>
      <w:r>
        <w:rPr>
          <w:rFonts w:ascii="arial" w:eastAsia="arial" w:hAnsi="arial" w:cs="arial"/>
          <w:b w:val="0"/>
          <w:i w:val="0"/>
          <w:strike w:val="0"/>
          <w:noProof w:val="0"/>
          <w:color w:val="000000"/>
          <w:position w:val="0"/>
          <w:sz w:val="20"/>
          <w:u w:val="none"/>
          <w:vertAlign w:val="baseline"/>
        </w:rPr>
        <w:t xml:space="preserve">In Cornell's opinion, people saw "the right to keep and bear arms" and "the right of the people to regulate arms" as complementary.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offers a contrast between the </w:t>
      </w:r>
      <w:hyperlink r:id="rId61" w:history="1">
        <w:r>
          <w:rPr>
            <w:rFonts w:ascii="arial" w:eastAsia="arial" w:hAnsi="arial" w:cs="arial"/>
            <w:b w:val="0"/>
            <w:i/>
            <w:strike w:val="0"/>
            <w:noProof w:val="0"/>
            <w:color w:val="0077CC"/>
            <w:position w:val="0"/>
            <w:sz w:val="20"/>
            <w:u w:val="single"/>
            <w:vertAlign w:val="baseline"/>
          </w:rPr>
          <w:t>First</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Second Amendments</w:t>
        </w:r>
      </w:hyperlink>
      <w:r>
        <w:rPr>
          <w:rFonts w:ascii="arial" w:eastAsia="arial" w:hAnsi="arial" w:cs="arial"/>
          <w:b w:val="0"/>
          <w:i w:val="0"/>
          <w:strike w:val="0"/>
          <w:noProof w:val="0"/>
          <w:color w:val="000000"/>
          <w:position w:val="0"/>
          <w:sz w:val="20"/>
          <w:u w:val="none"/>
          <w:vertAlign w:val="baseline"/>
        </w:rPr>
        <w:t xml:space="preserve"> to illustrate his point. The </w:t>
      </w:r>
      <w:hyperlink r:id="rId6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bars the government from "abridging" several rights it lists, whereas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uses the word "infringed." At the time the </w:t>
      </w:r>
      <w:hyperlink r:id="rId61" w:history="1">
        <w:r>
          <w:rPr>
            <w:rFonts w:ascii="arial" w:eastAsia="arial" w:hAnsi="arial" w:cs="arial"/>
            <w:b w:val="0"/>
            <w:i/>
            <w:strike w:val="0"/>
            <w:noProof w:val="0"/>
            <w:color w:val="0077CC"/>
            <w:position w:val="0"/>
            <w:sz w:val="20"/>
            <w:u w:val="single"/>
            <w:vertAlign w:val="baseline"/>
          </w:rPr>
          <w:t>Bill of Rights</w:t>
        </w:r>
      </w:hyperlink>
      <w:r>
        <w:rPr>
          <w:rFonts w:ascii="arial" w:eastAsia="arial" w:hAnsi="arial" w:cs="arial"/>
          <w:b w:val="0"/>
          <w:i w:val="0"/>
          <w:strike w:val="0"/>
          <w:noProof w:val="0"/>
          <w:color w:val="000000"/>
          <w:position w:val="0"/>
          <w:sz w:val="20"/>
          <w:u w:val="none"/>
          <w:vertAlign w:val="baseline"/>
        </w:rPr>
        <w:t xml:space="preserve"> was adopted, the word "abridged" was understood as a synonym for "reduce" in this </w:t>
      </w:r>
      <w:r>
        <w:rPr>
          <w:rFonts w:ascii="arial" w:eastAsia="arial" w:hAnsi="arial" w:cs="arial"/>
          <w:b/>
          <w:i w:val="0"/>
          <w:strike w:val="0"/>
          <w:noProof w:val="0"/>
          <w:color w:val="000000"/>
          <w:position w:val="0"/>
          <w:sz w:val="20"/>
          <w:u w:val="none"/>
          <w:vertAlign w:val="baseline"/>
        </w:rPr>
        <w:t> [*1129] </w:t>
      </w:r>
      <w:r>
        <w:rPr>
          <w:rFonts w:ascii="arial" w:eastAsia="arial" w:hAnsi="arial" w:cs="arial"/>
          <w:b w:val="0"/>
          <w:i w:val="0"/>
          <w:strike w:val="0"/>
          <w:noProof w:val="0"/>
          <w:color w:val="000000"/>
          <w:position w:val="0"/>
          <w:sz w:val="20"/>
          <w:u w:val="none"/>
          <w:vertAlign w:val="baseline"/>
        </w:rPr>
        <w:t xml:space="preserve"> context.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word "infringe," by contrast, meant something more like "destroy."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(collecting contemporary dictionary definitions). Cornell believes the contrasting choices in vocabulary were meaningful: the government could not</w:t>
      </w:r>
      <w:r>
        <w:rPr>
          <w:rFonts w:ascii="arial" w:eastAsia="arial" w:hAnsi="arial" w:cs="arial"/>
          <w:b/>
          <w:i w:val="0"/>
          <w:strike w:val="0"/>
          <w:noProof w:val="0"/>
          <w:color w:val="000000"/>
          <w:position w:val="0"/>
          <w:sz w:val="20"/>
          <w:u w:val="none"/>
          <w:vertAlign w:val="baseline"/>
        </w:rPr>
        <w:t> [**93] </w:t>
      </w:r>
      <w:r>
        <w:rPr>
          <w:rFonts w:ascii="arial" w:eastAsia="arial" w:hAnsi="arial" w:cs="arial"/>
          <w:b w:val="0"/>
          <w:i w:val="0"/>
          <w:strike w:val="0"/>
          <w:noProof w:val="0"/>
          <w:color w:val="000000"/>
          <w:position w:val="0"/>
          <w:sz w:val="20"/>
          <w:u w:val="none"/>
          <w:vertAlign w:val="baseline"/>
        </w:rPr>
        <w:t xml:space="preserve"> even reduce rights protected by the </w:t>
      </w:r>
      <w:hyperlink r:id="rId6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whereas it was forbidden by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only from destroying the right to keep and bear arms, not from regulating.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To that end, "early American governments enacted laws to preserve the rights of law-abiding citizens to keep and bear arms and promote the equally vital goals of promoting public safety."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Individual states, for example, "imposed loyalty oaths, disarming those who refused to take such oaths."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But "[n]o state imposed a similar oath as pre-requisite to the exercise of </w:t>
      </w:r>
      <w:hyperlink r:id="rId6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-type liberties."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Cornell's view, "some forms of prior restraint, impermissible in the case of expressive freedoms protected by the </w:t>
      </w:r>
      <w:hyperlink r:id="rId6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or comparable state provisions, were understood by the Founding generation to be perfectly consistent with the constitutional right to keep and bear arms."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69" w:name="Bookmark_para_119"/>
      <w:bookmarkEnd w:id="569"/>
      <w:r>
        <w:rPr>
          <w:rFonts w:ascii="arial" w:eastAsia="arial" w:hAnsi="arial" w:cs="arial"/>
          <w:b w:val="0"/>
          <w:i w:val="0"/>
          <w:strike w:val="0"/>
          <w:noProof w:val="0"/>
          <w:color w:val="000000"/>
          <w:position w:val="0"/>
          <w:sz w:val="20"/>
          <w:u w:val="none"/>
          <w:vertAlign w:val="baseline"/>
        </w:rPr>
        <w:t xml:space="preserve">Clayton Cramer disagrees with this interpretation of the </w:t>
      </w:r>
      <w:hyperlink r:id="rId61" w:history="1">
        <w:r>
          <w:rPr>
            <w:rFonts w:ascii="arial" w:eastAsia="arial" w:hAnsi="arial" w:cs="arial"/>
            <w:b w:val="0"/>
            <w:i/>
            <w:strike w:val="0"/>
            <w:noProof w:val="0"/>
            <w:color w:val="0077CC"/>
            <w:position w:val="0"/>
            <w:sz w:val="20"/>
            <w:u w:val="single"/>
            <w:vertAlign w:val="baseline"/>
          </w:rPr>
          <w:t>First</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Second Amendments</w:t>
        </w:r>
      </w:hyperlink>
      <w:r>
        <w:rPr>
          <w:rFonts w:ascii="arial" w:eastAsia="arial" w:hAnsi="arial" w:cs="arial"/>
          <w:b w:val="0"/>
          <w:i w:val="0"/>
          <w:strike w:val="0"/>
          <w:noProof w:val="0"/>
          <w:color w:val="000000"/>
          <w:position w:val="0"/>
          <w:sz w:val="20"/>
          <w:u w:val="none"/>
          <w:vertAlign w:val="baseline"/>
        </w:rPr>
        <w:t xml:space="preserve"> and their history, but he sets up a straw man and attacks an extreme and nonsensical version of the argument Cornell actually advances.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Cramer Decl. at 33-36 (suggesting Cornell's position would permit legislatures to criminalize any conduct at whim, such as anti-miscegenation laws and the internment of</w:t>
      </w:r>
      <w:r>
        <w:rPr>
          <w:rFonts w:ascii="arial" w:eastAsia="arial" w:hAnsi="arial" w:cs="arial"/>
          <w:b/>
          <w:i w:val="0"/>
          <w:strike w:val="0"/>
          <w:noProof w:val="0"/>
          <w:color w:val="000000"/>
          <w:position w:val="0"/>
          <w:sz w:val="20"/>
          <w:u w:val="none"/>
          <w:vertAlign w:val="baseline"/>
        </w:rPr>
        <w:t> [**94] </w:t>
      </w:r>
      <w:r>
        <w:rPr>
          <w:rFonts w:ascii="arial" w:eastAsia="arial" w:hAnsi="arial" w:cs="arial"/>
          <w:b w:val="0"/>
          <w:i w:val="0"/>
          <w:strike w:val="0"/>
          <w:noProof w:val="0"/>
          <w:color w:val="000000"/>
          <w:position w:val="0"/>
          <w:sz w:val="20"/>
          <w:u w:val="none"/>
          <w:vertAlign w:val="baseline"/>
        </w:rPr>
        <w:t xml:space="preserve"> Japanese Americans). His criticisms also set up a false dichotomy between the total adoption of all English common law or none, </w:t>
      </w:r>
      <w:r>
        <w:rPr>
          <w:rFonts w:ascii="arial" w:eastAsia="arial" w:hAnsi="arial" w:cs="arial"/>
          <w:b w:val="0"/>
          <w:i/>
          <w:strike w:val="0"/>
          <w:noProof w:val="0"/>
          <w:color w:val="000000"/>
          <w:position w:val="0"/>
          <w:sz w:val="20"/>
          <w:u w:val="none"/>
          <w:vertAlign w:val="baseline"/>
        </w:rPr>
        <w:t xml:space="preserve">see, e.g.,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32-34, and often unhelpfully target Cornell's character or intelligence rather than his conclusions and arguments, </w:t>
      </w:r>
      <w:r>
        <w:rPr>
          <w:rFonts w:ascii="arial" w:eastAsia="arial" w:hAnsi="arial" w:cs="arial"/>
          <w:b w:val="0"/>
          <w:i/>
          <w:strike w:val="0"/>
          <w:noProof w:val="0"/>
          <w:color w:val="000000"/>
          <w:position w:val="0"/>
          <w:sz w:val="20"/>
          <w:u w:val="none"/>
          <w:vertAlign w:val="baseline"/>
        </w:rPr>
        <w:t xml:space="preserve">see, e.g.,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58 ("Cornell fails to understand what we were supposed to have learned in high school Civics classes . . . .").</w:t>
      </w:r>
    </w:p>
    <w:p>
      <w:pPr>
        <w:keepNext w:val="0"/>
        <w:spacing w:before="200" w:after="0" w:line="260" w:lineRule="atLeast"/>
        <w:ind w:left="0" w:right="0" w:firstLine="0"/>
        <w:jc w:val="both"/>
      </w:pPr>
      <w:bookmarkStart w:id="570" w:name="Bookmark_para_120"/>
      <w:bookmarkEnd w:id="570"/>
      <w:r>
        <w:rPr>
          <w:rFonts w:ascii="arial" w:eastAsia="arial" w:hAnsi="arial" w:cs="arial"/>
          <w:b w:val="0"/>
          <w:i w:val="0"/>
          <w:strike w:val="0"/>
          <w:noProof w:val="0"/>
          <w:color w:val="000000"/>
          <w:position w:val="0"/>
          <w:sz w:val="20"/>
          <w:u w:val="none"/>
          <w:vertAlign w:val="baseline"/>
        </w:rPr>
        <w:t xml:space="preserve">It bears noting that Cornell is not alone in his assessment of the historical context. As one prominent scholar of the American revolution summarized many years ago, "it is nearly inconceivable that eighteenth-century notions of the police power of state and local governments would have precluded their regulation in the name of some vague threat of tyranny." </w:t>
      </w:r>
      <w:hyperlink r:id="rId86" w:history="1">
        <w:r>
          <w:rPr>
            <w:rFonts w:ascii="arial" w:eastAsia="arial" w:hAnsi="arial" w:cs="arial"/>
            <w:b w:val="0"/>
            <w:i/>
            <w:strike w:val="0"/>
            <w:noProof w:val="0"/>
            <w:color w:val="0077CC"/>
            <w:position w:val="0"/>
            <w:sz w:val="20"/>
            <w:u w:val="single"/>
            <w:vertAlign w:val="baseline"/>
          </w:rPr>
          <w:t xml:space="preserve">Rakove (2000), </w:t>
        </w:r>
      </w:hyperlink>
      <w:hyperlink r:id="rId86" w:history="1">
        <w:r>
          <w:rPr>
            <w:rFonts w:ascii="arial" w:eastAsia="arial" w:hAnsi="arial" w:cs="arial"/>
            <w:b w:val="0"/>
            <w:i/>
            <w:strike w:val="0"/>
            <w:noProof w:val="0"/>
            <w:color w:val="0077CC"/>
            <w:position w:val="0"/>
            <w:sz w:val="20"/>
            <w:u w:val="single"/>
            <w:vertAlign w:val="baseline"/>
          </w:rPr>
          <w:t>supra</w:t>
        </w:r>
      </w:hyperlink>
      <w:hyperlink r:id="rId86" w:history="1">
        <w:r>
          <w:rPr>
            <w:rFonts w:ascii="arial" w:eastAsia="arial" w:hAnsi="arial" w:cs="arial"/>
            <w:b w:val="0"/>
            <w:i/>
            <w:strike w:val="0"/>
            <w:noProof w:val="0"/>
            <w:color w:val="0077CC"/>
            <w:position w:val="0"/>
            <w:sz w:val="20"/>
            <w:u w:val="single"/>
            <w:vertAlign w:val="baseline"/>
          </w:rPr>
          <w:t>, at 110</w:t>
        </w:r>
      </w:hyperlink>
      <w:r>
        <w:rPr>
          <w:rFonts w:ascii="arial" w:eastAsia="arial" w:hAnsi="arial" w:cs="arial"/>
          <w:b w:val="0"/>
          <w:i w:val="0"/>
          <w:strike w:val="0"/>
          <w:noProof w:val="0"/>
          <w:color w:val="000000"/>
          <w:position w:val="0"/>
          <w:sz w:val="20"/>
          <w:u w:val="none"/>
          <w:vertAlign w:val="baseline"/>
        </w:rPr>
        <w:t xml:space="preserve">. American colonial "traditions of governance permitted legislatures and institutions of local government to act vigorously in the pursuit of public health and safety."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71" w:name="Bookmark_para_121"/>
      <w:bookmarkEnd w:id="571"/>
      <w:r>
        <w:rPr>
          <w:rFonts w:ascii="arial" w:eastAsia="arial" w:hAnsi="arial" w:cs="arial"/>
          <w:b w:val="0"/>
          <w:i w:val="0"/>
          <w:strike w:val="0"/>
          <w:noProof w:val="0"/>
          <w:color w:val="000000"/>
          <w:position w:val="0"/>
          <w:sz w:val="20"/>
          <w:u w:val="none"/>
          <w:vertAlign w:val="baseline"/>
        </w:rPr>
        <w:t xml:space="preserve">In sum, English history itself offers relatively little direct guidance in this case. But it does offer a relevant backdrop: members of the founder generation who adopted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in the late eighteenth century probably would not have understood it as preventing them from exercising what they saw as an</w:t>
      </w:r>
      <w:r>
        <w:rPr>
          <w:rFonts w:ascii="arial" w:eastAsia="arial" w:hAnsi="arial" w:cs="arial"/>
          <w:b/>
          <w:i w:val="0"/>
          <w:strike w:val="0"/>
          <w:noProof w:val="0"/>
          <w:color w:val="000000"/>
          <w:position w:val="0"/>
          <w:sz w:val="20"/>
          <w:u w:val="none"/>
          <w:vertAlign w:val="baseline"/>
        </w:rPr>
        <w:t> [**95] </w:t>
      </w:r>
      <w:r>
        <w:rPr>
          <w:rFonts w:ascii="arial" w:eastAsia="arial" w:hAnsi="arial" w:cs="arial"/>
          <w:b w:val="0"/>
          <w:i w:val="0"/>
          <w:strike w:val="0"/>
          <w:noProof w:val="0"/>
          <w:color w:val="000000"/>
          <w:position w:val="0"/>
          <w:sz w:val="20"/>
          <w:u w:val="none"/>
          <w:vertAlign w:val="baseline"/>
        </w:rPr>
        <w:t xml:space="preserve"> inherited common law right to organize and regulate their own health and safety.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Colonial and early state laws severely restricted or prohibited specific types and means of public firearms carrying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72" w:name="Bookmark_para_122"/>
      <w:bookmarkEnd w:id="572"/>
      <w:r>
        <w:rPr>
          <w:rFonts w:ascii="arial" w:eastAsia="arial" w:hAnsi="arial" w:cs="arial"/>
          <w:b w:val="0"/>
          <w:i w:val="0"/>
          <w:strike w:val="0"/>
          <w:noProof w:val="0"/>
          <w:color w:val="000000"/>
          <w:position w:val="0"/>
          <w:sz w:val="20"/>
          <w:u w:val="none"/>
          <w:vertAlign w:val="baseline"/>
        </w:rPr>
        <w:t xml:space="preserve">Colonial and state laws from before the Civil War are a more fruitful source of evidence about the American tradition than the English history and common law. Without some context, however, these laws can be misread. When many people conjure early America, they may think of hardscrabble lives eked out on the frontier, unspoiled wildernesses, armed gangs of outlaws, and conflicts between colonists and Native Americans.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Cornell Decl. Ex. A at 11, 20 &amp; nn.43-44; Blocher (2013) at 84, 117-18. The reality is more complicated, as were the people's conceptions of firearms at the time.</w:t>
      </w:r>
    </w:p>
    <w:p>
      <w:pPr>
        <w:keepNext w:val="0"/>
        <w:spacing w:before="200" w:after="0" w:line="260" w:lineRule="atLeast"/>
        <w:ind w:left="0" w:right="0" w:firstLine="0"/>
        <w:jc w:val="both"/>
      </w:pPr>
      <w:bookmarkStart w:id="573" w:name="Bookmark_para_123"/>
      <w:bookmarkEnd w:id="573"/>
      <w:r>
        <w:rPr>
          <w:rFonts w:ascii="arial" w:eastAsia="arial" w:hAnsi="arial" w:cs="arial"/>
          <w:b/>
          <w:i w:val="0"/>
          <w:strike w:val="0"/>
          <w:noProof w:val="0"/>
          <w:color w:val="000000"/>
          <w:position w:val="0"/>
          <w:sz w:val="20"/>
          <w:u w:val="none"/>
          <w:vertAlign w:val="baseline"/>
        </w:rPr>
        <w:t> [*1130] </w:t>
      </w:r>
      <w:r>
        <w:rPr>
          <w:rFonts w:ascii="arial" w:eastAsia="arial" w:hAnsi="arial" w:cs="arial"/>
          <w:b w:val="0"/>
          <w:i w:val="0"/>
          <w:strike w:val="0"/>
          <w:noProof w:val="0"/>
          <w:color w:val="000000"/>
          <w:position w:val="0"/>
          <w:sz w:val="20"/>
          <w:u w:val="none"/>
          <w:vertAlign w:val="baseline"/>
        </w:rPr>
        <w:t xml:space="preserve"> Americans in the eighteenth and early nineteenth centuries used a variety of weapons for a variety of purposes. Hunting knives, rifles, muskets and shotguns were the tools of the trade in rural and remote or agricultural places. People used them to drive away pests, to hunt, and to protect themselves and their animals. Rivas Decl. at 5. These functional weapons were commonly also used for militia service,</w:t>
      </w:r>
      <w:r>
        <w:rPr>
          <w:rFonts w:ascii="arial" w:eastAsia="arial" w:hAnsi="arial" w:cs="arial"/>
          <w:b/>
          <w:i w:val="0"/>
          <w:strike w:val="0"/>
          <w:noProof w:val="0"/>
          <w:color w:val="000000"/>
          <w:position w:val="0"/>
          <w:sz w:val="20"/>
          <w:u w:val="none"/>
          <w:vertAlign w:val="baseline"/>
        </w:rPr>
        <w:t> [**96] </w:t>
      </w:r>
      <w:r>
        <w:rPr>
          <w:rFonts w:ascii="arial" w:eastAsia="arial" w:hAnsi="arial" w:cs="arial"/>
          <w:b w:val="0"/>
          <w:i w:val="0"/>
          <w:strike w:val="0"/>
          <w:noProof w:val="0"/>
          <w:color w:val="000000"/>
          <w:position w:val="0"/>
          <w:sz w:val="20"/>
          <w:u w:val="none"/>
          <w:vertAlign w:val="baseline"/>
        </w:rPr>
        <w:t xml:space="preserve"> and people carried them when they were called to join a "posse."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Most of these weapons were bulky and could not easily be concealed, so people carried them openly, and for the most part, they had different and nobler connotations than smaller weapons, like knives and pistols, which were better suited to the purposes of ruffians, burglars, and assassins.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4-6. As noted, carrying concealed weapons in public was "a dastardly and cowardly practice to most Americans in antebellum America." Cornell Decl. Ex. A at 14. People used different words to describe these weapons, as well. The larger weapons that served as the tools of rural life and the militia usually were called "arms." Rivas Decl. at 4. Smaller, concealable weapons were often called "deadly" weapons.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As both Rivas and Cramer explain, that general rule does not hold uniformly,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5 n.1; Cramer Decl. at 65-73, but the trend is clear and accurately describes the historical context,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Rivas Surrebuttal at 4-7.</w:t>
      </w:r>
    </w:p>
    <w:p>
      <w:pPr>
        <w:keepNext w:val="0"/>
        <w:spacing w:before="200" w:after="0" w:line="260" w:lineRule="atLeast"/>
        <w:ind w:left="0" w:right="0" w:firstLine="0"/>
        <w:jc w:val="both"/>
      </w:pPr>
      <w:bookmarkStart w:id="574" w:name="Bookmark_para_124"/>
      <w:bookmarkEnd w:id="574"/>
      <w:r>
        <w:rPr>
          <w:rFonts w:ascii="arial" w:eastAsia="arial" w:hAnsi="arial" w:cs="arial"/>
          <w:b w:val="0"/>
          <w:i w:val="0"/>
          <w:strike w:val="0"/>
          <w:noProof w:val="0"/>
          <w:color w:val="000000"/>
          <w:position w:val="0"/>
          <w:sz w:val="20"/>
          <w:u w:val="none"/>
          <w:vertAlign w:val="baseline"/>
        </w:rPr>
        <w:t>Gun violence and gun deaths of the nature we contend with in the United States today were not a widespread social problem in the American colonies or in the United States' early history.</w:t>
      </w:r>
      <w:r>
        <w:rPr>
          <w:rFonts w:ascii="arial" w:eastAsia="arial" w:hAnsi="arial" w:cs="arial"/>
          <w:b/>
          <w:i w:val="0"/>
          <w:strike w:val="0"/>
          <w:noProof w:val="0"/>
          <w:color w:val="000000"/>
          <w:position w:val="0"/>
          <w:sz w:val="20"/>
          <w:u w:val="none"/>
          <w:vertAlign w:val="baseline"/>
        </w:rPr>
        <w:t> [**97] </w:t>
      </w:r>
      <w:r>
        <w:rPr>
          <w:rFonts w:ascii="arial" w:eastAsia="arial" w:hAnsi="arial" w:cs="arial"/>
          <w:b w:val="0"/>
          <w:i w:val="0"/>
          <w:strike w:val="0"/>
          <w:noProof w:val="0"/>
          <w:color w:val="000000"/>
          <w:position w:val="0"/>
          <w:sz w:val="20"/>
          <w:u w:val="none"/>
          <w:vertAlign w:val="baseline"/>
        </w:rPr>
        <w:t xml:space="preserve"> Cornell Decl. Ex. A at 11. White European settlers in North America in the late 1700s contended with relatively low gun violence.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There are many reasons. Rivas Decl. at 11-12; Cornell Decl. Ex. A at 11-12; Randolph Roth, "Why Guns Are and Are Not the Problem: The Relationship between Guns and Homicide in American History," in </w:t>
      </w:r>
      <w:r>
        <w:rPr>
          <w:rFonts w:ascii="arial" w:eastAsia="arial" w:hAnsi="arial" w:cs="arial"/>
          <w:b w:val="0"/>
          <w:i/>
          <w:strike w:val="0"/>
          <w:noProof w:val="0"/>
          <w:color w:val="000000"/>
          <w:position w:val="0"/>
          <w:sz w:val="20"/>
          <w:u w:val="none"/>
          <w:vertAlign w:val="baseline"/>
        </w:rPr>
        <w:t>A Right to Bear Arms?</w:t>
      </w:r>
      <w:r>
        <w:rPr>
          <w:rFonts w:ascii="arial" w:eastAsia="arial" w:hAnsi="arial" w:cs="arial"/>
          <w:b w:val="0"/>
          <w:i w:val="0"/>
          <w:strike w:val="0"/>
          <w:noProof w:val="0"/>
          <w:color w:val="000000"/>
          <w:position w:val="0"/>
          <w:sz w:val="20"/>
          <w:u w:val="none"/>
          <w:vertAlign w:val="baseline"/>
        </w:rPr>
        <w:t xml:space="preserve"> (Jennifer Tucker, et al. eds. 2019). Many people lived in largely homogenous rural places, and many shared religious traditions and social expectations with their neighbors. Cornell Decl. Ex. A at 11-12. Guns were not nearly as effective in those days.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They were almost always loaded one shot at a time through the muzzle in a time-consuming process.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12-13; Rivas Decl. at 9-10. The gunpowder the guns required was corrosive and attracted moisture. Cornell Decl. Ex. A at 13. This meant guns were commonly stored unloaded.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More than 90 percent of firearms also were long guns, not handguns, and could not be easily concealed.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Randolph Roth, Transcript: Why is the United States the Most Homicidal in the Affluent World, Nat'l Inst. Justice (Dec. 1, 2013)).</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xml:space="preserve"> In all, the weapons people normally carried openly in public</w:t>
      </w:r>
      <w:r>
        <w:rPr>
          <w:rFonts w:ascii="arial" w:eastAsia="arial" w:hAnsi="arial" w:cs="arial"/>
          <w:b/>
          <w:i w:val="0"/>
          <w:strike w:val="0"/>
          <w:noProof w:val="0"/>
          <w:color w:val="000000"/>
          <w:position w:val="0"/>
          <w:sz w:val="20"/>
          <w:u w:val="none"/>
          <w:vertAlign w:val="baseline"/>
        </w:rPr>
        <w:t> [**98] </w:t>
      </w:r>
      <w:r>
        <w:rPr>
          <w:rFonts w:ascii="arial" w:eastAsia="arial" w:hAnsi="arial" w:cs="arial"/>
          <w:b w:val="0"/>
          <w:i w:val="0"/>
          <w:strike w:val="0"/>
          <w:noProof w:val="0"/>
          <w:color w:val="000000"/>
          <w:position w:val="0"/>
          <w:sz w:val="20"/>
          <w:u w:val="none"/>
          <w:vertAlign w:val="baseline"/>
        </w:rPr>
        <w:t xml:space="preserve"> were not useful for self-defense, or for committing crimes, for that matter.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Cornell Decl. Ex. A at 13-14.</w:t>
      </w:r>
    </w:p>
    <w:p>
      <w:pPr>
        <w:keepNext w:val="0"/>
        <w:spacing w:before="200" w:after="0" w:line="260" w:lineRule="atLeast"/>
        <w:ind w:left="0" w:right="0" w:firstLine="0"/>
        <w:jc w:val="both"/>
      </w:pPr>
      <w:bookmarkStart w:id="576" w:name="Bookmark_para_125"/>
      <w:bookmarkEnd w:id="576"/>
      <w:r>
        <w:rPr>
          <w:rFonts w:ascii="arial" w:eastAsia="arial" w:hAnsi="arial" w:cs="arial"/>
          <w:b w:val="0"/>
          <w:i w:val="0"/>
          <w:strike w:val="0"/>
          <w:noProof w:val="0"/>
          <w:color w:val="000000"/>
          <w:position w:val="0"/>
          <w:sz w:val="20"/>
          <w:u w:val="none"/>
          <w:vertAlign w:val="baseline"/>
        </w:rPr>
        <w:t xml:space="preserve">Smaller guns were available, but like long guns, they usually were loaded through the muzzle one shot at a time, and it took more than fifteen seconds to reload them. Rivas Decl. at 9, 10. Some also were quite large, a foot long or more, and were intended for use on a saddle.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Others were smaller and could be carried on a belt, in a coat or in a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Travelers commonly carried mid-sized pistols for self-defense in this way.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Even smaller "pocket pistols" also were available.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They fit in the pockets of the clothes people ordinarily wore, and could </w:t>
      </w:r>
      <w:r>
        <w:rPr>
          <w:rFonts w:ascii="arial" w:eastAsia="arial" w:hAnsi="arial" w:cs="arial"/>
          <w:b/>
          <w:i w:val="0"/>
          <w:strike w:val="0"/>
          <w:noProof w:val="0"/>
          <w:color w:val="000000"/>
          <w:position w:val="0"/>
          <w:sz w:val="20"/>
          <w:u w:val="none"/>
          <w:vertAlign w:val="baseline"/>
        </w:rPr>
        <w:t> [*1131] </w:t>
      </w:r>
      <w:r>
        <w:rPr>
          <w:rFonts w:ascii="arial" w:eastAsia="arial" w:hAnsi="arial" w:cs="arial"/>
          <w:b w:val="0"/>
          <w:i w:val="0"/>
          <w:strike w:val="0"/>
          <w:noProof w:val="0"/>
          <w:color w:val="000000"/>
          <w:position w:val="0"/>
          <w:sz w:val="20"/>
          <w:u w:val="none"/>
          <w:vertAlign w:val="baseline"/>
        </w:rPr>
        <w:t xml:space="preserve"> be extremely lethal at close range.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skill necessary to load and fire these weapons, combined with their size, made them an unlikely choice for unplanned crimes of passion, and as they were commonly stored unloaded, they were less likely to discharge accidentally at home as well.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Cornell Decl. Ex. A at 13-14. Rather than gun violence, the "pressing problem Americans faced at the time of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was that citizens were reluctant to purchase military style weapons."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Those kinds of weapons,</w:t>
      </w:r>
      <w:r>
        <w:rPr>
          <w:rFonts w:ascii="arial" w:eastAsia="arial" w:hAnsi="arial" w:cs="arial"/>
          <w:b/>
          <w:i w:val="0"/>
          <w:strike w:val="0"/>
          <w:noProof w:val="0"/>
          <w:color w:val="000000"/>
          <w:position w:val="0"/>
          <w:sz w:val="20"/>
          <w:u w:val="none"/>
          <w:vertAlign w:val="baseline"/>
        </w:rPr>
        <w:t> [**99] </w:t>
      </w:r>
      <w:r>
        <w:rPr>
          <w:rFonts w:ascii="arial" w:eastAsia="arial" w:hAnsi="arial" w:cs="arial"/>
          <w:b w:val="0"/>
          <w:i w:val="0"/>
          <w:strike w:val="0"/>
          <w:noProof w:val="0"/>
          <w:color w:val="000000"/>
          <w:position w:val="0"/>
          <w:sz w:val="20"/>
          <w:u w:val="none"/>
          <w:vertAlign w:val="baseline"/>
        </w:rPr>
        <w:t xml:space="preserve"> useful for militia service, were relatively expensive and less so for domestic tasks than the alternatives, such as fowling pieces and lighter hunting muskets.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77" w:name="Bookmark_para_126"/>
      <w:bookmarkEnd w:id="577"/>
      <w:r>
        <w:rPr>
          <w:rFonts w:ascii="arial" w:eastAsia="arial" w:hAnsi="arial" w:cs="arial"/>
          <w:b w:val="0"/>
          <w:i w:val="0"/>
          <w:strike w:val="0"/>
          <w:noProof w:val="0"/>
          <w:color w:val="000000"/>
          <w:position w:val="0"/>
          <w:sz w:val="20"/>
          <w:u w:val="none"/>
          <w:vertAlign w:val="baseline"/>
        </w:rPr>
        <w:t xml:space="preserve">Moreover, knives and other edged weapons, not guns, were the most dangerous weapons of the eighteenth and early nineteenth centuries. Rivas Decl. at 7; </w:t>
      </w:r>
      <w:r>
        <w:rPr>
          <w:rFonts w:ascii="arial" w:eastAsia="arial" w:hAnsi="arial" w:cs="arial"/>
          <w:b w:val="0"/>
          <w:i/>
          <w:strike w:val="0"/>
          <w:noProof w:val="0"/>
          <w:color w:val="000000"/>
          <w:position w:val="0"/>
          <w:sz w:val="20"/>
          <w:u w:val="none"/>
          <w:vertAlign w:val="baseline"/>
        </w:rPr>
        <w:t>see also, e.g.</w:t>
      </w:r>
      <w:r>
        <w:rPr>
          <w:rFonts w:ascii="arial" w:eastAsia="arial" w:hAnsi="arial" w:cs="arial"/>
          <w:b w:val="0"/>
          <w:i w:val="0"/>
          <w:strike w:val="0"/>
          <w:noProof w:val="0"/>
          <w:color w:val="000000"/>
          <w:position w:val="0"/>
          <w:sz w:val="20"/>
          <w:u w:val="none"/>
          <w:vertAlign w:val="baseline"/>
        </w:rPr>
        <w:t xml:space="preserve">, Rakove (2000),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110. One very common large knife was the "bowie" knife, a weapon with a long, curved blade that was double-edged near the tip. Rivas Decl. at 7. It was named for nineteenth century Texas revolutionary Jim Bowie, who used a knife of that type in a famous melee, and who later died at the Alamo.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 bowie knife was easily concealed in a pocket or waistband.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Other common knives included dirks, which had a straight blade; daggers, which usually had double-edged blades; navajas, with large folding blades; and "Arkansas toothpicks," sharply tapered double-edged knives the size of a bowie knife.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According to one mid-nineteenth century newspaper report, large knives were ubiquitous in southern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&amp; n.10 (citing "The Bowie-Knife In the South," </w:t>
      </w:r>
      <w:r>
        <w:rPr>
          <w:rFonts w:ascii="arial" w:eastAsia="arial" w:hAnsi="arial" w:cs="arial"/>
          <w:b w:val="0"/>
          <w:i/>
          <w:strike w:val="0"/>
          <w:noProof w:val="0"/>
          <w:color w:val="000000"/>
          <w:position w:val="0"/>
          <w:sz w:val="20"/>
          <w:u w:val="none"/>
          <w:vertAlign w:val="baseline"/>
        </w:rPr>
        <w:t>San Francisco Evening Bulletin</w:t>
      </w:r>
      <w:r>
        <w:rPr>
          <w:rFonts w:ascii="arial" w:eastAsia="arial" w:hAnsi="arial" w:cs="arial"/>
          <w:b w:val="0"/>
          <w:i w:val="0"/>
          <w:strike w:val="0"/>
          <w:noProof w:val="0"/>
          <w:color w:val="000000"/>
          <w:position w:val="0"/>
          <w:sz w:val="20"/>
          <w:u w:val="none"/>
          <w:vertAlign w:val="baseline"/>
        </w:rPr>
        <w:t xml:space="preserve"> (San Francisco, California), October 18, 1861).</w:t>
      </w:r>
      <w:r>
        <w:rPr>
          <w:rFonts w:ascii="arial" w:eastAsia="arial" w:hAnsi="arial" w:cs="arial"/>
          <w:b/>
          <w:i w:val="0"/>
          <w:strike w:val="0"/>
          <w:noProof w:val="0"/>
          <w:color w:val="000000"/>
          <w:position w:val="0"/>
          <w:sz w:val="20"/>
          <w:u w:val="none"/>
          <w:vertAlign w:val="baseline"/>
        </w:rPr>
        <w:t> [**100] </w:t>
      </w:r>
    </w:p>
    <w:p>
      <w:pPr>
        <w:keepNext w:val="0"/>
        <w:spacing w:before="200" w:after="0" w:line="260" w:lineRule="atLeast"/>
        <w:ind w:left="0" w:right="0" w:firstLine="0"/>
        <w:jc w:val="both"/>
      </w:pPr>
      <w:bookmarkStart w:id="578" w:name="Bookmark_para_127"/>
      <w:bookmarkEnd w:id="578"/>
      <w:r>
        <w:rPr>
          <w:rFonts w:ascii="arial" w:eastAsia="arial" w:hAnsi="arial" w:cs="arial"/>
          <w:b w:val="0"/>
          <w:i w:val="0"/>
          <w:strike w:val="0"/>
          <w:noProof w:val="0"/>
          <w:color w:val="000000"/>
          <w:position w:val="0"/>
          <w:sz w:val="20"/>
          <w:u w:val="none"/>
          <w:vertAlign w:val="baseline"/>
        </w:rPr>
        <w:t xml:space="preserve">American weapons restrictions passed in the seventeenth, eighteen, and early nineteenth centuries reflect these realities. Many governments banned or severely curtailed the possession and carrying of large knives and other "dangerous" or "concealed" weapons that were neither useful as the tools of daily life nor commonly employed in militia service; as noted, concealed weapons were associated with crime and violence.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8 &amp; nn.11-12; Spitzer Decl. at 6-9; see also, e.g., Def.'s Updated Req. J. Not. No. 35 (1820 Indiana enactment). In the late 1600s, for example, New Jersey made it illegal to carry several specific concealable weapons, such as pocket pistols, daggers, dirks, and other "unlawful" or "unusual" weapons. Def.'s Updated Req. J. Not. No. 5 (1686 New Jersey enactment). Governments in several states passed similar laws in the early 1800s, including Indiana, Maine, Tennessee, Massachusetts, and Mississippi. </w:t>
      </w:r>
      <w:r>
        <w:rPr>
          <w:rFonts w:ascii="arial" w:eastAsia="arial" w:hAnsi="arial" w:cs="arial"/>
          <w:b w:val="0"/>
          <w:i/>
          <w:strike w:val="0"/>
          <w:noProof w:val="0"/>
          <w:color w:val="000000"/>
          <w:position w:val="0"/>
          <w:sz w:val="20"/>
          <w:u w:val="none"/>
          <w:vertAlign w:val="baseline"/>
        </w:rPr>
        <w:t>See, e.g., id.</w:t>
      </w:r>
      <w:r>
        <w:rPr>
          <w:rFonts w:ascii="arial" w:eastAsia="arial" w:hAnsi="arial" w:cs="arial"/>
          <w:b w:val="0"/>
          <w:i w:val="0"/>
          <w:strike w:val="0"/>
          <w:noProof w:val="0"/>
          <w:color w:val="000000"/>
          <w:position w:val="0"/>
          <w:sz w:val="20"/>
          <w:u w:val="none"/>
          <w:vertAlign w:val="baseline"/>
        </w:rPr>
        <w:t xml:space="preserve"> Nos. 23, 35, 37, 38, 41, 45, 53, 54, 59. Although these restrictions varied in their details, they often mentioned specific "dangerous weapons," and many made exceptions for travelers or for those who reasonably feared an assault. </w:t>
      </w:r>
      <w:r>
        <w:rPr>
          <w:rFonts w:ascii="arial" w:eastAsia="arial" w:hAnsi="arial" w:cs="arial"/>
          <w:b w:val="0"/>
          <w:i/>
          <w:strike w:val="0"/>
          <w:noProof w:val="0"/>
          <w:color w:val="000000"/>
          <w:position w:val="0"/>
          <w:sz w:val="20"/>
          <w:u w:val="none"/>
          <w:vertAlign w:val="baseline"/>
        </w:rPr>
        <w:t>See, e.g., id.</w:t>
      </w:r>
      <w:r>
        <w:rPr>
          <w:rFonts w:ascii="arial" w:eastAsia="arial" w:hAnsi="arial" w:cs="arial"/>
          <w:b w:val="0"/>
          <w:i w:val="0"/>
          <w:strike w:val="0"/>
          <w:noProof w:val="0"/>
          <w:color w:val="000000"/>
          <w:position w:val="0"/>
          <w:sz w:val="20"/>
          <w:u w:val="none"/>
          <w:vertAlign w:val="baseline"/>
        </w:rPr>
        <w:t xml:space="preserve"> Nos.</w:t>
      </w:r>
      <w:r>
        <w:rPr>
          <w:rFonts w:ascii="arial" w:eastAsia="arial" w:hAnsi="arial" w:cs="arial"/>
          <w:b/>
          <w:i w:val="0"/>
          <w:strike w:val="0"/>
          <w:noProof w:val="0"/>
          <w:color w:val="000000"/>
          <w:position w:val="0"/>
          <w:sz w:val="20"/>
          <w:u w:val="none"/>
          <w:vertAlign w:val="baseline"/>
        </w:rPr>
        <w:t> [**101] </w:t>
      </w:r>
      <w:r>
        <w:rPr>
          <w:rFonts w:ascii="arial" w:eastAsia="arial" w:hAnsi="arial" w:cs="arial"/>
          <w:b w:val="0"/>
          <w:i w:val="0"/>
          <w:strike w:val="0"/>
          <w:noProof w:val="0"/>
          <w:color w:val="000000"/>
          <w:position w:val="0"/>
          <w:sz w:val="20"/>
          <w:u w:val="none"/>
          <w:vertAlign w:val="baseline"/>
        </w:rPr>
        <w:t xml:space="preserve"> 35, 37, 41. At least one state allowed people to carry these weapons if they posted a surety.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No. 23 (1801 Tennessee enactment).</w:t>
      </w:r>
    </w:p>
    <w:p>
      <w:pPr>
        <w:keepNext w:val="0"/>
        <w:spacing w:before="200" w:after="0" w:line="260" w:lineRule="atLeast"/>
        <w:ind w:left="0" w:right="0" w:firstLine="0"/>
        <w:jc w:val="both"/>
      </w:pPr>
      <w:bookmarkStart w:id="579" w:name="Bookmark_para_128"/>
      <w:bookmarkEnd w:id="579"/>
      <w:r>
        <w:rPr>
          <w:rFonts w:ascii="arial" w:eastAsia="arial" w:hAnsi="arial" w:cs="arial"/>
          <w:b w:val="0"/>
          <w:i w:val="0"/>
          <w:strike w:val="0"/>
          <w:noProof w:val="0"/>
          <w:color w:val="000000"/>
          <w:position w:val="0"/>
          <w:sz w:val="20"/>
          <w:u w:val="none"/>
          <w:vertAlign w:val="baseline"/>
        </w:rPr>
        <w:t xml:space="preserve">Other colonial and state laws prohibited people from carrying any weapon—"concealed" and "dangerous" or not—in a way that would cause fear or terror or that posed an unusual risk of violence. Brandishing weapons often was illegal, for example, but sometimes simply displaying a particular weapon was prohibited as well.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Spitzer Decl. at 6, 11-17; Rivas Decl. at 25-29. Other restrictions focused on specific places, such as fairs and markets. Massachusetts, North Carolina, New York, Virginia, New Jersey, and New Hampshire passed laws in this category as early as the 1600s and 1700s. Spitzer Decl. at 11-12 &amp; nn.22, 24, 25, 29; Def.'s Updated Req. J. Not. Nos. 7, 11, 14, 15. Tennessee passed a </w:t>
      </w:r>
      <w:r>
        <w:rPr>
          <w:rFonts w:ascii="arial" w:eastAsia="arial" w:hAnsi="arial" w:cs="arial"/>
          <w:b/>
          <w:i w:val="0"/>
          <w:strike w:val="0"/>
          <w:noProof w:val="0"/>
          <w:color w:val="000000"/>
          <w:position w:val="0"/>
          <w:sz w:val="20"/>
          <w:u w:val="none"/>
          <w:vertAlign w:val="baseline"/>
        </w:rPr>
        <w:t> [*1132] </w:t>
      </w:r>
      <w:r>
        <w:rPr>
          <w:rFonts w:ascii="arial" w:eastAsia="arial" w:hAnsi="arial" w:cs="arial"/>
          <w:b w:val="0"/>
          <w:i w:val="0"/>
          <w:strike w:val="0"/>
          <w:noProof w:val="0"/>
          <w:color w:val="000000"/>
          <w:position w:val="0"/>
          <w:sz w:val="20"/>
          <w:u w:val="none"/>
          <w:vertAlign w:val="baseline"/>
        </w:rPr>
        <w:t xml:space="preserve"> similar law in 1801, Maine in 1821, and Mississippi in 1837. Spitzer Decl. at 12-13 &amp; nn.31-32. Some of these laws were patterned on the Statute of Northampton and the English common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11-12; Cornell (2017),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at 27-32. A 1694 Massachusetts law, for example, prohibited riding or going "armed Offensively" before authorities. Def.'s Updated Req. J. Not.</w:t>
      </w:r>
      <w:r>
        <w:rPr>
          <w:rFonts w:ascii="arial" w:eastAsia="arial" w:hAnsi="arial" w:cs="arial"/>
          <w:b/>
          <w:i w:val="0"/>
          <w:strike w:val="0"/>
          <w:noProof w:val="0"/>
          <w:color w:val="000000"/>
          <w:position w:val="0"/>
          <w:sz w:val="20"/>
          <w:u w:val="none"/>
          <w:vertAlign w:val="baseline"/>
        </w:rPr>
        <w:t> [**102] </w:t>
      </w:r>
      <w:r>
        <w:rPr>
          <w:rFonts w:ascii="arial" w:eastAsia="arial" w:hAnsi="arial" w:cs="arial"/>
          <w:b w:val="0"/>
          <w:i w:val="0"/>
          <w:strike w:val="0"/>
          <w:noProof w:val="0"/>
          <w:color w:val="000000"/>
          <w:position w:val="0"/>
          <w:sz w:val="20"/>
          <w:u w:val="none"/>
          <w:vertAlign w:val="baseline"/>
        </w:rPr>
        <w:t xml:space="preserve"> No. 7. States and colonies also singled out people for stricter regulations based on race, religion and other characteristics, now understood as discriminatory as discussed above. Spitzer Decl. at 18, 31-32.</w:t>
      </w:r>
    </w:p>
    <w:p>
      <w:pPr>
        <w:keepNext w:val="0"/>
        <w:spacing w:before="200" w:after="0" w:line="260" w:lineRule="atLeast"/>
        <w:ind w:left="0" w:right="0" w:firstLine="0"/>
        <w:jc w:val="both"/>
      </w:pPr>
      <w:bookmarkStart w:id="580" w:name="Bookmark_para_129"/>
      <w:bookmarkEnd w:id="580"/>
      <w:r>
        <w:rPr>
          <w:rFonts w:ascii="arial" w:eastAsia="arial" w:hAnsi="arial" w:cs="arial"/>
          <w:b w:val="0"/>
          <w:i w:val="0"/>
          <w:strike w:val="0"/>
          <w:noProof w:val="0"/>
          <w:color w:val="000000"/>
          <w:position w:val="0"/>
          <w:sz w:val="20"/>
          <w:u w:val="none"/>
          <w:vertAlign w:val="baseline"/>
        </w:rPr>
        <w:t xml:space="preserve">In addition to laws that regulated the possession and carrying of weapons, colonial and state governments passed laws limiting when and how guns could be discharged, especially in cities and towns.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 26-28. In the 1700s, Philadelphia began imposing penalties on people who discharged guns without a license, as did the District of Southwark, and Pennsylvania itself.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27 &amp; nn.89-93. Cities and towns in South Carolina, New Hampshire, New York, Ohio, and other states followed that lead in the early 1800s.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27-28 &amp; nn.95-98. Gunpowder storage licensing restrictions also were common.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29-30. Guns of the time were useless without gunpowder, so in effect, these restrictions regulated the use of the guns themselves. And more broadly, many cities and towns enacted restrictions that placed tighter controls on arms carrying than in more rural places.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Blocher (2017),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at 112-21.</w:t>
      </w:r>
    </w:p>
    <w:p>
      <w:pPr>
        <w:keepNext w:val="0"/>
        <w:spacing w:before="200" w:after="0" w:line="260" w:lineRule="atLeast"/>
        <w:ind w:left="0" w:right="0" w:firstLine="0"/>
        <w:jc w:val="both"/>
      </w:pPr>
      <w:bookmarkStart w:id="581" w:name="Bookmark_para_130"/>
      <w:bookmarkEnd w:id="581"/>
      <w:r>
        <w:rPr>
          <w:rFonts w:ascii="arial" w:eastAsia="arial" w:hAnsi="arial" w:cs="arial"/>
          <w:b w:val="0"/>
          <w:i w:val="0"/>
          <w:strike w:val="0"/>
          <w:noProof w:val="0"/>
          <w:color w:val="000000"/>
          <w:position w:val="0"/>
          <w:sz w:val="20"/>
          <w:u w:val="none"/>
          <w:vertAlign w:val="baseline"/>
        </w:rPr>
        <w:t>States similarly made exceptions to their firearms laws for people traveling outside</w:t>
      </w:r>
      <w:r>
        <w:rPr>
          <w:rFonts w:ascii="arial" w:eastAsia="arial" w:hAnsi="arial" w:cs="arial"/>
          <w:b/>
          <w:i w:val="0"/>
          <w:strike w:val="0"/>
          <w:noProof w:val="0"/>
          <w:color w:val="000000"/>
          <w:position w:val="0"/>
          <w:sz w:val="20"/>
          <w:u w:val="none"/>
          <w:vertAlign w:val="baseline"/>
        </w:rPr>
        <w:t> [**103] </w:t>
      </w:r>
      <w:r>
        <w:rPr>
          <w:rFonts w:ascii="arial" w:eastAsia="arial" w:hAnsi="arial" w:cs="arial"/>
          <w:b w:val="0"/>
          <w:i w:val="0"/>
          <w:strike w:val="0"/>
          <w:noProof w:val="0"/>
          <w:color w:val="000000"/>
          <w:position w:val="0"/>
          <w:sz w:val="20"/>
          <w:u w:val="none"/>
          <w:vertAlign w:val="baseline"/>
        </w:rPr>
        <w:t xml:space="preserve"> their more populated areas. As noted, travelers commonly carried mid-sized and larger pistols outside urban areas. Rivas Decl. at 9. "Public carry laws often featured modified rules for long-distance travelers venturing beyond the safety of their local communities."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38. "When exposed to the dangers of the highway bushwhacker or the prowling coyote that went along with nineteenth-century horseback travel, laws generally allowed the carrying of weapons—including those statutorily restricted as deadly weapons."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reasoning behind these exceptions seems to have been that common presumptions about intentions in urban areas might not be accurate in remote and unpopulated areas.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40.</w:t>
      </w:r>
    </w:p>
    <w:p>
      <w:pPr>
        <w:keepNext w:val="0"/>
        <w:spacing w:before="200" w:after="0" w:line="260" w:lineRule="atLeast"/>
        <w:ind w:left="0" w:right="0" w:firstLine="0"/>
        <w:jc w:val="both"/>
      </w:pPr>
      <w:bookmarkStart w:id="582" w:name="Bookmark_para_131"/>
      <w:bookmarkEnd w:id="582"/>
      <w:r>
        <w:rPr>
          <w:rFonts w:ascii="arial" w:eastAsia="arial" w:hAnsi="arial" w:cs="arial"/>
          <w:b w:val="0"/>
          <w:i w:val="0"/>
          <w:strike w:val="0"/>
          <w:noProof w:val="0"/>
          <w:color w:val="000000"/>
          <w:position w:val="0"/>
          <w:sz w:val="20"/>
          <w:u w:val="none"/>
          <w:vertAlign w:val="baseline"/>
        </w:rPr>
        <w:t xml:space="preserve">Views on firearms and permissible regulations also differed regionally, from north to south. </w:t>
      </w:r>
      <w:bookmarkStart w:id="583" w:name="Bookmark_I6B11G1C2SF7TM0020000400"/>
      <w:bookmarkEnd w:id="583"/>
      <w:r>
        <w:rPr>
          <w:rFonts w:ascii="arial" w:eastAsia="arial" w:hAnsi="arial" w:cs="arial"/>
          <w:b w:val="0"/>
          <w:i w:val="0"/>
          <w:strike w:val="0"/>
          <w:noProof w:val="0"/>
          <w:color w:val="000000"/>
          <w:position w:val="0"/>
          <w:sz w:val="20"/>
          <w:u w:val="none"/>
          <w:vertAlign w:val="baseline"/>
        </w:rPr>
        <w:t xml:space="preserve">"In the slave South a more expansive view of open carry developed, while prohibitions on concealed carry . . . posed no constitutional problems." Cornell Decl. Ex. A at 14;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Cornell (2017),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34-36. For example, in </w:t>
      </w:r>
      <w:r>
        <w:rPr>
          <w:rFonts w:ascii="arial" w:eastAsia="arial" w:hAnsi="arial" w:cs="arial"/>
          <w:b w:val="0"/>
          <w:i/>
          <w:strike w:val="0"/>
          <w:noProof w:val="0"/>
          <w:color w:val="000000"/>
          <w:position w:val="0"/>
          <w:sz w:val="20"/>
          <w:u w:val="none"/>
          <w:vertAlign w:val="baseline"/>
        </w:rPr>
        <w:t>State v. Reid</w:t>
      </w:r>
      <w:r>
        <w:rPr>
          <w:rFonts w:ascii="arial" w:eastAsia="arial" w:hAnsi="arial" w:cs="arial"/>
          <w:b w:val="0"/>
          <w:i w:val="0"/>
          <w:strike w:val="0"/>
          <w:noProof w:val="0"/>
          <w:color w:val="000000"/>
          <w:position w:val="0"/>
          <w:sz w:val="20"/>
          <w:u w:val="none"/>
          <w:vertAlign w:val="baseline"/>
        </w:rPr>
        <w:t xml:space="preserve">, the Alabama Supreme Court concluded the state's prohibition on concealed weapons was a legitimate exercise of its police power. </w:t>
      </w:r>
      <w:bookmarkStart w:id="584" w:name="Bookmark_I6B11G1C2SF7TM0040000400"/>
      <w:bookmarkEnd w:id="584"/>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Cornell Decl. Ex. A at 16; </w:t>
      </w:r>
      <w:bookmarkStart w:id="585" w:name="Bookmark_I6B11G1C2SF7TM0010000400"/>
      <w:bookmarkEnd w:id="585"/>
      <w:hyperlink r:id="rId108" w:history="1">
        <w:r>
          <w:rPr>
            <w:rFonts w:ascii="arial" w:eastAsia="arial" w:hAnsi="arial" w:cs="arial"/>
            <w:b w:val="0"/>
            <w:i/>
            <w:strike w:val="0"/>
            <w:noProof w:val="0"/>
            <w:color w:val="0077CC"/>
            <w:position w:val="0"/>
            <w:sz w:val="20"/>
            <w:u w:val="single"/>
            <w:vertAlign w:val="baseline"/>
          </w:rPr>
          <w:t>State v. Reid</w:t>
        </w:r>
      </w:hyperlink>
      <w:hyperlink r:id="rId108" w:history="1">
        <w:r>
          <w:rPr>
            <w:rFonts w:ascii="arial" w:eastAsia="arial" w:hAnsi="arial" w:cs="arial"/>
            <w:b w:val="0"/>
            <w:i/>
            <w:strike w:val="0"/>
            <w:noProof w:val="0"/>
            <w:color w:val="0077CC"/>
            <w:position w:val="0"/>
            <w:sz w:val="20"/>
            <w:u w:val="single"/>
            <w:vertAlign w:val="baseline"/>
          </w:rPr>
          <w:t>, 1 Ala. 612, 621 (1840)</w:t>
        </w:r>
      </w:hyperlink>
      <w:r>
        <w:rPr>
          <w:rFonts w:ascii="arial" w:eastAsia="arial" w:hAnsi="arial" w:cs="arial"/>
          <w:b w:val="0"/>
          <w:i w:val="0"/>
          <w:strike w:val="0"/>
          <w:noProof w:val="0"/>
          <w:color w:val="000000"/>
          <w:position w:val="0"/>
          <w:sz w:val="20"/>
          <w:u w:val="none"/>
          <w:vertAlign w:val="baseline"/>
        </w:rPr>
        <w:t xml:space="preserve">. </w:t>
      </w:r>
      <w:bookmarkStart w:id="586" w:name="Bookmark_I6B11G1C2SF7TM0040000400_2"/>
      <w:bookmarkEnd w:id="586"/>
      <w:bookmarkStart w:id="587" w:name="Bookmark_I6B11G1C2SF7TN0010000400"/>
      <w:bookmarkEnd w:id="587"/>
      <w:r>
        <w:rPr>
          <w:rFonts w:ascii="arial" w:eastAsia="arial" w:hAnsi="arial" w:cs="arial"/>
          <w:b w:val="0"/>
          <w:i w:val="0"/>
          <w:strike w:val="0"/>
          <w:noProof w:val="0"/>
          <w:color w:val="000000"/>
          <w:position w:val="0"/>
          <w:sz w:val="20"/>
          <w:u w:val="none"/>
          <w:vertAlign w:val="baseline"/>
        </w:rPr>
        <w:t>People</w:t>
      </w:r>
      <w:r>
        <w:rPr>
          <w:rFonts w:ascii="arial" w:eastAsia="arial" w:hAnsi="arial" w:cs="arial"/>
          <w:b/>
          <w:i w:val="0"/>
          <w:strike w:val="0"/>
          <w:noProof w:val="0"/>
          <w:color w:val="000000"/>
          <w:position w:val="0"/>
          <w:sz w:val="20"/>
          <w:u w:val="none"/>
          <w:vertAlign w:val="baseline"/>
        </w:rPr>
        <w:t> [**104] </w:t>
      </w:r>
      <w:r>
        <w:rPr>
          <w:rFonts w:ascii="arial" w:eastAsia="arial" w:hAnsi="arial" w:cs="arial"/>
          <w:b w:val="0"/>
          <w:i w:val="0"/>
          <w:strike w:val="0"/>
          <w:noProof w:val="0"/>
          <w:color w:val="000000"/>
          <w:position w:val="0"/>
          <w:sz w:val="20"/>
          <w:u w:val="none"/>
          <w:vertAlign w:val="baseline"/>
        </w:rPr>
        <w:t xml:space="preserve"> with a legitimate reason to carry a firearm, such as an emergency, would not conceal their weapon.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588" w:name="Bookmark_I6B11G1C2SF7TM0030000400"/>
      <w:bookmarkEnd w:id="588"/>
      <w:hyperlink r:id="rId108" w:history="1">
        <w:r>
          <w:rPr>
            <w:rFonts w:ascii="arial" w:eastAsia="arial" w:hAnsi="arial" w:cs="arial"/>
            <w:b w:val="0"/>
            <w:i/>
            <w:strike w:val="0"/>
            <w:noProof w:val="0"/>
            <w:color w:val="0077CC"/>
            <w:position w:val="0"/>
            <w:sz w:val="20"/>
            <w:u w:val="single"/>
            <w:vertAlign w:val="baseline"/>
          </w:rPr>
          <w:t>1 Ala. at 621</w:t>
        </w:r>
      </w:hyperlink>
      <w:r>
        <w:rPr>
          <w:rFonts w:ascii="arial" w:eastAsia="arial" w:hAnsi="arial" w:cs="arial"/>
          <w:b w:val="0"/>
          <w:i w:val="0"/>
          <w:strike w:val="0"/>
          <w:noProof w:val="0"/>
          <w:color w:val="000000"/>
          <w:position w:val="0"/>
          <w:sz w:val="20"/>
          <w:u w:val="none"/>
          <w:vertAlign w:val="baseline"/>
        </w:rPr>
        <w:t xml:space="preserve">. </w:t>
      </w:r>
      <w:bookmarkStart w:id="589" w:name="Bookmark_I6B11G1C2SF7TN0010000400_2"/>
      <w:bookmarkEnd w:id="589"/>
      <w:r>
        <w:rPr>
          <w:rFonts w:ascii="arial" w:eastAsia="arial" w:hAnsi="arial" w:cs="arial"/>
          <w:b w:val="0"/>
          <w:i w:val="0"/>
          <w:strike w:val="0"/>
          <w:noProof w:val="0"/>
          <w:color w:val="000000"/>
          <w:position w:val="0"/>
          <w:sz w:val="20"/>
          <w:u w:val="none"/>
          <w:vertAlign w:val="baseline"/>
        </w:rPr>
        <w:t xml:space="preserve">Courts in Tennessee and Arkansas likewise drew a line between concealed weapons and protected arms.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Cornell (2017),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36-37 (citing </w:t>
      </w:r>
      <w:bookmarkStart w:id="590" w:name="Bookmark_I6B11G1C2SF7TM0050000400"/>
      <w:bookmarkEnd w:id="590"/>
      <w:hyperlink r:id="rId109" w:history="1">
        <w:r>
          <w:rPr>
            <w:rFonts w:ascii="arial" w:eastAsia="arial" w:hAnsi="arial" w:cs="arial"/>
            <w:b w:val="0"/>
            <w:i/>
            <w:strike w:val="0"/>
            <w:noProof w:val="0"/>
            <w:color w:val="0077CC"/>
            <w:position w:val="0"/>
            <w:sz w:val="20"/>
            <w:u w:val="single"/>
            <w:vertAlign w:val="baseline"/>
          </w:rPr>
          <w:t>Aymette v. State</w:t>
        </w:r>
      </w:hyperlink>
      <w:hyperlink r:id="rId109" w:history="1">
        <w:r>
          <w:rPr>
            <w:rFonts w:ascii="arial" w:eastAsia="arial" w:hAnsi="arial" w:cs="arial"/>
            <w:b w:val="0"/>
            <w:i/>
            <w:strike w:val="0"/>
            <w:noProof w:val="0"/>
            <w:color w:val="0077CC"/>
            <w:position w:val="0"/>
            <w:sz w:val="20"/>
            <w:u w:val="single"/>
            <w:vertAlign w:val="baseline"/>
          </w:rPr>
          <w:t>, 21 Tenn. 154 (1840)</w:t>
        </w:r>
      </w:hyperlink>
      <w:r>
        <w:rPr>
          <w:rFonts w:ascii="arial" w:eastAsia="arial" w:hAnsi="arial" w:cs="arial"/>
          <w:b w:val="0"/>
          <w:i w:val="0"/>
          <w:strike w:val="0"/>
          <w:noProof w:val="0"/>
          <w:color w:val="000000"/>
          <w:position w:val="0"/>
          <w:sz w:val="20"/>
          <w:u w:val="none"/>
          <w:vertAlign w:val="baseline"/>
        </w:rPr>
        <w:t xml:space="preserve">; </w:t>
      </w:r>
      <w:bookmarkStart w:id="591" w:name="Bookmark_I6B11G1C2SF7TN0020000400"/>
      <w:bookmarkEnd w:id="591"/>
      <w:hyperlink r:id="rId110" w:history="1">
        <w:r>
          <w:rPr>
            <w:rFonts w:ascii="arial" w:eastAsia="arial" w:hAnsi="arial" w:cs="arial"/>
            <w:b w:val="0"/>
            <w:i/>
            <w:strike w:val="0"/>
            <w:noProof w:val="0"/>
            <w:color w:val="0077CC"/>
            <w:position w:val="0"/>
            <w:sz w:val="20"/>
            <w:u w:val="single"/>
            <w:vertAlign w:val="baseline"/>
          </w:rPr>
          <w:t>State v. Buzzard</w:t>
        </w:r>
      </w:hyperlink>
      <w:hyperlink r:id="rId110" w:history="1">
        <w:r>
          <w:rPr>
            <w:rFonts w:ascii="arial" w:eastAsia="arial" w:hAnsi="arial" w:cs="arial"/>
            <w:b w:val="0"/>
            <w:i/>
            <w:strike w:val="0"/>
            <w:noProof w:val="0"/>
            <w:color w:val="0077CC"/>
            <w:position w:val="0"/>
            <w:sz w:val="20"/>
            <w:u w:val="single"/>
            <w:vertAlign w:val="baseline"/>
          </w:rPr>
          <w:t>, 4 Ark. 18 (1842)</w:t>
        </w:r>
      </w:hyperlink>
      <w:r>
        <w:rPr>
          <w:rFonts w:ascii="arial" w:eastAsia="arial" w:hAnsi="arial" w:cs="arial"/>
          <w:b w:val="0"/>
          <w:i w:val="0"/>
          <w:strike w:val="0"/>
          <w:noProof w:val="0"/>
          <w:color w:val="000000"/>
          <w:position w:val="0"/>
          <w:sz w:val="20"/>
          <w:u w:val="none"/>
          <w:vertAlign w:val="baseline"/>
        </w:rPr>
        <w:t xml:space="preserve">). "Firearms with little or no value to the preservation of the militia," such as pocket pistols, "were treated as ordinary property and subject to the full range of the state's police powers, including in the case of some especially dangerous weapons, prohibition."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36.</w:t>
      </w:r>
    </w:p>
    <w:p>
      <w:pPr>
        <w:keepNext w:val="0"/>
        <w:spacing w:before="200" w:after="0" w:line="260" w:lineRule="atLeast"/>
        <w:ind w:left="0" w:right="0" w:firstLine="0"/>
        <w:jc w:val="both"/>
      </w:pPr>
      <w:bookmarkStart w:id="592" w:name="Bookmark_para_132"/>
      <w:bookmarkEnd w:id="592"/>
      <w:r>
        <w:rPr>
          <w:rFonts w:ascii="arial" w:eastAsia="arial" w:hAnsi="arial" w:cs="arial"/>
          <w:b w:val="0"/>
          <w:i w:val="0"/>
          <w:strike w:val="0"/>
          <w:noProof w:val="0"/>
          <w:color w:val="000000"/>
          <w:position w:val="0"/>
          <w:sz w:val="20"/>
          <w:u w:val="none"/>
          <w:vertAlign w:val="baseline"/>
        </w:rPr>
        <w:t xml:space="preserve">Northern states favored a narrower rule that originally emerged in Massachusetts. Cornell Decl. Ex. A at 14-15; Cornell (2017),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39. As noted above, that state adapted the Statute of Northampton in the late 1700s and forbade riding and </w:t>
      </w:r>
      <w:r>
        <w:rPr>
          <w:rFonts w:ascii="arial" w:eastAsia="arial" w:hAnsi="arial" w:cs="arial"/>
          <w:b/>
          <w:i w:val="0"/>
          <w:strike w:val="0"/>
          <w:noProof w:val="0"/>
          <w:color w:val="000000"/>
          <w:position w:val="0"/>
          <w:sz w:val="20"/>
          <w:u w:val="none"/>
          <w:vertAlign w:val="baseline"/>
        </w:rPr>
        <w:t> [*1133] </w:t>
      </w:r>
      <w:r>
        <w:rPr>
          <w:rFonts w:ascii="arial" w:eastAsia="arial" w:hAnsi="arial" w:cs="arial"/>
          <w:b w:val="0"/>
          <w:i w:val="0"/>
          <w:strike w:val="0"/>
          <w:noProof w:val="0"/>
          <w:color w:val="000000"/>
          <w:position w:val="0"/>
          <w:sz w:val="20"/>
          <w:u w:val="none"/>
          <w:vertAlign w:val="baseline"/>
        </w:rPr>
        <w:t xml:space="preserve"> going armed "offensively, to the fear or terror of the good citizens of the Commonwealth." Cornell (2017),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39 &amp; n.184. About forty years later, Massachusetts revised the law and required a surety from those who carried specific concealed or dangerous weapons in public, but it made an exception for people who had a reasonable cause to fear an assault or property damage.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39 &amp; n.189. Many other states passed similar laws in the years and decades that followed.</w:t>
      </w:r>
      <w:r>
        <w:rPr>
          <w:rFonts w:ascii="arial" w:eastAsia="arial" w:hAnsi="arial" w:cs="arial"/>
          <w:b/>
          <w:i w:val="0"/>
          <w:strike w:val="0"/>
          <w:noProof w:val="0"/>
          <w:color w:val="000000"/>
          <w:position w:val="0"/>
          <w:sz w:val="20"/>
          <w:u w:val="none"/>
          <w:vertAlign w:val="baseline"/>
        </w:rPr>
        <w:t> [**105]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40-41 &amp; n.193. A law like this one eventually came before the Texas Supreme Court after the Civil War, which upheld the law based in part on its exception for imminent threats.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41-42.</w:t>
      </w:r>
    </w:p>
    <w:p>
      <w:pPr>
        <w:keepNext w:val="0"/>
        <w:spacing w:before="200" w:after="0" w:line="260" w:lineRule="atLeast"/>
        <w:ind w:left="0" w:right="0" w:firstLine="0"/>
        <w:jc w:val="both"/>
      </w:pPr>
      <w:bookmarkStart w:id="593" w:name="Bookmark_para_133"/>
      <w:bookmarkEnd w:id="593"/>
      <w:r>
        <w:rPr>
          <w:rFonts w:ascii="arial" w:eastAsia="arial" w:hAnsi="arial" w:cs="arial"/>
          <w:b w:val="0"/>
          <w:i w:val="0"/>
          <w:strike w:val="0"/>
          <w:noProof w:val="0"/>
          <w:color w:val="000000"/>
          <w:position w:val="0"/>
          <w:sz w:val="20"/>
          <w:u w:val="none"/>
          <w:vertAlign w:val="baseline"/>
        </w:rPr>
        <w:t xml:space="preserve">Rivas perceives a slightly different division in nineteenth century judicial decisions. Under the more common conception of public weapons carrying, states could prohibit people from carrying concealed weapons because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and its state-law counterparts protected the appropriate uses of militia arms, not "deadly weapons." Rivas Decl. at 17 &amp; n.46. Under the second theory, which in Rivas's opinion was uncommon, carrying weapons openly was "permissible" for self-defense, so statutes that prohibited people from carrying weapons only for self-defense could not stand.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 &amp; n.45. Many nineteenth century state courts concluded the federal and state constitutions allowed government regulation of how people carried their weapons in public.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Rivas Surrebuttal at 11-13.</w:t>
      </w:r>
    </w:p>
    <w:p>
      <w:pPr>
        <w:keepNext w:val="0"/>
        <w:spacing w:before="200" w:after="0" w:line="260" w:lineRule="atLeast"/>
        <w:ind w:left="0" w:right="0" w:firstLine="0"/>
        <w:jc w:val="both"/>
      </w:pPr>
      <w:bookmarkStart w:id="594" w:name="Bookmark_para_134"/>
      <w:bookmarkEnd w:id="594"/>
      <w:bookmarkStart w:id="595" w:name="Bookmark_I6B11G1C2SF7TN0050000400"/>
      <w:bookmarkEnd w:id="595"/>
      <w:bookmarkStart w:id="596" w:name="Bookmark_I6B11G1D2D6NP60020000400"/>
      <w:bookmarkEnd w:id="596"/>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the Supreme Court surveyed several nineteenth century laws and related court decisions and reached similar conclusions. </w:t>
      </w:r>
      <w:bookmarkStart w:id="597" w:name="Bookmark_I6B11G1D2D6NP60040000400"/>
      <w:bookmarkEnd w:id="597"/>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598" w:name="Bookmark_I6B11G1C2SF7TN0040000400"/>
      <w:bookmarkEnd w:id="598"/>
      <w:hyperlink r:id="rId11" w:history="1">
        <w:r>
          <w:rPr>
            <w:rFonts w:ascii="arial" w:eastAsia="arial" w:hAnsi="arial" w:cs="arial"/>
            <w:b w:val="0"/>
            <w:i/>
            <w:strike w:val="0"/>
            <w:noProof w:val="0"/>
            <w:color w:val="0077CC"/>
            <w:position w:val="0"/>
            <w:sz w:val="20"/>
            <w:u w:val="single"/>
            <w:vertAlign w:val="baseline"/>
          </w:rPr>
          <w:t>142 S. Ct. at 2146-47</w:t>
        </w:r>
      </w:hyperlink>
      <w:r>
        <w:rPr>
          <w:rFonts w:ascii="arial" w:eastAsia="arial" w:hAnsi="arial" w:cs="arial"/>
          <w:b w:val="0"/>
          <w:i w:val="0"/>
          <w:strike w:val="0"/>
          <w:noProof w:val="0"/>
          <w:color w:val="000000"/>
          <w:position w:val="0"/>
          <w:sz w:val="20"/>
          <w:u w:val="none"/>
          <w:vertAlign w:val="baseline"/>
        </w:rPr>
        <w:t>. It found that on the record before it in that case, the "history reveal[ed] a consensus that States could not ban public carry altogether."</w:t>
      </w:r>
      <w:r>
        <w:rPr>
          <w:rFonts w:ascii="arial" w:eastAsia="arial" w:hAnsi="arial" w:cs="arial"/>
          <w:b/>
          <w:i w:val="0"/>
          <w:strike w:val="0"/>
          <w:noProof w:val="0"/>
          <w:color w:val="000000"/>
          <w:position w:val="0"/>
          <w:sz w:val="20"/>
          <w:u w:val="none"/>
          <w:vertAlign w:val="baseline"/>
        </w:rPr>
        <w:t> [**106] </w:t>
      </w:r>
      <w:r>
        <w:rPr>
          <w:rFonts w:ascii="arial" w:eastAsia="arial" w:hAnsi="arial" w:cs="arial"/>
          <w:b w:val="0"/>
          <w:i w:val="0"/>
          <w:strike w:val="0"/>
          <w:noProof w:val="0"/>
          <w:color w:val="000000"/>
          <w:position w:val="0"/>
          <w:sz w:val="20"/>
          <w:u w:val="none"/>
          <w:vertAlign w:val="baseline"/>
        </w:rPr>
        <w:t xml:space="preserve"> </w:t>
      </w:r>
      <w:bookmarkStart w:id="599" w:name="Bookmark_I6B11G1D2D6NP60010000400"/>
      <w:bookmarkEnd w:id="599"/>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2146</w:t>
        </w:r>
      </w:hyperlink>
      <w:r>
        <w:rPr>
          <w:rFonts w:ascii="arial" w:eastAsia="arial" w:hAnsi="arial" w:cs="arial"/>
          <w:b w:val="0"/>
          <w:i w:val="0"/>
          <w:strike w:val="0"/>
          <w:noProof w:val="0"/>
          <w:color w:val="000000"/>
          <w:position w:val="0"/>
          <w:sz w:val="20"/>
          <w:u w:val="none"/>
          <w:vertAlign w:val="baseline"/>
        </w:rPr>
        <w:t xml:space="preserve">. </w:t>
      </w:r>
      <w:bookmarkStart w:id="600" w:name="Bookmark_I6B11G1D2D6NP60040000400_2"/>
      <w:bookmarkEnd w:id="600"/>
      <w:r>
        <w:rPr>
          <w:rFonts w:ascii="arial" w:eastAsia="arial" w:hAnsi="arial" w:cs="arial"/>
          <w:b w:val="0"/>
          <w:i w:val="0"/>
          <w:strike w:val="0"/>
          <w:noProof w:val="0"/>
          <w:color w:val="000000"/>
          <w:position w:val="0"/>
          <w:sz w:val="20"/>
          <w:u w:val="none"/>
          <w:vertAlign w:val="baseline"/>
        </w:rPr>
        <w:t xml:space="preserve">Instead, the Court held, "the manner of public carry was subject to reasonable regulation." </w:t>
      </w:r>
      <w:bookmarkStart w:id="601" w:name="Bookmark_I6B11G1D2D6NP60030000400"/>
      <w:bookmarkEnd w:id="601"/>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2150</w:t>
        </w:r>
      </w:hyperlink>
      <w:r>
        <w:rPr>
          <w:rFonts w:ascii="arial" w:eastAsia="arial" w:hAnsi="arial" w:cs="arial"/>
          <w:b w:val="0"/>
          <w:i w:val="0"/>
          <w:strike w:val="0"/>
          <w:noProof w:val="0"/>
          <w:color w:val="000000"/>
          <w:position w:val="0"/>
          <w:sz w:val="20"/>
          <w:u w:val="none"/>
          <w:vertAlign w:val="baseline"/>
        </w:rPr>
        <w:t xml:space="preserve">. States could stop people from carrying weapons in ways that were frightening and dangerous as long as an effective option remained available for self-defense.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That option was to carry weapons openly in the nineteenth century.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As explained above, the types of weapons that people could carry openly did not normally suggest any evil intent or danger.</w:t>
      </w:r>
    </w:p>
    <w:p>
      <w:pPr>
        <w:keepNext w:val="0"/>
        <w:spacing w:before="200" w:after="0" w:line="260" w:lineRule="atLeast"/>
        <w:ind w:left="0" w:right="0" w:firstLine="0"/>
        <w:jc w:val="both"/>
      </w:pPr>
      <w:bookmarkStart w:id="602" w:name="Bookmark_para_135"/>
      <w:bookmarkEnd w:id="602"/>
      <w:r>
        <w:rPr>
          <w:rFonts w:ascii="arial" w:eastAsia="arial" w:hAnsi="arial" w:cs="arial"/>
          <w:b w:val="0"/>
          <w:i w:val="0"/>
          <w:strike w:val="0"/>
          <w:noProof w:val="0"/>
          <w:color w:val="000000"/>
          <w:position w:val="0"/>
          <w:sz w:val="20"/>
          <w:u w:val="none"/>
          <w:vertAlign w:val="baseline"/>
        </w:rPr>
        <w:t xml:space="preserve">This is not to say, however, that nineteenth century Americans universally approved of those who carried their weapons in public. </w:t>
      </w:r>
      <w:bookmarkStart w:id="603" w:name="Bookmark_I6B11G1D2SF7TS0010000400"/>
      <w:bookmarkEnd w:id="603"/>
      <w:r>
        <w:rPr>
          <w:rFonts w:ascii="arial" w:eastAsia="arial" w:hAnsi="arial" w:cs="arial"/>
          <w:b w:val="0"/>
          <w:i w:val="0"/>
          <w:strike w:val="0"/>
          <w:noProof w:val="0"/>
          <w:color w:val="000000"/>
          <w:position w:val="0"/>
          <w:sz w:val="20"/>
          <w:u w:val="none"/>
          <w:vertAlign w:val="baseline"/>
        </w:rPr>
        <w:t xml:space="preserve">State laws passed in the first half of the nineteenth century sometimes expressly condemned the habitual practice of going armed in public.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Rivas Decl. at 24 &amp; nn. 66-67 (citing an 1838 Virginia enactment and an 1813 Louisiana enactment). As one state appellate court wrote in 1843, although it was not a crime to carry a gun openly in public, a gun was nonetheless "an 'unusual weapon,' wherewith to be armed and clad." </w:t>
      </w:r>
      <w:bookmarkStart w:id="604" w:name="Bookmark_I6B11G1D2D6NP60050000400"/>
      <w:bookmarkEnd w:id="604"/>
      <w:hyperlink r:id="rId111" w:history="1">
        <w:r>
          <w:rPr>
            <w:rFonts w:ascii="arial" w:eastAsia="arial" w:hAnsi="arial" w:cs="arial"/>
            <w:b w:val="0"/>
            <w:i/>
            <w:strike w:val="0"/>
            <w:noProof w:val="0"/>
            <w:color w:val="0077CC"/>
            <w:position w:val="0"/>
            <w:sz w:val="20"/>
            <w:u w:val="single"/>
            <w:vertAlign w:val="baseline"/>
          </w:rPr>
          <w:t>State v. Huntly</w:t>
        </w:r>
      </w:hyperlink>
      <w:hyperlink r:id="rId111" w:history="1">
        <w:r>
          <w:rPr>
            <w:rFonts w:ascii="arial" w:eastAsia="arial" w:hAnsi="arial" w:cs="arial"/>
            <w:b w:val="0"/>
            <w:i/>
            <w:strike w:val="0"/>
            <w:noProof w:val="0"/>
            <w:color w:val="0077CC"/>
            <w:position w:val="0"/>
            <w:sz w:val="20"/>
            <w:u w:val="single"/>
            <w:vertAlign w:val="baseline"/>
          </w:rPr>
          <w:t>, 25 N.C. 418 (1843)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cited in</w:t>
      </w:r>
      <w:r>
        <w:rPr>
          <w:rFonts w:ascii="arial" w:eastAsia="arial" w:hAnsi="arial" w:cs="arial"/>
          <w:b w:val="0"/>
          <w:i w:val="0"/>
          <w:strike w:val="0"/>
          <w:noProof w:val="0"/>
          <w:color w:val="000000"/>
          <w:position w:val="0"/>
          <w:sz w:val="20"/>
          <w:u w:val="none"/>
          <w:vertAlign w:val="baseline"/>
        </w:rPr>
        <w:t xml:space="preserve"> Rivas Decl. at 24. "No man amongst us carries it about with him, as one of his every day accoutrements—as part of his dress—and never we trust will the day come when any deadly</w:t>
      </w:r>
      <w:r>
        <w:rPr>
          <w:rFonts w:ascii="arial" w:eastAsia="arial" w:hAnsi="arial" w:cs="arial"/>
          <w:b/>
          <w:i w:val="0"/>
          <w:strike w:val="0"/>
          <w:noProof w:val="0"/>
          <w:color w:val="000000"/>
          <w:position w:val="0"/>
          <w:sz w:val="20"/>
          <w:u w:val="none"/>
          <w:vertAlign w:val="baseline"/>
        </w:rPr>
        <w:t> [**107] </w:t>
      </w:r>
      <w:r>
        <w:rPr>
          <w:rFonts w:ascii="arial" w:eastAsia="arial" w:hAnsi="arial" w:cs="arial"/>
          <w:b w:val="0"/>
          <w:i w:val="0"/>
          <w:strike w:val="0"/>
          <w:noProof w:val="0"/>
          <w:color w:val="000000"/>
          <w:position w:val="0"/>
          <w:sz w:val="20"/>
          <w:u w:val="none"/>
          <w:vertAlign w:val="baseline"/>
        </w:rPr>
        <w:t xml:space="preserve"> weapon will be worn or wielded in our peace loving and law6 abiding State, as an appendage of manly equipment."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605" w:name="Bookmark_para_136"/>
      <w:bookmarkEnd w:id="605"/>
      <w:r>
        <w:rPr>
          <w:rFonts w:ascii="arial" w:eastAsia="arial" w:hAnsi="arial" w:cs="arial"/>
          <w:b w:val="0"/>
          <w:i w:val="0"/>
          <w:strike w:val="0"/>
          <w:noProof w:val="0"/>
          <w:color w:val="000000"/>
          <w:position w:val="0"/>
          <w:sz w:val="20"/>
          <w:u w:val="none"/>
          <w:vertAlign w:val="baseline"/>
        </w:rPr>
        <w:t xml:space="preserve">Considering these historical strands together, the court discerns three broad trends in the laws and regulations California has cited. First, restrictions on functional weapons, especially those commonly used for legitimate purposes, such as muskets and other long guns, were narrower than restrictions on weapons that could be concealed, such as large knives and small pistols. Concealed weapons were perceived as inherently dangerous, illegitimate, or both. People accepted harsh restrictions and outright prohibitions based on this distinction, as did the courts, because people </w:t>
      </w:r>
      <w:r>
        <w:rPr>
          <w:rFonts w:ascii="arial" w:eastAsia="arial" w:hAnsi="arial" w:cs="arial"/>
          <w:b/>
          <w:i w:val="0"/>
          <w:strike w:val="0"/>
          <w:noProof w:val="0"/>
          <w:color w:val="000000"/>
          <w:position w:val="0"/>
          <w:sz w:val="20"/>
          <w:u w:val="none"/>
          <w:vertAlign w:val="baseline"/>
        </w:rPr>
        <w:t> [*1134] </w:t>
      </w:r>
      <w:r>
        <w:rPr>
          <w:rFonts w:ascii="arial" w:eastAsia="arial" w:hAnsi="arial" w:cs="arial"/>
          <w:b w:val="0"/>
          <w:i w:val="0"/>
          <w:strike w:val="0"/>
          <w:noProof w:val="0"/>
          <w:color w:val="000000"/>
          <w:position w:val="0"/>
          <w:sz w:val="20"/>
          <w:u w:val="none"/>
          <w:vertAlign w:val="baseline"/>
        </w:rPr>
        <w:t xml:space="preserve"> retained the right to carry weapons for self-defense and militia service. Second, when governments did place harsh restrictions on functional weapons with legitimate uses, those restrictions usually called for some additional element of unusual danger or evil purpose, such as surety laws and laws that prohibited guns in larger groups. These restrictions also included racial, religious, and class-based prohibitions, now impermissible, which prevented many people from carrying any weapons at all. Fundamentally,</w:t>
      </w:r>
      <w:r>
        <w:rPr>
          <w:rFonts w:ascii="arial" w:eastAsia="arial" w:hAnsi="arial" w:cs="arial"/>
          <w:b/>
          <w:i w:val="0"/>
          <w:strike w:val="0"/>
          <w:noProof w:val="0"/>
          <w:color w:val="000000"/>
          <w:position w:val="0"/>
          <w:sz w:val="20"/>
          <w:u w:val="none"/>
          <w:vertAlign w:val="baseline"/>
        </w:rPr>
        <w:t> [**108] </w:t>
      </w:r>
      <w:r>
        <w:rPr>
          <w:rFonts w:ascii="arial" w:eastAsia="arial" w:hAnsi="arial" w:cs="arial"/>
          <w:b w:val="0"/>
          <w:i w:val="0"/>
          <w:strike w:val="0"/>
          <w:noProof w:val="0"/>
          <w:color w:val="000000"/>
          <w:position w:val="0"/>
          <w:sz w:val="20"/>
          <w:u w:val="none"/>
          <w:vertAlign w:val="baseline"/>
        </w:rPr>
        <w:t xml:space="preserve"> the types of regulations put into effect show people commonly accepted harsh restrictions on public arms-carrying based on popular categorical distinctions about what was frightening or dangerous. Third, different and more specific rules were adopted in more populous places where guns and the ammunition required to use them could cause more serious problems than in sparse rural areas. States also made exceptions for travelers, recognizing their different needs for personal security in remoter and more rural places.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3. Simliar laws and regulations were passed after the Civil War and the </w:t>
      </w:r>
      <w:hyperlink r:id="rId59" w:history="1">
        <w:r>
          <w:rPr>
            <w:rFonts w:ascii="arial" w:eastAsia="arial" w:hAnsi="arial" w:cs="arial"/>
            <w:b/>
            <w:i/>
            <w:strike w:val="0"/>
            <w:noProof w:val="0"/>
            <w:color w:val="0077CC"/>
            <w:position w:val="0"/>
            <w:sz w:val="20"/>
            <w:u w:val="single"/>
            <w:vertAlign w:val="baseline"/>
          </w:rPr>
          <w:t>Fourteenth Amendment</w:t>
        </w:r>
      </w:hyperlink>
      <w:r>
        <w:rPr>
          <w:rFonts w:ascii="arial" w:eastAsia="arial" w:hAnsi="arial" w:cs="arial"/>
          <w:b/>
          <w:i w:val="0"/>
          <w:strike w:val="0"/>
          <w:noProof w:val="0"/>
          <w:color w:val="000000"/>
          <w:position w:val="0"/>
          <w:sz w:val="20"/>
          <w:u w:val="none"/>
          <w:vertAlign w:val="baseline"/>
        </w:rPr>
        <w:t>, but in a new context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06" w:name="Bookmark_para_137"/>
      <w:bookmarkEnd w:id="606"/>
      <w:bookmarkStart w:id="607" w:name="Bookmark_I6B11G1D2SF7TS0030000400"/>
      <w:bookmarkEnd w:id="607"/>
      <w:bookmarkStart w:id="608" w:name="Bookmark_I6B11G1D28T44H0020000400"/>
      <w:bookmarkEnd w:id="608"/>
      <w:r>
        <w:rPr>
          <w:rFonts w:ascii="arial" w:eastAsia="arial" w:hAnsi="arial" w:cs="arial"/>
          <w:b w:val="0"/>
          <w:i w:val="0"/>
          <w:strike w:val="0"/>
          <w:noProof w:val="0"/>
          <w:color w:val="000000"/>
          <w:position w:val="0"/>
          <w:sz w:val="20"/>
          <w:u w:val="none"/>
          <w:vertAlign w:val="baseline"/>
        </w:rPr>
        <w:t xml:space="preserve">The Supreme Court has looked to laws from the years surrounding the </w:t>
      </w:r>
      <w:hyperlink r:id="rId59" w:history="1">
        <w:r>
          <w:rPr>
            <w:rFonts w:ascii="arial" w:eastAsia="arial" w:hAnsi="arial" w:cs="arial"/>
            <w:b w:val="0"/>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 xml:space="preserve"> adoption to help round out the relevant history and tradition. </w:t>
      </w:r>
      <w:r>
        <w:rPr>
          <w:rFonts w:ascii="arial" w:eastAsia="arial" w:hAnsi="arial" w:cs="arial"/>
          <w:b w:val="0"/>
          <w:i/>
          <w:strike w:val="0"/>
          <w:noProof w:val="0"/>
          <w:color w:val="000000"/>
          <w:position w:val="0"/>
          <w:sz w:val="20"/>
          <w:u w:val="none"/>
          <w:vertAlign w:val="baseline"/>
        </w:rPr>
        <w:t xml:space="preserve">See </w:t>
      </w:r>
      <w:bookmarkStart w:id="609" w:name="Bookmark_I6B11G1D2SF7TS0020000400"/>
      <w:bookmarkEnd w:id="609"/>
      <w:hyperlink r:id="rId11" w:history="1">
        <w:r>
          <w:rPr>
            <w:rFonts w:ascii="arial" w:eastAsia="arial" w:hAnsi="arial" w:cs="arial"/>
            <w:b w:val="0"/>
            <w:i/>
            <w:strike w:val="0"/>
            <w:noProof w:val="0"/>
            <w:color w:val="0077CC"/>
            <w:position w:val="0"/>
            <w:sz w:val="20"/>
            <w:u w:val="single"/>
            <w:vertAlign w:val="baseline"/>
          </w:rPr>
          <w:t>Bruen</w:t>
        </w:r>
      </w:hyperlink>
      <w:hyperlink r:id="rId11" w:history="1">
        <w:r>
          <w:rPr>
            <w:rFonts w:ascii="arial" w:eastAsia="arial" w:hAnsi="arial" w:cs="arial"/>
            <w:b w:val="0"/>
            <w:i/>
            <w:strike w:val="0"/>
            <w:noProof w:val="0"/>
            <w:color w:val="0077CC"/>
            <w:position w:val="0"/>
            <w:sz w:val="20"/>
            <w:u w:val="single"/>
            <w:vertAlign w:val="baseline"/>
          </w:rPr>
          <w:t>, 142 S. Ct. at 2137-38, 2150-53</w:t>
        </w:r>
      </w:hyperlink>
      <w:r>
        <w:rPr>
          <w:rFonts w:ascii="arial" w:eastAsia="arial" w:hAnsi="arial" w:cs="arial"/>
          <w:b w:val="0"/>
          <w:i w:val="0"/>
          <w:strike w:val="0"/>
          <w:noProof w:val="0"/>
          <w:color w:val="000000"/>
          <w:position w:val="0"/>
          <w:sz w:val="20"/>
          <w:u w:val="none"/>
          <w:vertAlign w:val="baseline"/>
        </w:rPr>
        <w:t xml:space="preserve">; </w:t>
      </w:r>
      <w:bookmarkStart w:id="610" w:name="Bookmark_I6B11G1D2SF7TS0040000400"/>
      <w:bookmarkEnd w:id="610"/>
      <w:hyperlink r:id="rId22" w:history="1">
        <w:r>
          <w:rPr>
            <w:rFonts w:ascii="arial" w:eastAsia="arial" w:hAnsi="arial" w:cs="arial"/>
            <w:b w:val="0"/>
            <w:i/>
            <w:strike w:val="0"/>
            <w:noProof w:val="0"/>
            <w:color w:val="0077CC"/>
            <w:position w:val="0"/>
            <w:sz w:val="20"/>
            <w:u w:val="single"/>
            <w:vertAlign w:val="baseline"/>
          </w:rPr>
          <w:t>Heller</w:t>
        </w:r>
      </w:hyperlink>
      <w:hyperlink r:id="rId22" w:history="1">
        <w:r>
          <w:rPr>
            <w:rFonts w:ascii="arial" w:eastAsia="arial" w:hAnsi="arial" w:cs="arial"/>
            <w:b w:val="0"/>
            <w:i/>
            <w:strike w:val="0"/>
            <w:noProof w:val="0"/>
            <w:color w:val="0077CC"/>
            <w:position w:val="0"/>
            <w:sz w:val="20"/>
            <w:u w:val="single"/>
            <w:vertAlign w:val="baseline"/>
          </w:rPr>
          <w:t>, 554 U.S. at 614-19</w:t>
        </w:r>
      </w:hyperlink>
      <w:r>
        <w:rPr>
          <w:rFonts w:ascii="arial" w:eastAsia="arial" w:hAnsi="arial" w:cs="arial"/>
          <w:b w:val="0"/>
          <w:i w:val="0"/>
          <w:strike w:val="0"/>
          <w:noProof w:val="0"/>
          <w:color w:val="000000"/>
          <w:position w:val="0"/>
          <w:sz w:val="20"/>
          <w:u w:val="none"/>
          <w:vertAlign w:val="baseline"/>
        </w:rPr>
        <w:t xml:space="preserve">. </w:t>
      </w:r>
      <w:bookmarkStart w:id="611" w:name="Bookmark_II08CDXTHM7G003RRS7S007CY"/>
      <w:bookmarkEnd w:id="611"/>
      <w:bookmarkStart w:id="612" w:name="Bookmark_I6B11G1D28T44H0040000400"/>
      <w:bookmarkEnd w:id="612"/>
      <w:r>
        <w:rPr>
          <w:rFonts w:ascii="arial" w:eastAsia="arial" w:hAnsi="arial" w:cs="arial"/>
          <w:b w:val="0"/>
          <w:i w:val="0"/>
          <w:strike w:val="0"/>
          <w:noProof w:val="0"/>
          <w:color w:val="000000"/>
          <w:position w:val="0"/>
          <w:sz w:val="20"/>
          <w:u w:val="none"/>
          <w:vertAlign w:val="baseline"/>
        </w:rPr>
        <w:t xml:space="preserve">Lower federal courts have as well. </w:t>
      </w:r>
      <w:r>
        <w:rPr>
          <w:rFonts w:ascii="arial" w:eastAsia="arial" w:hAnsi="arial" w:cs="arial"/>
          <w:b w:val="0"/>
          <w:i/>
          <w:strike w:val="0"/>
          <w:noProof w:val="0"/>
          <w:color w:val="000000"/>
          <w:position w:val="0"/>
          <w:sz w:val="20"/>
          <w:u w:val="none"/>
          <w:vertAlign w:val="baseline"/>
        </w:rPr>
        <w:t xml:space="preserve">See, e.g., </w:t>
      </w:r>
      <w:bookmarkStart w:id="613" w:name="Bookmark_I6B11G1D28T44H0010000400"/>
      <w:bookmarkEnd w:id="613"/>
      <w:hyperlink r:id="rId98" w:history="1">
        <w:r>
          <w:rPr>
            <w:rFonts w:ascii="arial" w:eastAsia="arial" w:hAnsi="arial" w:cs="arial"/>
            <w:b w:val="0"/>
            <w:i/>
            <w:strike w:val="0"/>
            <w:noProof w:val="0"/>
            <w:color w:val="0077CC"/>
            <w:position w:val="0"/>
            <w:sz w:val="20"/>
            <w:u w:val="single"/>
            <w:vertAlign w:val="baseline"/>
          </w:rPr>
          <w:t>Antonyuk</w:t>
        </w:r>
      </w:hyperlink>
      <w:hyperlink r:id="rId98" w:history="1">
        <w:r>
          <w:rPr>
            <w:rFonts w:ascii="arial" w:eastAsia="arial" w:hAnsi="arial" w:cs="arial"/>
            <w:b w:val="0"/>
            <w:i/>
            <w:strike w:val="0"/>
            <w:noProof w:val="0"/>
            <w:color w:val="0077CC"/>
            <w:position w:val="0"/>
            <w:sz w:val="20"/>
            <w:u w:val="single"/>
            <w:vertAlign w:val="baseline"/>
          </w:rPr>
          <w:t>, 2023 U.S. App. LEXIS 32492, 2023 WL 8518003, at *16</w:t>
        </w:r>
      </w:hyperlink>
      <w:r>
        <w:rPr>
          <w:rFonts w:ascii="arial" w:eastAsia="arial" w:hAnsi="arial" w:cs="arial"/>
          <w:b w:val="0"/>
          <w:i w:val="0"/>
          <w:strike w:val="0"/>
          <w:noProof w:val="0"/>
          <w:color w:val="000000"/>
          <w:position w:val="0"/>
          <w:sz w:val="20"/>
          <w:u w:val="none"/>
          <w:vertAlign w:val="baseline"/>
        </w:rPr>
        <w:t xml:space="preserve"> (collecting authority from the Third, Seventh and Eleventh Circuits). </w:t>
      </w:r>
      <w:bookmarkStart w:id="614" w:name="Bookmark_I6B11G1D28T44H0040000400_2"/>
      <w:bookmarkEnd w:id="614"/>
      <w:r>
        <w:rPr>
          <w:rFonts w:ascii="arial" w:eastAsia="arial" w:hAnsi="arial" w:cs="arial"/>
          <w:b w:val="0"/>
          <w:i w:val="0"/>
          <w:strike w:val="0"/>
          <w:noProof w:val="0"/>
          <w:color w:val="000000"/>
          <w:position w:val="0"/>
          <w:sz w:val="20"/>
          <w:u w:val="none"/>
          <w:vertAlign w:val="baseline"/>
        </w:rPr>
        <w:t xml:space="preserve">The court therefore disagrees with Baird and Gallardo that evidence from these years is essentially irrelevant. Evidence from later years "cannot provide much insight into the meaning of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when it contradicts earlier evidence," </w:t>
      </w:r>
      <w:bookmarkStart w:id="615" w:name="Bookmark_I6B11G1D28T44H0030000400"/>
      <w:bookmarkEnd w:id="615"/>
      <w:hyperlink r:id="rId11" w:history="1">
        <w:r>
          <w:rPr>
            <w:rFonts w:ascii="arial" w:eastAsia="arial" w:hAnsi="arial" w:cs="arial"/>
            <w:b w:val="0"/>
            <w:i/>
            <w:strike w:val="0"/>
            <w:noProof w:val="0"/>
            <w:color w:val="0077CC"/>
            <w:position w:val="0"/>
            <w:sz w:val="20"/>
            <w:u w:val="single"/>
            <w:vertAlign w:val="baseline"/>
          </w:rPr>
          <w:t>Bruen</w:t>
        </w:r>
      </w:hyperlink>
      <w:hyperlink r:id="rId11" w:history="1">
        <w:r>
          <w:rPr>
            <w:rFonts w:ascii="arial" w:eastAsia="arial" w:hAnsi="arial" w:cs="arial"/>
            <w:b w:val="0"/>
            <w:i/>
            <w:strike w:val="0"/>
            <w:noProof w:val="0"/>
            <w:color w:val="0077CC"/>
            <w:position w:val="0"/>
            <w:sz w:val="20"/>
            <w:u w:val="single"/>
            <w:vertAlign w:val="baseline"/>
          </w:rPr>
          <w:t>, 142 S. Ct. at 2154</w:t>
        </w:r>
      </w:hyperlink>
      <w:r>
        <w:rPr>
          <w:rFonts w:ascii="arial" w:eastAsia="arial" w:hAnsi="arial" w:cs="arial"/>
          <w:b w:val="0"/>
          <w:i w:val="0"/>
          <w:strike w:val="0"/>
          <w:noProof w:val="0"/>
          <w:color w:val="000000"/>
          <w:position w:val="0"/>
          <w:sz w:val="20"/>
          <w:u w:val="none"/>
          <w:vertAlign w:val="baseline"/>
        </w:rPr>
        <w:t xml:space="preserve"> (citing </w:t>
      </w:r>
      <w:bookmarkStart w:id="616" w:name="Bookmark_I6B11G1D28T44H0050000400"/>
      <w:bookmarkEnd w:id="616"/>
      <w:hyperlink r:id="rId22" w:history="1">
        <w:r>
          <w:rPr>
            <w:rFonts w:ascii="arial" w:eastAsia="arial" w:hAnsi="arial" w:cs="arial"/>
            <w:b w:val="0"/>
            <w:i/>
            <w:strike w:val="0"/>
            <w:noProof w:val="0"/>
            <w:color w:val="0077CC"/>
            <w:position w:val="0"/>
            <w:sz w:val="20"/>
            <w:u w:val="single"/>
            <w:vertAlign w:val="baseline"/>
          </w:rPr>
          <w:t>Heller</w:t>
        </w:r>
      </w:hyperlink>
      <w:hyperlink r:id="rId22" w:history="1">
        <w:r>
          <w:rPr>
            <w:rFonts w:ascii="arial" w:eastAsia="arial" w:hAnsi="arial" w:cs="arial"/>
            <w:b w:val="0"/>
            <w:i/>
            <w:strike w:val="0"/>
            <w:noProof w:val="0"/>
            <w:color w:val="0077CC"/>
            <w:position w:val="0"/>
            <w:sz w:val="20"/>
            <w:u w:val="single"/>
            <w:vertAlign w:val="baseline"/>
          </w:rPr>
          <w:t>, 554 U.S. at 614</w:t>
        </w:r>
      </w:hyperlink>
      <w:r>
        <w:rPr>
          <w:rFonts w:ascii="arial" w:eastAsia="arial" w:hAnsi="arial" w:cs="arial"/>
          <w:b w:val="0"/>
          <w:i w:val="0"/>
          <w:strike w:val="0"/>
          <w:noProof w:val="0"/>
          <w:color w:val="000000"/>
          <w:position w:val="0"/>
          <w:sz w:val="20"/>
          <w:u w:val="none"/>
          <w:vertAlign w:val="baseline"/>
        </w:rPr>
        <w:t>), but this court finds that is not the situation in this case. Evidence from after the</w:t>
      </w:r>
      <w:r>
        <w:rPr>
          <w:rFonts w:ascii="arial" w:eastAsia="arial" w:hAnsi="arial" w:cs="arial"/>
          <w:b/>
          <w:i w:val="0"/>
          <w:strike w:val="0"/>
          <w:noProof w:val="0"/>
          <w:color w:val="000000"/>
          <w:position w:val="0"/>
          <w:sz w:val="20"/>
          <w:u w:val="none"/>
          <w:vertAlign w:val="baseline"/>
        </w:rPr>
        <w:t> [**109] </w:t>
      </w:r>
      <w:r>
        <w:rPr>
          <w:rFonts w:ascii="arial" w:eastAsia="arial" w:hAnsi="arial" w:cs="arial"/>
          <w:b w:val="0"/>
          <w:i w:val="0"/>
          <w:strike w:val="0"/>
          <w:noProof w:val="0"/>
          <w:color w:val="000000"/>
          <w:position w:val="0"/>
          <w:sz w:val="20"/>
          <w:u w:val="none"/>
          <w:vertAlign w:val="baseline"/>
        </w:rPr>
        <w:t xml:space="preserve"> Civil War and adoption of the </w:t>
      </w:r>
      <w:hyperlink r:id="rId59"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—the constitutional source of Baird and Gallardo's right to assert a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claim against the state—reinforces the conclusions the court has drawn from the law and regulations that went before. </w:t>
      </w:r>
      <w:r>
        <w:rPr>
          <w:rFonts w:ascii="arial" w:eastAsia="arial" w:hAnsi="arial" w:cs="arial"/>
          <w:b w:val="0"/>
          <w:i w:val="0"/>
          <w:strike w:val="0"/>
          <w:noProof w:val="0"/>
          <w:color w:val="000000"/>
          <w:position w:val="0"/>
          <w:sz w:val="20"/>
          <w:u w:val="none"/>
          <w:vertAlign w:val="baseline"/>
        </w:rPr>
        <w:t xml:space="preserve">This evidence shows what people understood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to mean when that amendment became enforceable against state and local laws like California's.</w:t>
      </w:r>
    </w:p>
    <w:p>
      <w:pPr>
        <w:keepNext w:val="0"/>
        <w:spacing w:before="200" w:after="0" w:line="260" w:lineRule="atLeast"/>
        <w:ind w:left="0" w:right="0" w:firstLine="0"/>
        <w:jc w:val="both"/>
      </w:pPr>
      <w:bookmarkStart w:id="617" w:name="Bookmark_para_138"/>
      <w:bookmarkEnd w:id="617"/>
      <w:r>
        <w:rPr>
          <w:rFonts w:ascii="arial" w:eastAsia="arial" w:hAnsi="arial" w:cs="arial"/>
          <w:b w:val="0"/>
          <w:i w:val="0"/>
          <w:strike w:val="0"/>
          <w:noProof w:val="0"/>
          <w:color w:val="000000"/>
          <w:position w:val="0"/>
          <w:sz w:val="20"/>
          <w:u w:val="none"/>
          <w:vertAlign w:val="baseline"/>
        </w:rPr>
        <w:t xml:space="preserve">Again, historical context is essential to a fair understanding. The Civil War "was a time of violence, turmoil, and political instability." Rivas Decl. at 12. Homicide rates in the United States began diverging from rates in the rest of the Western world.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most severe violence occurred in the former Confederate States, where military defeat, emancipation, and reconstruction inflamed white supremacism and set the stage for racist paramilitaries, lynchings, and widespread electoral fraud."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 lack of faith in governing institutions and a failure to become a cohesive citizenry drove both the war itself and the coinciding bloodshed."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618" w:name="Bookmark_para_139"/>
      <w:bookmarkEnd w:id="618"/>
      <w:r>
        <w:rPr>
          <w:rFonts w:ascii="arial" w:eastAsia="arial" w:hAnsi="arial" w:cs="arial"/>
          <w:b w:val="0"/>
          <w:i w:val="0"/>
          <w:strike w:val="0"/>
          <w:noProof w:val="0"/>
          <w:color w:val="000000"/>
          <w:position w:val="0"/>
          <w:sz w:val="20"/>
          <w:u w:val="none"/>
          <w:vertAlign w:val="baseline"/>
        </w:rPr>
        <w:t>In addition, "[t]he limitations of early firearms as murder weapons were overcome by a burst of innovation in the arms industry between the late 1840s and the end of the Civil War." Roth</w:t>
      </w:r>
      <w:r>
        <w:rPr>
          <w:rFonts w:ascii="arial" w:eastAsia="arial" w:hAnsi="arial" w:cs="arial"/>
          <w:b/>
          <w:i w:val="0"/>
          <w:strike w:val="0"/>
          <w:noProof w:val="0"/>
          <w:color w:val="000000"/>
          <w:position w:val="0"/>
          <w:sz w:val="20"/>
          <w:u w:val="none"/>
          <w:vertAlign w:val="baseline"/>
        </w:rPr>
        <w:t> [**110] </w:t>
      </w:r>
      <w:r>
        <w:rPr>
          <w:rFonts w:ascii="arial" w:eastAsia="arial" w:hAnsi="arial" w:cs="arial"/>
          <w:b w:val="0"/>
          <w:i w:val="0"/>
          <w:strike w:val="0"/>
          <w:noProof w:val="0"/>
          <w:color w:val="000000"/>
          <w:position w:val="0"/>
          <w:sz w:val="20"/>
          <w:u w:val="none"/>
          <w:vertAlign w:val="baseline"/>
        </w:rPr>
        <w:t xml:space="preserve"> (2019),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122. These years saw the invention of the breech-loading rifle, the self21 expanding bullet, the repeating rifle, and finally the "first truly modern rifle."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limitations on early handguns were overcome in the same period."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Samuel Colt patented his first revolver design in 1836. Rivas Decl. at 10. Unlike earlier pistol designs, these new revolvers were breech loading, which meant ammunition was loaded from </w:t>
      </w:r>
      <w:r>
        <w:rPr>
          <w:rFonts w:ascii="arial" w:eastAsia="arial" w:hAnsi="arial" w:cs="arial"/>
          <w:b/>
          <w:i w:val="0"/>
          <w:strike w:val="0"/>
          <w:noProof w:val="0"/>
          <w:color w:val="000000"/>
          <w:position w:val="0"/>
          <w:sz w:val="20"/>
          <w:u w:val="none"/>
          <w:vertAlign w:val="baseline"/>
        </w:rPr>
        <w:t> [*1135] </w:t>
      </w:r>
      <w:r>
        <w:rPr>
          <w:rFonts w:ascii="arial" w:eastAsia="arial" w:hAnsi="arial" w:cs="arial"/>
          <w:b w:val="0"/>
          <w:i w:val="0"/>
          <w:strike w:val="0"/>
          <w:noProof w:val="0"/>
          <w:color w:val="000000"/>
          <w:position w:val="0"/>
          <w:sz w:val="20"/>
          <w:u w:val="none"/>
          <w:vertAlign w:val="baseline"/>
        </w:rPr>
        <w:t xml:space="preserve"> the back of the barrel, and they could fire multiple shots without reloading as well.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Smith and Wesson introduced a seven-shot breech loading revolver in the 1850s, the same year Colt's patent expired.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Roth (2019),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122-23. Smith and Wesson's gun was "a near perfect murder weapon—lethal, reliable, easy to carry and conceal, capable of multiple shots, and ready to use at any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123. Manufacturers of these new weapons sold them first to the United States Military, then to civilians in "the urban middle class, the urban poor, and former slaves."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Rivas Decl. at 12-13. The country was in the midst of a "homicide crisis" by the 1860s and 1870s, and the arms industry exploited that crisis "by promoting the need</w:t>
      </w:r>
      <w:r>
        <w:rPr>
          <w:rFonts w:ascii="arial" w:eastAsia="arial" w:hAnsi="arial" w:cs="arial"/>
          <w:b/>
          <w:i w:val="0"/>
          <w:strike w:val="0"/>
          <w:noProof w:val="0"/>
          <w:color w:val="000000"/>
          <w:position w:val="0"/>
          <w:sz w:val="20"/>
          <w:u w:val="none"/>
          <w:vertAlign w:val="baseline"/>
        </w:rPr>
        <w:t> [**111] </w:t>
      </w:r>
      <w:r>
        <w:rPr>
          <w:rFonts w:ascii="arial" w:eastAsia="arial" w:hAnsi="arial" w:cs="arial"/>
          <w:b w:val="0"/>
          <w:i w:val="0"/>
          <w:strike w:val="0"/>
          <w:noProof w:val="0"/>
          <w:color w:val="000000"/>
          <w:position w:val="0"/>
          <w:sz w:val="20"/>
          <w:u w:val="none"/>
          <w:vertAlign w:val="baseline"/>
        </w:rPr>
        <w:t xml:space="preserve"> for personal protection." Roth (2019),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123. "[M]any working-class and middle-class Americans and former slaves were afraid they might become victims of violence, and so armed themselves as fast as they could with the new weapons, specially revolvers." Roth (2019),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123;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Rivas Decl. at 13-14.</w:t>
      </w:r>
    </w:p>
    <w:p>
      <w:pPr>
        <w:keepNext w:val="0"/>
        <w:spacing w:before="200" w:after="0" w:line="260" w:lineRule="atLeast"/>
        <w:ind w:left="0" w:right="0" w:firstLine="0"/>
        <w:jc w:val="both"/>
      </w:pPr>
      <w:bookmarkStart w:id="619" w:name="Bookmark_para_140"/>
      <w:bookmarkEnd w:id="619"/>
      <w:r>
        <w:rPr>
          <w:rFonts w:ascii="arial" w:eastAsia="arial" w:hAnsi="arial" w:cs="arial"/>
          <w:b w:val="0"/>
          <w:i w:val="0"/>
          <w:strike w:val="0"/>
          <w:noProof w:val="0"/>
          <w:color w:val="000000"/>
          <w:position w:val="0"/>
          <w:sz w:val="20"/>
          <w:u w:val="none"/>
          <w:vertAlign w:val="baseline"/>
        </w:rPr>
        <w:t xml:space="preserve">As gun violence grew more prevalent and weapons grew more dangerous, Americans began to change their opinions about what types of weapons and what types of weapons carrying were frightening or dangerous. In general, Americans criticized those who carried weapons publicly as the nineteenth century wore 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Rivas Decl. at 15. "Even though they were particularly opposed to the concealment of them beneath one's clothes, there was an overarching opposition to having weapons in public at all—even when carried openly."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Carrying weapons habitually was a "relic of barbarism."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The Cattlemen, Fort Worth Daily Democrat, March 5, 1883). And so, by the late nineteenth century, many newspapers had published emphatic denunciations of firearms-carrying.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15-16; </w:t>
      </w:r>
      <w:r>
        <w:rPr>
          <w:rFonts w:ascii="arial" w:eastAsia="arial" w:hAnsi="arial" w:cs="arial"/>
          <w:b w:val="0"/>
          <w:i/>
          <w:strike w:val="0"/>
          <w:noProof w:val="0"/>
          <w:color w:val="000000"/>
          <w:position w:val="0"/>
          <w:sz w:val="20"/>
          <w:u w:val="none"/>
          <w:vertAlign w:val="baseline"/>
        </w:rPr>
        <w:t>see also, e.g.</w:t>
      </w:r>
      <w:r>
        <w:rPr>
          <w:rFonts w:ascii="arial" w:eastAsia="arial" w:hAnsi="arial" w:cs="arial"/>
          <w:b w:val="0"/>
          <w:i w:val="0"/>
          <w:strike w:val="0"/>
          <w:noProof w:val="0"/>
          <w:color w:val="000000"/>
          <w:position w:val="0"/>
          <w:sz w:val="20"/>
          <w:u w:val="none"/>
          <w:vertAlign w:val="baseline"/>
        </w:rPr>
        <w:t>, "The Revolver Must Go," Clarksville Weekly Chronicle (Tennessee) May 24, 1884,</w:t>
      </w:r>
      <w:r>
        <w:rPr>
          <w:rFonts w:ascii="arial" w:eastAsia="arial" w:hAnsi="arial" w:cs="arial"/>
          <w:b/>
          <w:i w:val="0"/>
          <w:strike w:val="0"/>
          <w:noProof w:val="0"/>
          <w:color w:val="000000"/>
          <w:position w:val="0"/>
          <w:sz w:val="20"/>
          <w:u w:val="none"/>
          <w:vertAlign w:val="baseline"/>
        </w:rPr>
        <w:t> [**112] </w:t>
      </w:r>
      <w:r>
        <w:rPr>
          <w:rFonts w:ascii="arial" w:eastAsia="arial" w:hAnsi="arial" w:cs="arial"/>
          <w:b w:val="0"/>
          <w:i w:val="0"/>
          <w:strike w:val="0"/>
          <w:noProof w:val="0"/>
          <w:color w:val="000000"/>
          <w:position w:val="0"/>
          <w:sz w:val="20"/>
          <w:u w:val="none"/>
          <w:vertAlign w:val="baseline"/>
        </w:rPr>
        <w:t xml:space="preserve"> at 1 (reprinted from Gainesville Register (Texas) ("[T]here seems to be a well-developed crusade in the newspapers, against the deadly pistol, the Southern Press especially.")).</w:t>
      </w:r>
      <w:r>
        <w:rPr>
          <w:rFonts w:ascii="arial" w:eastAsia="arial" w:hAnsi="arial" w:cs="arial"/>
          <w:vertAlign w:val="superscript"/>
        </w:rPr>
        <w:footnoteReference w:customMarkFollows="1" w:id="28"/>
        <w:t xml:space="preserve">27</w:t>
      </w:r>
      <w:r>
        <w:rPr>
          <w:rFonts w:ascii="arial" w:eastAsia="arial" w:hAnsi="arial" w:cs="arial"/>
          <w:b w:val="0"/>
          <w:i w:val="0"/>
          <w:strike w:val="0"/>
          <w:noProof w:val="0"/>
          <w:color w:val="000000"/>
          <w:position w:val="0"/>
          <w:sz w:val="20"/>
          <w:u w:val="none"/>
          <w:vertAlign w:val="baseline"/>
        </w:rPr>
        <w:t xml:space="preserve"> Public opinions about open firearms carrying seems to have so drastically changed that pants often included secret pockets specially designed for hiding small handguns.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Rivas Decl. at 19. Concealing weapons was likely more acceptable than displaying them in many places.</w:t>
      </w:r>
    </w:p>
    <w:p>
      <w:pPr>
        <w:keepNext w:val="0"/>
        <w:spacing w:before="200" w:after="0" w:line="260" w:lineRule="atLeast"/>
        <w:ind w:left="0" w:right="0" w:firstLine="0"/>
        <w:jc w:val="both"/>
      </w:pPr>
      <w:bookmarkStart w:id="621" w:name="Bookmark_para_141"/>
      <w:bookmarkEnd w:id="621"/>
      <w:r>
        <w:rPr>
          <w:rFonts w:ascii="arial" w:eastAsia="arial" w:hAnsi="arial" w:cs="arial"/>
          <w:b w:val="0"/>
          <w:i w:val="0"/>
          <w:strike w:val="0"/>
          <w:noProof w:val="0"/>
          <w:color w:val="000000"/>
          <w:position w:val="0"/>
          <w:sz w:val="20"/>
          <w:u w:val="none"/>
          <w:vertAlign w:val="baseline"/>
        </w:rPr>
        <w:t xml:space="preserve">During these years, states continued to pass firearms regulations. "Republicans sought to protect the rights of African Americans to bear arms, but were equally insistent on enacting strong racially neutral regulations aimed at public safety." Cornell Decl. Ex. A at 17. As in previous years, governmental bodies made exceptions for urgent needs for self-defense.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Rivas Decl. at 20-21. States also continued to pass laws like those surveyed above barring brandishing or displaying weapons in intimidating or frightening ways.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Spitzer Decl. at 13-17. But more prominently, "[t]he rise in the circulation of handguns in society . . . was accompanied by the rapid spread of concealed carry restrictions, beginning in the early 1800s but then escalating</w:t>
      </w:r>
      <w:r>
        <w:rPr>
          <w:rFonts w:ascii="arial" w:eastAsia="arial" w:hAnsi="arial" w:cs="arial"/>
          <w:b/>
          <w:i w:val="0"/>
          <w:strike w:val="0"/>
          <w:noProof w:val="0"/>
          <w:color w:val="000000"/>
          <w:position w:val="0"/>
          <w:sz w:val="20"/>
          <w:u w:val="none"/>
          <w:vertAlign w:val="baseline"/>
        </w:rPr>
        <w:t> [**113] </w:t>
      </w:r>
      <w:r>
        <w:rPr>
          <w:rFonts w:ascii="arial" w:eastAsia="arial" w:hAnsi="arial" w:cs="arial"/>
          <w:b w:val="0"/>
          <w:i w:val="0"/>
          <w:strike w:val="0"/>
          <w:noProof w:val="0"/>
          <w:color w:val="000000"/>
          <w:position w:val="0"/>
          <w:sz w:val="20"/>
          <w:u w:val="none"/>
          <w:vertAlign w:val="baseline"/>
        </w:rPr>
        <w:t xml:space="preserve"> in the post-Civil War period with the spread of multi-shot handguns, precisely because of their contribution to increasing interpersonal violence."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6-7. "By the start of the twentieth century, every state in the country (with the apparent sole exception of New Hampshire) </w:t>
      </w:r>
      <w:r>
        <w:rPr>
          <w:rFonts w:ascii="arial" w:eastAsia="arial" w:hAnsi="arial" w:cs="arial"/>
          <w:b/>
          <w:i w:val="0"/>
          <w:strike w:val="0"/>
          <w:noProof w:val="0"/>
          <w:color w:val="000000"/>
          <w:position w:val="0"/>
          <w:sz w:val="20"/>
          <w:u w:val="none"/>
          <w:vertAlign w:val="baseline"/>
        </w:rPr>
        <w:t> [*1136] </w:t>
      </w:r>
      <w:r>
        <w:rPr>
          <w:rFonts w:ascii="arial" w:eastAsia="arial" w:hAnsi="arial" w:cs="arial"/>
          <w:b w:val="0"/>
          <w:i w:val="0"/>
          <w:strike w:val="0"/>
          <w:noProof w:val="0"/>
          <w:color w:val="000000"/>
          <w:position w:val="0"/>
          <w:sz w:val="20"/>
          <w:u w:val="none"/>
          <w:vertAlign w:val="baseline"/>
        </w:rPr>
        <w:t xml:space="preserve"> prohibited or severely restricted concealed gun and other weapons carrying."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Open carry restrictions followed a similar pattern. "From 1860 to 1900, 24 states enacted anti11 open carry laws, and 9 states did so in the early 1900s (a few states enacted laws in both centuries)."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(citations omitted). State courts generally upheld these laws, as long as they made exceptions for emergencies and members of the militia or military.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Rivas Decl. at 20-23. California was no exception to the tightening regulatory trend. Many state and local laws restricted public weapons carrying.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Cornell Decl. Ex. A at 20-25; Rivas Decl. at 36-38.</w:t>
      </w:r>
    </w:p>
    <w:p>
      <w:pPr>
        <w:keepNext w:val="0"/>
        <w:spacing w:before="240" w:after="0" w:line="260" w:lineRule="atLeast"/>
        <w:ind w:left="0" w:right="0" w:firstLine="0"/>
        <w:jc w:val="both"/>
      </w:pPr>
      <w:bookmarkStart w:id="622" w:name="Bookmark_para_142"/>
      <w:bookmarkEnd w:id="622"/>
      <w:bookmarkStart w:id="623" w:name="Bookmark_I6B11G1D2SF7TV0030000400"/>
      <w:bookmarkEnd w:id="623"/>
      <w:r>
        <w:rPr>
          <w:rFonts w:ascii="arial" w:eastAsia="arial" w:hAnsi="arial" w:cs="arial"/>
          <w:b w:val="0"/>
          <w:i w:val="0"/>
          <w:strike w:val="0"/>
          <w:noProof w:val="0"/>
          <w:color w:val="000000"/>
          <w:position w:val="0"/>
          <w:sz w:val="20"/>
          <w:u w:val="none"/>
          <w:vertAlign w:val="baseline"/>
        </w:rPr>
        <w:t>Law enforcement and policing also changed. "[A]s America modernized, urbanized, and became a more diverse and highly mobile society" in the nineteenth century, "traditional community-based mechanisms of law enforcement eroded." Cornell Decl. Ex. A at 19. American governments</w:t>
      </w:r>
      <w:r>
        <w:rPr>
          <w:rFonts w:ascii="arial" w:eastAsia="arial" w:hAnsi="arial" w:cs="arial"/>
          <w:b/>
          <w:i w:val="0"/>
          <w:strike w:val="0"/>
          <w:noProof w:val="0"/>
          <w:color w:val="000000"/>
          <w:position w:val="0"/>
          <w:sz w:val="20"/>
          <w:u w:val="none"/>
          <w:vertAlign w:val="baseline"/>
        </w:rPr>
        <w:t> [**114] </w:t>
      </w:r>
      <w:r>
        <w:rPr>
          <w:rFonts w:ascii="arial" w:eastAsia="arial" w:hAnsi="arial" w:cs="arial"/>
          <w:b w:val="0"/>
          <w:i w:val="0"/>
          <w:strike w:val="0"/>
          <w:noProof w:val="0"/>
          <w:color w:val="000000"/>
          <w:position w:val="0"/>
          <w:sz w:val="20"/>
          <w:u w:val="none"/>
          <w:vertAlign w:val="baseline"/>
        </w:rPr>
        <w:t xml:space="preserve"> turned to professional police forces and administrative agencies, which people had come to believe "were better suited to maintaining social order and the peace in the urban world of nineteenth century America."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e.g., </w:t>
      </w:r>
      <w:bookmarkStart w:id="624" w:name="Bookmark_I6B11G1D2SF7TV0020000400"/>
      <w:bookmarkEnd w:id="624"/>
      <w:hyperlink r:id="rId98" w:history="1">
        <w:r>
          <w:rPr>
            <w:rFonts w:ascii="arial" w:eastAsia="arial" w:hAnsi="arial" w:cs="arial"/>
            <w:b w:val="0"/>
            <w:i/>
            <w:strike w:val="0"/>
            <w:noProof w:val="0"/>
            <w:color w:val="0077CC"/>
            <w:position w:val="0"/>
            <w:sz w:val="20"/>
            <w:u w:val="single"/>
            <w:vertAlign w:val="baseline"/>
          </w:rPr>
          <w:t>Antonyuk</w:t>
        </w:r>
      </w:hyperlink>
      <w:hyperlink r:id="rId98" w:history="1">
        <w:r>
          <w:rPr>
            <w:rFonts w:ascii="arial" w:eastAsia="arial" w:hAnsi="arial" w:cs="arial"/>
            <w:b w:val="0"/>
            <w:i/>
            <w:strike w:val="0"/>
            <w:noProof w:val="0"/>
            <w:color w:val="0077CC"/>
            <w:position w:val="0"/>
            <w:sz w:val="20"/>
            <w:u w:val="single"/>
            <w:vertAlign w:val="baseline"/>
          </w:rPr>
          <w:t>, 2023 U.S. App. LEXIS 32492, 2023 WL 8518003, at *28-30</w:t>
        </w:r>
      </w:hyperlink>
      <w:r>
        <w:rPr>
          <w:rFonts w:ascii="arial" w:eastAsia="arial" w:hAnsi="arial" w:cs="arial"/>
          <w:b w:val="0"/>
          <w:i w:val="0"/>
          <w:strike w:val="0"/>
          <w:noProof w:val="0"/>
          <w:color w:val="000000"/>
          <w:position w:val="0"/>
          <w:sz w:val="20"/>
          <w:u w:val="none"/>
          <w:vertAlign w:val="baseline"/>
        </w:rPr>
        <w:t xml:space="preserve"> (holding similarly and collecting similar evidence).</w:t>
      </w:r>
    </w:p>
    <w:p>
      <w:pPr>
        <w:keepNext w:val="0"/>
        <w:spacing w:before="200" w:after="0" w:line="260" w:lineRule="atLeast"/>
        <w:ind w:left="0" w:right="0" w:firstLine="0"/>
        <w:jc w:val="both"/>
      </w:pPr>
      <w:bookmarkStart w:id="625" w:name="Bookmark_para_143"/>
      <w:bookmarkEnd w:id="625"/>
      <w:r>
        <w:rPr>
          <w:rFonts w:ascii="arial" w:eastAsia="arial" w:hAnsi="arial" w:cs="arial"/>
          <w:b w:val="0"/>
          <w:i w:val="0"/>
          <w:strike w:val="0"/>
          <w:noProof w:val="0"/>
          <w:color w:val="000000"/>
          <w:position w:val="0"/>
          <w:sz w:val="20"/>
          <w:u w:val="none"/>
          <w:vertAlign w:val="baseline"/>
        </w:rPr>
        <w:t xml:space="preserve">It was under these circumstances that modern firearms license and permitting regimes were first introduced.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Cornell Decl. Ex. A at 19. "At least 29 states enacted 61 licensing requirement laws for individuals as a pre-requisite for their weapons ownership during this time; 17 of those states did so in the 1800s." Spitzer Decl. at 17 (citation omitted). Many other local jurisdictions passed licensing laws as well.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19-24. But these licensing regimes did not necessarily tighten firearms controls; in some respects, they relaxed the states' strict regulations forbidding some weapons outright or made those regulations more flexible.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18. Sometimes licensing schemes replaced bans; sometimes they did not.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jurisdictions enacting licensing for [public firearms carrying] were now allowing firearms or other dangerous weapons or substances to be used or possessed with the granting</w:t>
      </w:r>
      <w:r>
        <w:rPr>
          <w:rFonts w:ascii="arial" w:eastAsia="arial" w:hAnsi="arial" w:cs="arial"/>
          <w:b/>
          <w:i w:val="0"/>
          <w:strike w:val="0"/>
          <w:noProof w:val="0"/>
          <w:color w:val="000000"/>
          <w:position w:val="0"/>
          <w:sz w:val="20"/>
          <w:u w:val="none"/>
          <w:vertAlign w:val="baseline"/>
        </w:rPr>
        <w:t> [**115] </w:t>
      </w:r>
      <w:r>
        <w:rPr>
          <w:rFonts w:ascii="arial" w:eastAsia="arial" w:hAnsi="arial" w:cs="arial"/>
          <w:b w:val="0"/>
          <w:i w:val="0"/>
          <w:strike w:val="0"/>
          <w:noProof w:val="0"/>
          <w:color w:val="000000"/>
          <w:position w:val="0"/>
          <w:sz w:val="20"/>
          <w:u w:val="none"/>
          <w:vertAlign w:val="baseline"/>
        </w:rPr>
        <w:t xml:space="preserve"> of a license to do so, when their possession or use would otherwise be subject to criminal penalties."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Licenses were "in most instances a more flexible form of government regulation of the activities and weapons in question."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18-19. And as noted above, no evidence in the record shows any of these licensing systems were subjected to any successful constitutional challenges, or any challenges at all, which strongly confirms that licensing systems as a whole are part of the historical tradition of firearm regulation.</w:t>
      </w:r>
    </w:p>
    <w:p>
      <w:pPr>
        <w:keepNext w:val="0"/>
        <w:spacing w:before="200" w:after="0" w:line="260" w:lineRule="atLeast"/>
        <w:ind w:left="0" w:right="0" w:firstLine="0"/>
        <w:jc w:val="both"/>
      </w:pPr>
      <w:bookmarkStart w:id="626" w:name="Bookmark_para_144"/>
      <w:bookmarkEnd w:id="626"/>
      <w:r>
        <w:rPr>
          <w:rFonts w:ascii="arial" w:eastAsia="arial" w:hAnsi="arial" w:cs="arial"/>
          <w:b w:val="0"/>
          <w:i w:val="0"/>
          <w:strike w:val="0"/>
          <w:noProof w:val="0"/>
          <w:color w:val="000000"/>
          <w:position w:val="0"/>
          <w:sz w:val="20"/>
          <w:u w:val="none"/>
          <w:vertAlign w:val="baseline"/>
        </w:rPr>
        <w:t xml:space="preserve">In sum, laws and regulations passed after the </w:t>
      </w:r>
      <w:hyperlink r:id="rId59" w:history="1">
        <w:r>
          <w:rPr>
            <w:rFonts w:ascii="arial" w:eastAsia="arial" w:hAnsi="arial" w:cs="arial"/>
            <w:b w:val="0"/>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 xml:space="preserve"> adoption changed, but did not contradict laws passed in the colonies and early in the nineteenth century. Consistently, over many years, American governments recognized the right to bear arms but circumscribed that right in recognition of the need to preserve the peace and public safety. As violence increased and weapons became more deadly, as America urbanized and grew more diverse, and as policing professionalized, common ideas about what was socially acceptable changed. No longer was it as useful or common to draw distinctions between concealed or "deadly" weapons and acceptable firearms. It was more common than</w:t>
      </w:r>
      <w:r>
        <w:rPr>
          <w:rFonts w:ascii="arial" w:eastAsia="arial" w:hAnsi="arial" w:cs="arial"/>
          <w:b/>
          <w:i w:val="0"/>
          <w:strike w:val="0"/>
          <w:noProof w:val="0"/>
          <w:color w:val="000000"/>
          <w:position w:val="0"/>
          <w:sz w:val="20"/>
          <w:u w:val="none"/>
          <w:vertAlign w:val="baseline"/>
        </w:rPr>
        <w:t> [**116] </w:t>
      </w:r>
      <w:r>
        <w:rPr>
          <w:rFonts w:ascii="arial" w:eastAsia="arial" w:hAnsi="arial" w:cs="arial"/>
          <w:b w:val="0"/>
          <w:i w:val="0"/>
          <w:strike w:val="0"/>
          <w:noProof w:val="0"/>
          <w:color w:val="000000"/>
          <w:position w:val="0"/>
          <w:sz w:val="20"/>
          <w:u w:val="none"/>
          <w:vertAlign w:val="baseline"/>
        </w:rPr>
        <w:t xml:space="preserve"> before to carry concealed weapons. Some of the most common weapons that many people purchased for self-defense could be concealed. Licensing and permit regimes were a natural reaction to this reality, and in many cases they were more flexible and permissive than the laws that had gone before.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[*1137]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4. California has demonstrated its open-carry restrictions are consistent with the historical tradition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27" w:name="Bookmark_para_145"/>
      <w:bookmarkEnd w:id="627"/>
      <w:bookmarkStart w:id="628" w:name="Bookmark_I6B11G1D2SF7TV0050000400"/>
      <w:bookmarkEnd w:id="628"/>
      <w:r>
        <w:rPr>
          <w:rFonts w:ascii="arial" w:eastAsia="arial" w:hAnsi="arial" w:cs="arial"/>
          <w:b w:val="0"/>
          <w:i w:val="0"/>
          <w:strike w:val="0"/>
          <w:noProof w:val="0"/>
          <w:color w:val="000000"/>
          <w:position w:val="0"/>
          <w:sz w:val="20"/>
          <w:u w:val="none"/>
          <w:vertAlign w:val="baseline"/>
        </w:rPr>
        <w:t xml:space="preserve">Although the Supreme Court observed that some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cases will be "straightforward," </w:t>
      </w:r>
      <w:r>
        <w:rPr>
          <w:rFonts w:ascii="arial" w:eastAsia="arial" w:hAnsi="arial" w:cs="arial"/>
          <w:b w:val="0"/>
          <w:i/>
          <w:strike w:val="0"/>
          <w:noProof w:val="0"/>
          <w:color w:val="000000"/>
          <w:position w:val="0"/>
          <w:sz w:val="20"/>
          <w:u w:val="none"/>
          <w:vertAlign w:val="baseline"/>
        </w:rPr>
        <w:t xml:space="preserve">see </w:t>
      </w:r>
      <w:bookmarkStart w:id="629" w:name="Bookmark_I6B11G1D2SF7TV0040000400"/>
      <w:bookmarkEnd w:id="629"/>
      <w:hyperlink r:id="rId11" w:history="1">
        <w:r>
          <w:rPr>
            <w:rFonts w:ascii="arial" w:eastAsia="arial" w:hAnsi="arial" w:cs="arial"/>
            <w:b w:val="0"/>
            <w:i/>
            <w:strike w:val="0"/>
            <w:noProof w:val="0"/>
            <w:color w:val="0077CC"/>
            <w:position w:val="0"/>
            <w:sz w:val="20"/>
            <w:u w:val="single"/>
            <w:vertAlign w:val="baseline"/>
          </w:rPr>
          <w:t>Bruen</w:t>
        </w:r>
      </w:hyperlink>
      <w:hyperlink r:id="rId11" w:history="1">
        <w:r>
          <w:rPr>
            <w:rFonts w:ascii="arial" w:eastAsia="arial" w:hAnsi="arial" w:cs="arial"/>
            <w:b w:val="0"/>
            <w:i/>
            <w:strike w:val="0"/>
            <w:noProof w:val="0"/>
            <w:color w:val="0077CC"/>
            <w:position w:val="0"/>
            <w:sz w:val="20"/>
            <w:u w:val="single"/>
            <w:vertAlign w:val="baseline"/>
          </w:rPr>
          <w:t>, 142 S. Ct. at 2131-33</w:t>
        </w:r>
      </w:hyperlink>
      <w:r>
        <w:rPr>
          <w:rFonts w:ascii="arial" w:eastAsia="arial" w:hAnsi="arial" w:cs="arial"/>
          <w:b w:val="0"/>
          <w:i w:val="0"/>
          <w:strike w:val="0"/>
          <w:noProof w:val="0"/>
          <w:color w:val="000000"/>
          <w:position w:val="0"/>
          <w:sz w:val="20"/>
          <w:u w:val="none"/>
          <w:vertAlign w:val="baseline"/>
        </w:rPr>
        <w:t>, this is not an obviously straightforward case.</w:t>
      </w:r>
    </w:p>
    <w:p>
      <w:pPr>
        <w:keepNext w:val="0"/>
        <w:spacing w:before="200" w:after="0" w:line="260" w:lineRule="atLeast"/>
        <w:ind w:left="0" w:right="0" w:firstLine="0"/>
        <w:jc w:val="both"/>
      </w:pPr>
      <w:bookmarkStart w:id="630" w:name="Bookmark_para_146"/>
      <w:bookmarkEnd w:id="630"/>
      <w:r>
        <w:rPr>
          <w:rFonts w:ascii="arial" w:eastAsia="arial" w:hAnsi="arial" w:cs="arial"/>
          <w:b w:val="0"/>
          <w:i w:val="0"/>
          <w:strike w:val="0"/>
          <w:noProof w:val="0"/>
          <w:color w:val="000000"/>
          <w:position w:val="0"/>
          <w:sz w:val="20"/>
          <w:u w:val="none"/>
          <w:vertAlign w:val="baseline"/>
        </w:rPr>
        <w:t xml:space="preserve">When the Supreme Court discussed "straightforward" cases in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it first mentioned evidence about laws addressing a common "general societal problem."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If the challenged law or regulation addresses a "general societal problem that has persisted since the 18th century," but there is no "distinctly similar historical regulation addressing that problem," or if the historical solution is "materially different" from the challenged regulation, that is "relevant evidence that the challenged regulation is inconsistent with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631" w:name="Bookmark_para_147"/>
      <w:bookmarkEnd w:id="631"/>
      <w:r>
        <w:rPr>
          <w:rFonts w:ascii="arial" w:eastAsia="arial" w:hAnsi="arial" w:cs="arial"/>
          <w:b w:val="0"/>
          <w:i w:val="0"/>
          <w:strike w:val="0"/>
          <w:noProof w:val="0"/>
          <w:color w:val="000000"/>
          <w:position w:val="0"/>
          <w:sz w:val="20"/>
          <w:u w:val="none"/>
          <w:vertAlign w:val="baseline"/>
        </w:rPr>
        <w:t>The "general societal problem" addressed by California's licensing system resembles a problem that Americans faced in 1791, only in</w:t>
      </w:r>
      <w:r>
        <w:rPr>
          <w:rFonts w:ascii="arial" w:eastAsia="arial" w:hAnsi="arial" w:cs="arial"/>
          <w:b/>
          <w:i w:val="0"/>
          <w:strike w:val="0"/>
          <w:noProof w:val="0"/>
          <w:color w:val="000000"/>
          <w:position w:val="0"/>
          <w:sz w:val="20"/>
          <w:u w:val="none"/>
          <w:vertAlign w:val="baseline"/>
        </w:rPr>
        <w:t> [**117] </w:t>
      </w:r>
      <w:r>
        <w:rPr>
          <w:rFonts w:ascii="arial" w:eastAsia="arial" w:hAnsi="arial" w:cs="arial"/>
          <w:b w:val="0"/>
          <w:i w:val="0"/>
          <w:strike w:val="0"/>
          <w:noProof w:val="0"/>
          <w:color w:val="000000"/>
          <w:position w:val="0"/>
          <w:sz w:val="20"/>
          <w:u w:val="none"/>
          <w:vertAlign w:val="baseline"/>
        </w:rPr>
        <w:t xml:space="preserve"> the simplest sense: then, as now, weapons carried openly in public can risk fright, intimidation and violence. But California has persuasively demonstrated how difficult it is to draw parallels between the modern and historical problems. As reviewed above, expectations about what types of gun-carrying is dangerous or frightening have changed drastically. Handguns differ fundamentally from the weapons in common use in the founding era. Modern handguns are more reliable, simpler to use, easier to conceal, and more lethal than the firearms in common use when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was adopted. Modern weapons also differ widely, both in form and connotation, from the ancient weapons that could easily be concealed, such as knives and pocket pistols. Comparisons between the modern and historical responses to the general societal problem defy simple analysis as well. Is a modern licensing system that permits ordinary people to carry concealed, reliable, breech-loading semiautomatic handguns in their cars comparable to historical regulations that permitted white land-owning men to openly carry fowling pieces and unloaded muskets on horse saddles because neither use inspired fear in witnesses? The record does</w:t>
      </w:r>
      <w:r>
        <w:rPr>
          <w:rFonts w:ascii="arial" w:eastAsia="arial" w:hAnsi="arial" w:cs="arial"/>
          <w:b/>
          <w:i w:val="0"/>
          <w:strike w:val="0"/>
          <w:noProof w:val="0"/>
          <w:color w:val="000000"/>
          <w:position w:val="0"/>
          <w:sz w:val="20"/>
          <w:u w:val="none"/>
          <w:vertAlign w:val="baseline"/>
        </w:rPr>
        <w:t> [**118] </w:t>
      </w:r>
      <w:r>
        <w:rPr>
          <w:rFonts w:ascii="arial" w:eastAsia="arial" w:hAnsi="arial" w:cs="arial"/>
          <w:b w:val="0"/>
          <w:i w:val="0"/>
          <w:strike w:val="0"/>
          <w:noProof w:val="0"/>
          <w:color w:val="000000"/>
          <w:position w:val="0"/>
          <w:sz w:val="20"/>
          <w:u w:val="none"/>
          <w:vertAlign w:val="baseline"/>
        </w:rPr>
        <w:t xml:space="preserve"> not offer any easy answer.</w:t>
      </w:r>
    </w:p>
    <w:p>
      <w:pPr>
        <w:keepNext w:val="0"/>
        <w:spacing w:before="240" w:after="0" w:line="260" w:lineRule="atLeast"/>
        <w:ind w:left="0" w:right="0" w:firstLine="0"/>
        <w:jc w:val="both"/>
      </w:pPr>
      <w:bookmarkStart w:id="632" w:name="Bookmark_para_148"/>
      <w:bookmarkEnd w:id="632"/>
      <w:bookmarkStart w:id="633" w:name="Bookmark_I6B11G1D2N1RGH0020000400"/>
      <w:bookmarkEnd w:id="633"/>
      <w:bookmarkStart w:id="634" w:name="Bookmark_I6B11G1D2N1RGH0040000400"/>
      <w:bookmarkEnd w:id="634"/>
      <w:r>
        <w:rPr>
          <w:rFonts w:ascii="arial" w:eastAsia="arial" w:hAnsi="arial" w:cs="arial"/>
          <w:b w:val="0"/>
          <w:i w:val="0"/>
          <w:strike w:val="0"/>
          <w:noProof w:val="0"/>
          <w:color w:val="000000"/>
          <w:position w:val="0"/>
          <w:sz w:val="20"/>
          <w:u w:val="none"/>
          <w:vertAlign w:val="baseline"/>
        </w:rPr>
        <w:t xml:space="preserve">The Supreme Court also mentioned in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that cases might be straightforward if "some jurisdictions actually attempted to enact analogous restrictions during the timeframe, but those proposals were rejected on constitutional grounds." </w:t>
      </w:r>
      <w:bookmarkStart w:id="635" w:name="Bookmark_I6B11G1D2N1RGH0010000400"/>
      <w:bookmarkEnd w:id="635"/>
      <w:hyperlink r:id="rId11" w:history="1">
        <w:r>
          <w:rPr>
            <w:rFonts w:ascii="arial" w:eastAsia="arial" w:hAnsi="arial" w:cs="arial"/>
            <w:b w:val="0"/>
            <w:i/>
            <w:strike w:val="0"/>
            <w:noProof w:val="0"/>
            <w:color w:val="0077CC"/>
            <w:position w:val="0"/>
            <w:sz w:val="20"/>
            <w:u w:val="single"/>
            <w:vertAlign w:val="baseline"/>
          </w:rPr>
          <w:t>142 S. Ct. at 2131</w:t>
        </w:r>
      </w:hyperlink>
      <w:r>
        <w:rPr>
          <w:rFonts w:ascii="arial" w:eastAsia="arial" w:hAnsi="arial" w:cs="arial"/>
          <w:b w:val="0"/>
          <w:i w:val="0"/>
          <w:strike w:val="0"/>
          <w:noProof w:val="0"/>
          <w:color w:val="000000"/>
          <w:position w:val="0"/>
          <w:sz w:val="20"/>
          <w:u w:val="none"/>
          <w:vertAlign w:val="baseline"/>
        </w:rPr>
        <w:t xml:space="preserve">. </w:t>
      </w:r>
      <w:bookmarkStart w:id="636" w:name="Bookmark_I6B11G1D2HM6CP0010000400"/>
      <w:bookmarkEnd w:id="636"/>
      <w:r>
        <w:rPr>
          <w:rFonts w:ascii="arial" w:eastAsia="arial" w:hAnsi="arial" w:cs="arial"/>
          <w:b w:val="0"/>
          <w:i w:val="0"/>
          <w:strike w:val="0"/>
          <w:noProof w:val="0"/>
          <w:color w:val="000000"/>
          <w:position w:val="0"/>
          <w:sz w:val="20"/>
          <w:u w:val="none"/>
          <w:vertAlign w:val="baseline"/>
        </w:rPr>
        <w:t xml:space="preserve">California's evidence shows how difficult it would be to draw any confident conclusions along those lines in this case. For example, some nineteenth century American courts upheld bans on concealed weapons but not weapons carried openly. </w:t>
      </w:r>
      <w:r>
        <w:rPr>
          <w:rFonts w:ascii="arial" w:eastAsia="arial" w:hAnsi="arial" w:cs="arial"/>
          <w:b w:val="0"/>
          <w:i/>
          <w:strike w:val="0"/>
          <w:noProof w:val="0"/>
          <w:color w:val="000000"/>
          <w:position w:val="0"/>
          <w:sz w:val="20"/>
          <w:u w:val="none"/>
          <w:vertAlign w:val="baseline"/>
        </w:rPr>
        <w:t xml:space="preserve">See </w:t>
      </w:r>
      <w:bookmarkStart w:id="637" w:name="Bookmark_I6B11G1D2N1RGH0030000400"/>
      <w:bookmarkEnd w:id="637"/>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2146-47</w:t>
        </w:r>
      </w:hyperlink>
      <w:r>
        <w:rPr>
          <w:rFonts w:ascii="arial" w:eastAsia="arial" w:hAnsi="arial" w:cs="arial"/>
          <w:b w:val="0"/>
          <w:i w:val="0"/>
          <w:strike w:val="0"/>
          <w:noProof w:val="0"/>
          <w:color w:val="000000"/>
          <w:position w:val="0"/>
          <w:sz w:val="20"/>
          <w:u w:val="none"/>
          <w:vertAlign w:val="baseline"/>
        </w:rPr>
        <w:t xml:space="preserve">. </w:t>
      </w:r>
      <w:bookmarkStart w:id="638" w:name="Bookmark_I6B11G1D2HM6CP0010000400_2"/>
      <w:bookmarkEnd w:id="638"/>
      <w:r>
        <w:rPr>
          <w:rFonts w:ascii="arial" w:eastAsia="arial" w:hAnsi="arial" w:cs="arial"/>
          <w:b w:val="0"/>
          <w:i w:val="0"/>
          <w:strike w:val="0"/>
          <w:noProof w:val="0"/>
          <w:color w:val="000000"/>
          <w:position w:val="0"/>
          <w:sz w:val="20"/>
          <w:u w:val="none"/>
          <w:vertAlign w:val="baseline"/>
        </w:rPr>
        <w:t xml:space="preserve">But these decisions rested on the presumption that it was "beyond the constitutional pale in antebellum America to altogether prohibit public carry." </w:t>
      </w:r>
      <w:bookmarkStart w:id="639" w:name="Bookmark_I6B11G1D2N1RGH0050000400"/>
      <w:bookmarkEnd w:id="639"/>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2147</w:t>
        </w:r>
      </w:hyperlink>
      <w:r>
        <w:rPr>
          <w:rFonts w:ascii="arial" w:eastAsia="arial" w:hAnsi="arial" w:cs="arial"/>
          <w:b w:val="0"/>
          <w:i w:val="0"/>
          <w:strike w:val="0"/>
          <w:noProof w:val="0"/>
          <w:color w:val="000000"/>
          <w:position w:val="0"/>
          <w:sz w:val="20"/>
          <w:u w:val="none"/>
          <w:vertAlign w:val="baseline"/>
        </w:rPr>
        <w:t xml:space="preserve"> (citing </w:t>
      </w:r>
      <w:bookmarkStart w:id="640" w:name="Bookmark_I6B11G1D2HM6CP0020000400"/>
      <w:bookmarkEnd w:id="640"/>
      <w:hyperlink r:id="rId112" w:history="1">
        <w:r>
          <w:rPr>
            <w:rFonts w:ascii="arial" w:eastAsia="arial" w:hAnsi="arial" w:cs="arial"/>
            <w:b w:val="0"/>
            <w:i/>
            <w:strike w:val="0"/>
            <w:noProof w:val="0"/>
            <w:color w:val="0077CC"/>
            <w:position w:val="0"/>
            <w:sz w:val="20"/>
            <w:u w:val="single"/>
            <w:vertAlign w:val="baseline"/>
          </w:rPr>
          <w:t>Nunn v. State</w:t>
        </w:r>
      </w:hyperlink>
      <w:hyperlink r:id="rId112" w:history="1">
        <w:r>
          <w:rPr>
            <w:rFonts w:ascii="arial" w:eastAsia="arial" w:hAnsi="arial" w:cs="arial"/>
            <w:b w:val="0"/>
            <w:i/>
            <w:strike w:val="0"/>
            <w:noProof w:val="0"/>
            <w:color w:val="0077CC"/>
            <w:position w:val="0"/>
            <w:sz w:val="20"/>
            <w:u w:val="single"/>
            <w:vertAlign w:val="baseline"/>
          </w:rPr>
          <w:t>, 1 Ga. 243 (1846)</w:t>
        </w:r>
      </w:hyperlink>
      <w:r>
        <w:rPr>
          <w:rFonts w:ascii="arial" w:eastAsia="arial" w:hAnsi="arial" w:cs="arial"/>
          <w:b w:val="0"/>
          <w:i w:val="0"/>
          <w:strike w:val="0"/>
          <w:noProof w:val="0"/>
          <w:color w:val="000000"/>
          <w:position w:val="0"/>
          <w:sz w:val="20"/>
          <w:u w:val="none"/>
          <w:vertAlign w:val="baseline"/>
        </w:rPr>
        <w:t>). Does this mean California could prohibit some forms of public gun carrying but not others? Or that it could prohibit concealed weapons? The answer again is not obvious.</w:t>
      </w:r>
    </w:p>
    <w:p>
      <w:pPr>
        <w:keepNext w:val="0"/>
        <w:spacing w:before="240" w:after="0" w:line="260" w:lineRule="atLeast"/>
        <w:ind w:left="0" w:right="0" w:firstLine="0"/>
        <w:jc w:val="both"/>
      </w:pPr>
      <w:bookmarkStart w:id="641" w:name="Bookmark_para_149"/>
      <w:bookmarkEnd w:id="641"/>
      <w:bookmarkStart w:id="642" w:name="Bookmark_I6B11G1D2HM6CP0050000400"/>
      <w:bookmarkEnd w:id="642"/>
      <w:bookmarkStart w:id="643" w:name="Bookmark_I6B11G1D2N1RGK0020000400"/>
      <w:bookmarkEnd w:id="643"/>
      <w:r>
        <w:rPr>
          <w:rFonts w:ascii="arial" w:eastAsia="arial" w:hAnsi="arial" w:cs="arial"/>
          <w:b w:val="0"/>
          <w:i w:val="0"/>
          <w:strike w:val="0"/>
          <w:noProof w:val="0"/>
          <w:color w:val="000000"/>
          <w:position w:val="0"/>
          <w:sz w:val="20"/>
          <w:u w:val="none"/>
          <w:vertAlign w:val="baseline"/>
        </w:rPr>
        <w:t xml:space="preserve">The court therefore must follow the Supreme Court's instruction to consider (1) "whether modern and historical regulations impose a comparable burden" on those who carry firearms in public for self-defense and (2) "whether that regulatory burden is comparably justified." </w:t>
      </w:r>
      <w:bookmarkStart w:id="644" w:name="Bookmark_I6B11G1D2HM6CP0040000400"/>
      <w:bookmarkEnd w:id="644"/>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2133</w:t>
        </w:r>
      </w:hyperlink>
      <w:r>
        <w:rPr>
          <w:rFonts w:ascii="arial" w:eastAsia="arial" w:hAnsi="arial" w:cs="arial"/>
          <w:b w:val="0"/>
          <w:i w:val="0"/>
          <w:strike w:val="0"/>
          <w:noProof w:val="0"/>
          <w:color w:val="000000"/>
          <w:position w:val="0"/>
          <w:sz w:val="20"/>
          <w:u w:val="none"/>
          <w:vertAlign w:val="baseline"/>
        </w:rPr>
        <w:t>. Or as the Ninth Circuit put the question in its decision on Baird and Gallardo's preliminary</w:t>
      </w:r>
      <w:r>
        <w:rPr>
          <w:rFonts w:ascii="arial" w:eastAsia="arial" w:hAnsi="arial" w:cs="arial"/>
          <w:b/>
          <w:i w:val="0"/>
          <w:strike w:val="0"/>
          <w:noProof w:val="0"/>
          <w:color w:val="000000"/>
          <w:position w:val="0"/>
          <w:sz w:val="20"/>
          <w:u w:val="none"/>
          <w:vertAlign w:val="baseline"/>
        </w:rPr>
        <w:t> [**119] </w:t>
      </w:r>
      <w:r>
        <w:rPr>
          <w:rFonts w:ascii="arial" w:eastAsia="arial" w:hAnsi="arial" w:cs="arial"/>
          <w:b w:val="0"/>
          <w:i w:val="0"/>
          <w:strike w:val="0"/>
          <w:noProof w:val="0"/>
          <w:color w:val="000000"/>
          <w:position w:val="0"/>
          <w:sz w:val="20"/>
          <w:u w:val="none"/>
          <w:vertAlign w:val="baseline"/>
        </w:rPr>
        <w:t xml:space="preserve"> injunction motion, has California identified "a historical analogue that curtails the right to peaceably carry handguns openly for self-defense to a comparable </w:t>
      </w:r>
      <w:r>
        <w:rPr>
          <w:rFonts w:ascii="arial" w:eastAsia="arial" w:hAnsi="arial" w:cs="arial"/>
          <w:b/>
          <w:i w:val="0"/>
          <w:strike w:val="0"/>
          <w:noProof w:val="0"/>
          <w:color w:val="000000"/>
          <w:position w:val="0"/>
          <w:sz w:val="20"/>
          <w:u w:val="none"/>
          <w:vertAlign w:val="baseline"/>
        </w:rPr>
        <w:t> [*1138] </w:t>
      </w:r>
      <w:r>
        <w:rPr>
          <w:rFonts w:ascii="arial" w:eastAsia="arial" w:hAnsi="arial" w:cs="arial"/>
          <w:b w:val="0"/>
          <w:i w:val="0"/>
          <w:strike w:val="0"/>
          <w:noProof w:val="0"/>
          <w:color w:val="000000"/>
          <w:position w:val="0"/>
          <w:sz w:val="20"/>
          <w:u w:val="none"/>
          <w:vertAlign w:val="baseline"/>
        </w:rPr>
        <w:t xml:space="preserve"> degree, with a comparable severity, and with a comparable blanket enforcement"? </w:t>
      </w:r>
      <w:bookmarkStart w:id="645" w:name="Bookmark_I6B11G1D2N1RGK0010000400"/>
      <w:bookmarkEnd w:id="645"/>
      <w:hyperlink r:id="rId35" w:history="1">
        <w:r>
          <w:rPr>
            <w:rFonts w:ascii="arial" w:eastAsia="arial" w:hAnsi="arial" w:cs="arial"/>
            <w:b w:val="0"/>
            <w:i/>
            <w:strike w:val="0"/>
            <w:noProof w:val="0"/>
            <w:color w:val="0077CC"/>
            <w:position w:val="0"/>
            <w:sz w:val="20"/>
            <w:u w:val="single"/>
            <w:vertAlign w:val="baseline"/>
          </w:rPr>
          <w:t>81 F.4th at 1047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46" w:name="Bookmark_para_150"/>
      <w:bookmarkEnd w:id="646"/>
      <w:r>
        <w:rPr>
          <w:rFonts w:ascii="arial" w:eastAsia="arial" w:hAnsi="arial" w:cs="arial"/>
          <w:b w:val="0"/>
          <w:i w:val="0"/>
          <w:strike w:val="0"/>
          <w:noProof w:val="0"/>
          <w:color w:val="000000"/>
          <w:position w:val="0"/>
          <w:sz w:val="20"/>
          <w:u w:val="none"/>
          <w:vertAlign w:val="baseline"/>
        </w:rPr>
        <w:t>In one sense, California's regulation might seem to be the reverse of the historical tradition. Rather than placing heavier restrictions on concealed and concealable weapons, California limits open handgun carrying more strictly than concealed carrying. In context, however, the historical regulations on concealed weapons and concealed carrying are analogous to California's modern system.</w:t>
      </w:r>
    </w:p>
    <w:p>
      <w:pPr>
        <w:keepNext w:val="0"/>
        <w:spacing w:before="200" w:after="0" w:line="260" w:lineRule="atLeast"/>
        <w:ind w:left="0" w:right="0" w:firstLine="0"/>
        <w:jc w:val="both"/>
      </w:pPr>
      <w:bookmarkStart w:id="647" w:name="Bookmark_para_151"/>
      <w:bookmarkEnd w:id="647"/>
      <w:r>
        <w:rPr>
          <w:rFonts w:ascii="arial" w:eastAsia="arial" w:hAnsi="arial" w:cs="arial"/>
          <w:b w:val="0"/>
          <w:i w:val="0"/>
          <w:strike w:val="0"/>
          <w:noProof w:val="0"/>
          <w:color w:val="000000"/>
          <w:position w:val="0"/>
          <w:sz w:val="20"/>
          <w:u w:val="none"/>
          <w:vertAlign w:val="baseline"/>
        </w:rPr>
        <w:t xml:space="preserve">As California has shown, for many years before and after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was adopted, American governments placed limits on how people could carry the weapons for self15 defense in public. The only available concealed and concealable weapons, like knives and pocket pistols, were associated with aggression, violence and crime. They often were banned completely. When governments did not ban those weapons, they often required people to carry them openly or in circumstances that telegraphed a lawful intent, such as when traveling in remote areas, and governments still imposed penalties</w:t>
      </w:r>
      <w:r>
        <w:rPr>
          <w:rFonts w:ascii="arial" w:eastAsia="arial" w:hAnsi="arial" w:cs="arial"/>
          <w:b/>
          <w:i w:val="0"/>
          <w:strike w:val="0"/>
          <w:noProof w:val="0"/>
          <w:color w:val="000000"/>
          <w:position w:val="0"/>
          <w:sz w:val="20"/>
          <w:u w:val="none"/>
          <w:vertAlign w:val="baseline"/>
        </w:rPr>
        <w:t> [**120] </w:t>
      </w:r>
      <w:r>
        <w:rPr>
          <w:rFonts w:ascii="arial" w:eastAsia="arial" w:hAnsi="arial" w:cs="arial"/>
          <w:b w:val="0"/>
          <w:i w:val="0"/>
          <w:strike w:val="0"/>
          <w:noProof w:val="0"/>
          <w:color w:val="000000"/>
          <w:position w:val="0"/>
          <w:sz w:val="20"/>
          <w:u w:val="none"/>
          <w:vertAlign w:val="baseline"/>
        </w:rPr>
        <w:t xml:space="preserve"> on those who used concealable weapons in ways that by societal norms were intimidating or threatening. Some governments also required people to provide a surety. By contrast, restrictions on weapons commonly used for legitimate purposes, such as muskets and other long guns, were narrower or absent. These weapons could be carried openly because by prevailing norms, doing so communicated no evil intents, no risk of violence, no threat. So, when governments did place restrictions on functional weapons with legitimate uses, those restrictions usually called for some additional indication of unusual danger or evil purpose, such as an assembly of many people or intent to intimidate. In all, historical restrictions depended on public conceptions about the types of weapons and public weapons carrying were threatening, intimidating, risky or otherwise unacceptable.</w:t>
      </w:r>
    </w:p>
    <w:p>
      <w:pPr>
        <w:keepNext w:val="0"/>
        <w:spacing w:before="240" w:after="0" w:line="260" w:lineRule="atLeast"/>
        <w:ind w:left="0" w:right="0" w:firstLine="0"/>
        <w:jc w:val="both"/>
      </w:pPr>
      <w:bookmarkStart w:id="648" w:name="Bookmark_para_152"/>
      <w:bookmarkEnd w:id="648"/>
      <w:r>
        <w:rPr>
          <w:rFonts w:ascii="arial" w:eastAsia="arial" w:hAnsi="arial" w:cs="arial"/>
          <w:b w:val="0"/>
          <w:i w:val="0"/>
          <w:strike w:val="0"/>
          <w:noProof w:val="0"/>
          <w:color w:val="000000"/>
          <w:position w:val="0"/>
          <w:sz w:val="20"/>
          <w:u w:val="none"/>
          <w:vertAlign w:val="baseline"/>
        </w:rPr>
        <w:t xml:space="preserve">These historical conceptions are not an identical match with our own. Presumptions about why people carry concealed and concealable weapons are different now than in the founding and reconstruction eras, as are the weapons themselves. </w:t>
      </w:r>
      <w:bookmarkStart w:id="649" w:name="Bookmark_I6B11G1D2N1RGK0040000400"/>
      <w:bookmarkEnd w:id="649"/>
      <w:r>
        <w:rPr>
          <w:rFonts w:ascii="arial" w:eastAsia="arial" w:hAnsi="arial" w:cs="arial"/>
          <w:b w:val="0"/>
          <w:i w:val="0"/>
          <w:strike w:val="0"/>
          <w:noProof w:val="0"/>
          <w:color w:val="000000"/>
          <w:position w:val="0"/>
          <w:sz w:val="20"/>
          <w:u w:val="none"/>
          <w:vertAlign w:val="baseline"/>
        </w:rPr>
        <w:t>As time passed and technology improved, all firearms, both large and small, could be loaded more</w:t>
      </w:r>
      <w:r>
        <w:rPr>
          <w:rFonts w:ascii="arial" w:eastAsia="arial" w:hAnsi="arial" w:cs="arial"/>
          <w:b/>
          <w:i w:val="0"/>
          <w:strike w:val="0"/>
          <w:noProof w:val="0"/>
          <w:color w:val="000000"/>
          <w:position w:val="0"/>
          <w:sz w:val="20"/>
          <w:u w:val="none"/>
          <w:vertAlign w:val="baseline"/>
        </w:rPr>
        <w:t> [**121] </w:t>
      </w:r>
      <w:r>
        <w:rPr>
          <w:rFonts w:ascii="arial" w:eastAsia="arial" w:hAnsi="arial" w:cs="arial"/>
          <w:b w:val="0"/>
          <w:i w:val="0"/>
          <w:strike w:val="0"/>
          <w:noProof w:val="0"/>
          <w:color w:val="000000"/>
          <w:position w:val="0"/>
          <w:sz w:val="20"/>
          <w:u w:val="none"/>
          <w:vertAlign w:val="baseline"/>
        </w:rPr>
        <w:t xml:space="preserve"> quickly and conveniently, and they could be fired many times before reloading. They were more effective in committing murder, but they also were more effective for self-defense, and many people bought them and carried them for that reason. Today, handguns are "the quintessential self-defense weapon" in the minds of many Americans, </w:t>
      </w:r>
      <w:bookmarkStart w:id="650" w:name="Bookmark_I6B11G1D2N1RGK0030000400"/>
      <w:bookmarkEnd w:id="650"/>
      <w:hyperlink r:id="rId22" w:history="1">
        <w:r>
          <w:rPr>
            <w:rFonts w:ascii="arial" w:eastAsia="arial" w:hAnsi="arial" w:cs="arial"/>
            <w:b w:val="0"/>
            <w:i/>
            <w:strike w:val="0"/>
            <w:noProof w:val="0"/>
            <w:color w:val="0077CC"/>
            <w:position w:val="0"/>
            <w:sz w:val="20"/>
            <w:u w:val="single"/>
            <w:vertAlign w:val="baseline"/>
          </w:rPr>
          <w:t>Heller</w:t>
        </w:r>
      </w:hyperlink>
      <w:hyperlink r:id="rId22" w:history="1">
        <w:r>
          <w:rPr>
            <w:rFonts w:ascii="arial" w:eastAsia="arial" w:hAnsi="arial" w:cs="arial"/>
            <w:b w:val="0"/>
            <w:i/>
            <w:strike w:val="0"/>
            <w:noProof w:val="0"/>
            <w:color w:val="0077CC"/>
            <w:position w:val="0"/>
            <w:sz w:val="20"/>
            <w:u w:val="single"/>
            <w:vertAlign w:val="baseline"/>
          </w:rPr>
          <w:t>, 554 U.S. at 629</w:t>
        </w:r>
      </w:hyperlink>
      <w:r>
        <w:rPr>
          <w:rFonts w:ascii="arial" w:eastAsia="arial" w:hAnsi="arial" w:cs="arial"/>
          <w:b w:val="0"/>
          <w:i w:val="0"/>
          <w:strike w:val="0"/>
          <w:noProof w:val="0"/>
          <w:color w:val="000000"/>
          <w:position w:val="0"/>
          <w:sz w:val="20"/>
          <w:u w:val="none"/>
          <w:vertAlign w:val="baseline"/>
        </w:rPr>
        <w:t>, not the accessories of ruffians and assassins. So modern states, including California, allow people to carry handguns in public even though they can be concealed. Their concealable nature connotes no evil intent; nor does the bearer's decision to conceal them.</w:t>
      </w:r>
    </w:p>
    <w:p>
      <w:pPr>
        <w:keepNext w:val="0"/>
        <w:spacing w:before="200" w:after="0" w:line="260" w:lineRule="atLeast"/>
        <w:ind w:left="0" w:right="0" w:firstLine="0"/>
        <w:jc w:val="both"/>
      </w:pPr>
      <w:bookmarkStart w:id="651" w:name="Bookmark_para_153"/>
      <w:bookmarkEnd w:id="651"/>
      <w:r>
        <w:rPr>
          <w:rFonts w:ascii="arial" w:eastAsia="arial" w:hAnsi="arial" w:cs="arial"/>
          <w:b w:val="0"/>
          <w:i w:val="0"/>
          <w:strike w:val="0"/>
          <w:noProof w:val="0"/>
          <w:color w:val="000000"/>
          <w:position w:val="0"/>
          <w:sz w:val="20"/>
          <w:u w:val="none"/>
          <w:vertAlign w:val="baseline"/>
        </w:rPr>
        <w:t>Appearances and generalizations play a role today, as they did in the past. State and colonial governments did not allow people to carry firearms in ways that intimidated or suggested evil purposes. Brandishing and display prohibitions, laws patterned on the Statute of Northampton, and prohibitions on firearms in large groups are examples from this category. Governments historically adopted different and more specific rules—gunpowder storage requirements and gun discharge rules, for example—in places where guns and their ammunition could cause unusual problems. For similar reasons they permitted travelers</w:t>
      </w:r>
      <w:r>
        <w:rPr>
          <w:rFonts w:ascii="arial" w:eastAsia="arial" w:hAnsi="arial" w:cs="arial"/>
          <w:b/>
          <w:i w:val="0"/>
          <w:strike w:val="0"/>
          <w:noProof w:val="0"/>
          <w:color w:val="000000"/>
          <w:position w:val="0"/>
          <w:sz w:val="20"/>
          <w:u w:val="none"/>
          <w:vertAlign w:val="baseline"/>
        </w:rPr>
        <w:t> [**122] </w:t>
      </w:r>
      <w:r>
        <w:rPr>
          <w:rFonts w:ascii="arial" w:eastAsia="arial" w:hAnsi="arial" w:cs="arial"/>
          <w:b w:val="0"/>
          <w:i w:val="0"/>
          <w:strike w:val="0"/>
          <w:noProof w:val="0"/>
          <w:color w:val="000000"/>
          <w:position w:val="0"/>
          <w:sz w:val="20"/>
          <w:u w:val="none"/>
          <w:vertAlign w:val="baseline"/>
        </w:rPr>
        <w:t xml:space="preserve"> to carry a wider variety of weapons than those who lived in cities. Today, by contrast, the open carrying of firearms by those who are not law enforcement </w:t>
      </w:r>
      <w:r>
        <w:rPr>
          <w:rFonts w:ascii="arial" w:eastAsia="arial" w:hAnsi="arial" w:cs="arial"/>
          <w:b/>
          <w:i w:val="0"/>
          <w:strike w:val="0"/>
          <w:noProof w:val="0"/>
          <w:color w:val="000000"/>
          <w:position w:val="0"/>
          <w:sz w:val="20"/>
          <w:u w:val="none"/>
          <w:vertAlign w:val="baseline"/>
        </w:rPr>
        <w:t> [*1139] </w:t>
      </w:r>
      <w:r>
        <w:rPr>
          <w:rFonts w:ascii="arial" w:eastAsia="arial" w:hAnsi="arial" w:cs="arial"/>
          <w:b w:val="0"/>
          <w:i w:val="0"/>
          <w:strike w:val="0"/>
          <w:noProof w:val="0"/>
          <w:color w:val="000000"/>
          <w:position w:val="0"/>
          <w:sz w:val="20"/>
          <w:u w:val="none"/>
          <w:vertAlign w:val="baseline"/>
        </w:rPr>
        <w:t xml:space="preserve"> officers is threatening or intimidating, especially in more heavily populated places.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hyperlink r:id="rId69" w:history="1">
        <w:r>
          <w:rPr>
            <w:rFonts w:ascii="arial" w:eastAsia="arial" w:hAnsi="arial" w:cs="arial"/>
            <w:b w:val="0"/>
            <w:i/>
            <w:strike w:val="0"/>
            <w:noProof w:val="0"/>
            <w:color w:val="0077CC"/>
            <w:position w:val="0"/>
            <w:sz w:val="20"/>
            <w:u w:val="single"/>
            <w:vertAlign w:val="baseline"/>
          </w:rPr>
          <w:t xml:space="preserve">Blocher (2017), </w:t>
        </w:r>
      </w:hyperlink>
      <w:hyperlink r:id="rId69" w:history="1">
        <w:r>
          <w:rPr>
            <w:rFonts w:ascii="arial" w:eastAsia="arial" w:hAnsi="arial" w:cs="arial"/>
            <w:b w:val="0"/>
            <w:i/>
            <w:strike w:val="0"/>
            <w:noProof w:val="0"/>
            <w:color w:val="0077CC"/>
            <w:position w:val="0"/>
            <w:sz w:val="20"/>
            <w:u w:val="single"/>
            <w:vertAlign w:val="baseline"/>
          </w:rPr>
          <w:t>supra</w:t>
        </w:r>
      </w:hyperlink>
      <w:hyperlink r:id="rId69" w:history="1">
        <w:r>
          <w:rPr>
            <w:rFonts w:ascii="arial" w:eastAsia="arial" w:hAnsi="arial" w:cs="arial"/>
            <w:b w:val="0"/>
            <w:i/>
            <w:strike w:val="0"/>
            <w:noProof w:val="0"/>
            <w:color w:val="0077CC"/>
            <w:position w:val="0"/>
            <w:sz w:val="20"/>
            <w:u w:val="single"/>
            <w:vertAlign w:val="baseline"/>
          </w:rPr>
          <w:t>, at 90-103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Raney Decl. at 9; Rivas Decl. at 19-20; Def.'s Mem. at 18.</w:t>
      </w:r>
    </w:p>
    <w:p>
      <w:pPr>
        <w:keepNext w:val="0"/>
        <w:spacing w:before="200" w:after="0" w:line="260" w:lineRule="atLeast"/>
        <w:ind w:left="0" w:right="0" w:firstLine="0"/>
        <w:jc w:val="both"/>
      </w:pPr>
      <w:bookmarkStart w:id="652" w:name="Bookmark_para_154"/>
      <w:bookmarkEnd w:id="652"/>
      <w:r>
        <w:rPr>
          <w:rFonts w:ascii="arial" w:eastAsia="arial" w:hAnsi="arial" w:cs="arial"/>
          <w:b w:val="0"/>
          <w:i w:val="0"/>
          <w:strike w:val="0"/>
          <w:noProof w:val="0"/>
          <w:color w:val="000000"/>
          <w:position w:val="0"/>
          <w:sz w:val="20"/>
          <w:u w:val="none"/>
          <w:vertAlign w:val="baseline"/>
        </w:rPr>
        <w:t>In sum, California has proven an historical tradition of imposing categorical limits on how guns are carried in public based on categorical cultural and societal expectations, including limits derived from the differences between urban and rural areas. California also has proven the burden of these laws was heavy, including outright bans on specific types of weapons and weapons carrying. California's licensing system is similarly justified by reference to widespread and categorical expectations about what is intimidating, frightening and dangerous.</w:t>
      </w:r>
    </w:p>
    <w:p>
      <w:pPr>
        <w:keepNext w:val="0"/>
        <w:spacing w:before="200" w:after="0" w:line="260" w:lineRule="atLeast"/>
        <w:ind w:left="0" w:right="0" w:firstLine="0"/>
        <w:jc w:val="both"/>
      </w:pPr>
      <w:bookmarkStart w:id="653" w:name="Bookmark_para_155"/>
      <w:bookmarkEnd w:id="653"/>
      <w:bookmarkStart w:id="654" w:name="Bookmark_I6B11G1D2D6NPC0010000400"/>
      <w:bookmarkEnd w:id="654"/>
      <w:r>
        <w:rPr>
          <w:rFonts w:ascii="arial" w:eastAsia="arial" w:hAnsi="arial" w:cs="arial"/>
          <w:b w:val="0"/>
          <w:i w:val="0"/>
          <w:strike w:val="0"/>
          <w:noProof w:val="0"/>
          <w:color w:val="000000"/>
          <w:position w:val="0"/>
          <w:sz w:val="20"/>
          <w:u w:val="none"/>
          <w:vertAlign w:val="baseline"/>
        </w:rPr>
        <w:t xml:space="preserve">This is not to say California has identified a historical "twin" for its challenged regulation. </w:t>
      </w:r>
      <w:bookmarkStart w:id="655" w:name="Bookmark_I6B11G1D2N1RGK0050000400"/>
      <w:bookmarkEnd w:id="655"/>
      <w:hyperlink r:id="rId11" w:history="1">
        <w:r>
          <w:rPr>
            <w:rFonts w:ascii="arial" w:eastAsia="arial" w:hAnsi="arial" w:cs="arial"/>
            <w:b w:val="0"/>
            <w:i/>
            <w:strike w:val="0"/>
            <w:noProof w:val="0"/>
            <w:color w:val="0077CC"/>
            <w:position w:val="0"/>
            <w:sz w:val="20"/>
            <w:u w:val="single"/>
            <w:vertAlign w:val="baseline"/>
          </w:rPr>
          <w:t>Bruen</w:t>
        </w:r>
      </w:hyperlink>
      <w:hyperlink r:id="rId11" w:history="1">
        <w:r>
          <w:rPr>
            <w:rFonts w:ascii="arial" w:eastAsia="arial" w:hAnsi="arial" w:cs="arial"/>
            <w:b w:val="0"/>
            <w:i/>
            <w:strike w:val="0"/>
            <w:noProof w:val="0"/>
            <w:color w:val="0077CC"/>
            <w:position w:val="0"/>
            <w:sz w:val="20"/>
            <w:u w:val="single"/>
            <w:vertAlign w:val="baseline"/>
          </w:rPr>
          <w:t>, 142 S. Ct. at 2133</w:t>
        </w:r>
      </w:hyperlink>
      <w:r>
        <w:rPr>
          <w:rFonts w:ascii="arial" w:eastAsia="arial" w:hAnsi="arial" w:cs="arial"/>
          <w:b w:val="0"/>
          <w:i w:val="0"/>
          <w:strike w:val="0"/>
          <w:noProof w:val="0"/>
          <w:color w:val="000000"/>
          <w:position w:val="0"/>
          <w:sz w:val="20"/>
          <w:u w:val="none"/>
          <w:vertAlign w:val="baseline"/>
        </w:rPr>
        <w:t xml:space="preserve">. There is no twin, no "dead ringer."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California's licensing system serves a similar purpose as historical restrictions on how people could carry firearms in public, and it imposes a similar or lesser burden: now as in the</w:t>
      </w:r>
      <w:r>
        <w:rPr>
          <w:rFonts w:ascii="arial" w:eastAsia="arial" w:hAnsi="arial" w:cs="arial"/>
          <w:b/>
          <w:i w:val="0"/>
          <w:strike w:val="0"/>
          <w:noProof w:val="0"/>
          <w:color w:val="000000"/>
          <w:position w:val="0"/>
          <w:sz w:val="20"/>
          <w:u w:val="none"/>
          <w:vertAlign w:val="baseline"/>
        </w:rPr>
        <w:t> [**123] </w:t>
      </w:r>
      <w:r>
        <w:rPr>
          <w:rFonts w:ascii="arial" w:eastAsia="arial" w:hAnsi="arial" w:cs="arial"/>
          <w:b w:val="0"/>
          <w:i w:val="0"/>
          <w:strike w:val="0"/>
          <w:noProof w:val="0"/>
          <w:color w:val="000000"/>
          <w:position w:val="0"/>
          <w:sz w:val="20"/>
          <w:u w:val="none"/>
          <w:vertAlign w:val="baseline"/>
        </w:rPr>
        <w:t xml:space="preserve"> founding era, "ordinary, law-biding citizens" in California can carry arms in public for self-defense without fearing criminal prosecution, and they can do it anywhere in the state. Now, as in the founding era, the government imposes restrictions on how people carry those weapons, and those restrictions are categorical and based on widely accepted societal norms. People can carry handguns publicly anywhere in California for self-defense if they obtain a permit and if they conceal their weapon. With a permit, they can also carry their handguns openly in counties with lower populations, and they can carry weapons openly in emergencies, even without a permit, such as when it is necessary to protect life or property. In a few words, California does not prevent "ordinary, law-abiding citizens" from carrying handguns in public for self-defense.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5. Baird and Gallardo have not refuted the state's evidence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56" w:name="Bookmark_para_156"/>
      <w:bookmarkEnd w:id="656"/>
      <w:bookmarkStart w:id="657" w:name="Bookmark_I6B11G1D2D6NPC0030000400"/>
      <w:bookmarkEnd w:id="657"/>
      <w:r>
        <w:rPr>
          <w:rFonts w:ascii="arial" w:eastAsia="arial" w:hAnsi="arial" w:cs="arial"/>
          <w:b w:val="0"/>
          <w:i w:val="0"/>
          <w:strike w:val="0"/>
          <w:noProof w:val="0"/>
          <w:color w:val="000000"/>
          <w:position w:val="0"/>
          <w:sz w:val="20"/>
          <w:u w:val="none"/>
          <w:vertAlign w:val="baseline"/>
        </w:rPr>
        <w:t xml:space="preserve">Baird and Gallardo argue California cannot constitutionally require them to carry handguns in a specific way, namely concealed. </w:t>
      </w:r>
      <w:bookmarkStart w:id="658" w:name="Bookmark_I6B11G1D2D6NPC0050000400"/>
      <w:bookmarkEnd w:id="658"/>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Pls.' Reply at 2-3. </w:t>
      </w:r>
      <w:bookmarkStart w:id="659" w:name="Bookmark_I6B11G1D28T44M0020000400"/>
      <w:bookmarkEnd w:id="659"/>
      <w:r>
        <w:rPr>
          <w:rFonts w:ascii="arial" w:eastAsia="arial" w:hAnsi="arial" w:cs="arial"/>
          <w:b w:val="0"/>
          <w:i w:val="0"/>
          <w:strike w:val="0"/>
          <w:noProof w:val="0"/>
          <w:color w:val="000000"/>
          <w:position w:val="0"/>
          <w:sz w:val="20"/>
          <w:u w:val="none"/>
          <w:vertAlign w:val="baseline"/>
        </w:rPr>
        <w:t>This contention is unpersuasive for the simple reason that American governments have imposed restrictions on how people carry guns</w:t>
      </w:r>
      <w:r>
        <w:rPr>
          <w:rFonts w:ascii="arial" w:eastAsia="arial" w:hAnsi="arial" w:cs="arial"/>
          <w:b/>
          <w:i w:val="0"/>
          <w:strike w:val="0"/>
          <w:noProof w:val="0"/>
          <w:color w:val="000000"/>
          <w:position w:val="0"/>
          <w:sz w:val="20"/>
          <w:u w:val="none"/>
          <w:vertAlign w:val="baseline"/>
        </w:rPr>
        <w:t> [**124] </w:t>
      </w:r>
      <w:r>
        <w:rPr>
          <w:rFonts w:ascii="arial" w:eastAsia="arial" w:hAnsi="arial" w:cs="arial"/>
          <w:b w:val="0"/>
          <w:i w:val="0"/>
          <w:strike w:val="0"/>
          <w:noProof w:val="0"/>
          <w:color w:val="000000"/>
          <w:position w:val="0"/>
          <w:sz w:val="20"/>
          <w:u w:val="none"/>
          <w:vertAlign w:val="baseline"/>
        </w:rPr>
        <w:t xml:space="preserve"> since the founding era, as the Supreme Court has twice held. </w:t>
      </w:r>
      <w:r>
        <w:rPr>
          <w:rFonts w:ascii="arial" w:eastAsia="arial" w:hAnsi="arial" w:cs="arial"/>
          <w:b w:val="0"/>
          <w:i/>
          <w:strike w:val="0"/>
          <w:noProof w:val="0"/>
          <w:color w:val="000000"/>
          <w:position w:val="0"/>
          <w:sz w:val="20"/>
          <w:u w:val="none"/>
          <w:vertAlign w:val="baseline"/>
        </w:rPr>
        <w:t xml:space="preserve">See </w:t>
      </w:r>
      <w:bookmarkStart w:id="660" w:name="Bookmark_I6B11G1D2D6NPC0020000400"/>
      <w:bookmarkEnd w:id="660"/>
      <w:hyperlink r:id="rId11" w:history="1">
        <w:r>
          <w:rPr>
            <w:rFonts w:ascii="arial" w:eastAsia="arial" w:hAnsi="arial" w:cs="arial"/>
            <w:b w:val="0"/>
            <w:i/>
            <w:strike w:val="0"/>
            <w:noProof w:val="0"/>
            <w:color w:val="0077CC"/>
            <w:position w:val="0"/>
            <w:sz w:val="20"/>
            <w:u w:val="single"/>
            <w:vertAlign w:val="baseline"/>
          </w:rPr>
          <w:t>Bruen</w:t>
        </w:r>
      </w:hyperlink>
      <w:hyperlink r:id="rId11" w:history="1">
        <w:r>
          <w:rPr>
            <w:rFonts w:ascii="arial" w:eastAsia="arial" w:hAnsi="arial" w:cs="arial"/>
            <w:b w:val="0"/>
            <w:i/>
            <w:strike w:val="0"/>
            <w:noProof w:val="0"/>
            <w:color w:val="0077CC"/>
            <w:position w:val="0"/>
            <w:sz w:val="20"/>
            <w:u w:val="single"/>
            <w:vertAlign w:val="baseline"/>
          </w:rPr>
          <w:t>, 142 S. Ct. at 2156</w:t>
        </w:r>
      </w:hyperlink>
      <w:r>
        <w:rPr>
          <w:rFonts w:ascii="arial" w:eastAsia="arial" w:hAnsi="arial" w:cs="arial"/>
          <w:b w:val="0"/>
          <w:i w:val="0"/>
          <w:strike w:val="0"/>
          <w:noProof w:val="0"/>
          <w:color w:val="000000"/>
          <w:position w:val="0"/>
          <w:sz w:val="20"/>
          <w:u w:val="none"/>
          <w:vertAlign w:val="baseline"/>
        </w:rPr>
        <w:t xml:space="preserve">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guaranteed to 'all Americans' the right to bear commonly used arms in public subject to certain reasonable, well-defined restrictions, . . . for example, . . . </w:t>
      </w:r>
      <w:bookmarkStart w:id="661" w:name="Bookmark_I6B11G1D28T44M0020000400_2"/>
      <w:bookmarkEnd w:id="661"/>
      <w:bookmarkStart w:id="662" w:name="Bookmark_I6B11G1D2D6NPC0050000400_2"/>
      <w:bookmarkEnd w:id="662"/>
      <w:r>
        <w:rPr>
          <w:rFonts w:ascii="arial" w:eastAsia="arial" w:hAnsi="arial" w:cs="arial"/>
          <w:b w:val="0"/>
          <w:i w:val="0"/>
          <w:strike w:val="0"/>
          <w:noProof w:val="0"/>
          <w:color w:val="000000"/>
          <w:position w:val="0"/>
          <w:sz w:val="20"/>
          <w:u w:val="none"/>
          <w:vertAlign w:val="baseline"/>
        </w:rPr>
        <w:t xml:space="preserve">[restrictions on] the manner by which one carried arms, or the exceptional circumstances under which one could not carry arms . . . ."); </w:t>
      </w:r>
      <w:bookmarkStart w:id="663" w:name="Bookmark_I6B11G1D2D6NPC0040000400"/>
      <w:bookmarkEnd w:id="663"/>
      <w:hyperlink r:id="rId22" w:history="1">
        <w:r>
          <w:rPr>
            <w:rFonts w:ascii="arial" w:eastAsia="arial" w:hAnsi="arial" w:cs="arial"/>
            <w:b w:val="0"/>
            <w:i/>
            <w:strike w:val="0"/>
            <w:noProof w:val="0"/>
            <w:color w:val="0077CC"/>
            <w:position w:val="0"/>
            <w:sz w:val="20"/>
            <w:u w:val="single"/>
            <w:vertAlign w:val="baseline"/>
          </w:rPr>
          <w:t>Heller</w:t>
        </w:r>
      </w:hyperlink>
      <w:hyperlink r:id="rId22" w:history="1">
        <w:r>
          <w:rPr>
            <w:rFonts w:ascii="arial" w:eastAsia="arial" w:hAnsi="arial" w:cs="arial"/>
            <w:b w:val="0"/>
            <w:i/>
            <w:strike w:val="0"/>
            <w:noProof w:val="0"/>
            <w:color w:val="0077CC"/>
            <w:position w:val="0"/>
            <w:sz w:val="20"/>
            <w:u w:val="single"/>
            <w:vertAlign w:val="baseline"/>
          </w:rPr>
          <w:t>, 554 U.S. at 626</w:t>
        </w:r>
      </w:hyperlink>
      <w:r>
        <w:rPr>
          <w:rFonts w:ascii="arial" w:eastAsia="arial" w:hAnsi="arial" w:cs="arial"/>
          <w:b w:val="0"/>
          <w:i w:val="0"/>
          <w:strike w:val="0"/>
          <w:noProof w:val="0"/>
          <w:color w:val="000000"/>
          <w:position w:val="0"/>
          <w:sz w:val="20"/>
          <w:u w:val="none"/>
          <w:vertAlign w:val="baseline"/>
        </w:rPr>
        <w:t xml:space="preserve"> ("[T]he majority of the 19th-century courts to consider the question held that prohibitions on carrying concealed weapons were lawful under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or state analogues"). The Supreme Court did not hold otherwise when it referred in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 xml:space="preserve"> to its previous definition of "bear" as including carrying a gun "in a pocket."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664" w:name="Bookmark_I6B11G1D28T44M0010000400"/>
      <w:bookmarkEnd w:id="664"/>
      <w:hyperlink r:id="rId22" w:history="1">
        <w:r>
          <w:rPr>
            <w:rFonts w:ascii="arial" w:eastAsia="arial" w:hAnsi="arial" w:cs="arial"/>
            <w:b w:val="0"/>
            <w:i/>
            <w:strike w:val="0"/>
            <w:noProof w:val="0"/>
            <w:color w:val="0077CC"/>
            <w:position w:val="0"/>
            <w:sz w:val="20"/>
            <w:u w:val="single"/>
            <w:vertAlign w:val="baseline"/>
          </w:rPr>
          <w:t>554 U.S. at 583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Pls.' Reply at 3. </w:t>
      </w:r>
      <w:bookmarkStart w:id="665" w:name="Bookmark_I6B11G1D28T44M0040000400"/>
      <w:bookmarkEnd w:id="665"/>
      <w:r>
        <w:rPr>
          <w:rFonts w:ascii="arial" w:eastAsia="arial" w:hAnsi="arial" w:cs="arial"/>
          <w:b w:val="0"/>
          <w:i w:val="0"/>
          <w:strike w:val="0"/>
          <w:noProof w:val="0"/>
          <w:color w:val="000000"/>
          <w:position w:val="0"/>
          <w:sz w:val="20"/>
          <w:u w:val="none"/>
          <w:vertAlign w:val="baseline"/>
        </w:rPr>
        <w:t xml:space="preserve">The Court was offering examples, not listing requirements. It was asking, in other words, whether a person would be "bearing" a weapon if he were carrying it in his pocket. The answer was "yes."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666" w:name="Bookmark_I6B11G1D28T44M0030000400"/>
      <w:bookmarkEnd w:id="666"/>
      <w:hyperlink r:id="rId22" w:history="1">
        <w:r>
          <w:rPr>
            <w:rFonts w:ascii="arial" w:eastAsia="arial" w:hAnsi="arial" w:cs="arial"/>
            <w:b w:val="0"/>
            <w:i/>
            <w:strike w:val="0"/>
            <w:noProof w:val="0"/>
            <w:color w:val="0077CC"/>
            <w:position w:val="0"/>
            <w:sz w:val="20"/>
            <w:u w:val="single"/>
            <w:vertAlign w:val="baseline"/>
          </w:rPr>
          <w:t>544 U.S. at 583-84</w:t>
        </w:r>
      </w:hyperlink>
      <w:r>
        <w:rPr>
          <w:rFonts w:ascii="arial" w:eastAsia="arial" w:hAnsi="arial" w:cs="arial"/>
          <w:b w:val="0"/>
          <w:i w:val="0"/>
          <w:strike w:val="0"/>
          <w:noProof w:val="0"/>
          <w:color w:val="000000"/>
          <w:position w:val="0"/>
          <w:sz w:val="20"/>
          <w:u w:val="none"/>
          <w:vertAlign w:val="baseline"/>
        </w:rPr>
        <w:t xml:space="preserve">. It was not asking whether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prohibited any restrictions on carrying arms in pockets.</w:t>
      </w:r>
    </w:p>
    <w:p>
      <w:pPr>
        <w:keepNext w:val="0"/>
        <w:spacing w:before="200" w:after="0" w:line="260" w:lineRule="atLeast"/>
        <w:ind w:left="0" w:right="0" w:firstLine="0"/>
        <w:jc w:val="both"/>
      </w:pPr>
      <w:bookmarkStart w:id="667" w:name="Bookmark_para_157"/>
      <w:bookmarkEnd w:id="667"/>
      <w:r>
        <w:rPr>
          <w:rFonts w:ascii="arial" w:eastAsia="arial" w:hAnsi="arial" w:cs="arial"/>
          <w:b w:val="0"/>
          <w:i w:val="0"/>
          <w:strike w:val="0"/>
          <w:noProof w:val="0"/>
          <w:color w:val="000000"/>
          <w:position w:val="0"/>
          <w:sz w:val="20"/>
          <w:u w:val="none"/>
          <w:vertAlign w:val="baseline"/>
        </w:rPr>
        <w:t xml:space="preserve">Nor can the court agree with Baird and Gallardo's contention that California has deprived people of an effective right to self-defense in public.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Pls.' Reply at 3. Baird and Gallardo</w:t>
      </w:r>
      <w:r>
        <w:rPr>
          <w:rFonts w:ascii="arial" w:eastAsia="arial" w:hAnsi="arial" w:cs="arial"/>
          <w:b/>
          <w:i w:val="0"/>
          <w:strike w:val="0"/>
          <w:noProof w:val="0"/>
          <w:color w:val="000000"/>
          <w:position w:val="0"/>
          <w:sz w:val="20"/>
          <w:u w:val="none"/>
          <w:vertAlign w:val="baseline"/>
        </w:rPr>
        <w:t> [**125] </w:t>
      </w:r>
      <w:r>
        <w:rPr>
          <w:rFonts w:ascii="arial" w:eastAsia="arial" w:hAnsi="arial" w:cs="arial"/>
          <w:b w:val="0"/>
          <w:i w:val="0"/>
          <w:strike w:val="0"/>
          <w:noProof w:val="0"/>
          <w:color w:val="000000"/>
          <w:position w:val="0"/>
          <w:sz w:val="20"/>
          <w:u w:val="none"/>
          <w:vertAlign w:val="baseline"/>
        </w:rPr>
        <w:t xml:space="preserve"> argue some weapons</w:t>
      </w:r>
      <w:r>
        <w:rPr>
          <w:rFonts w:ascii="arial" w:eastAsia="arial" w:hAnsi="arial" w:cs="arial"/>
          <w:b/>
          <w:i w:val="0"/>
          <w:strike w:val="0"/>
          <w:noProof w:val="0"/>
          <w:color w:val="000000"/>
          <w:position w:val="0"/>
          <w:sz w:val="20"/>
          <w:u w:val="none"/>
          <w:vertAlign w:val="baseline"/>
        </w:rPr>
        <w:t> [*1140] </w:t>
      </w:r>
      <w:r>
        <w:rPr>
          <w:rFonts w:ascii="arial" w:eastAsia="arial" w:hAnsi="arial" w:cs="arial"/>
          <w:b w:val="0"/>
          <w:i w:val="0"/>
          <w:strike w:val="0"/>
          <w:noProof w:val="0"/>
          <w:color w:val="000000"/>
          <w:position w:val="0"/>
          <w:sz w:val="20"/>
          <w:u w:val="none"/>
          <w:vertAlign w:val="baseline"/>
        </w:rPr>
        <w:t xml:space="preserve"> might be difficult to conceal in tight clothing, but they do not explain why those who wish to defend themselves with handguns cannot choose not to wear tight clothing, if that is their position. Baird and Gallardo also argue handguns might be difficult to remove quickly from wherever they are concealed, but the record here as well includes no evidence to suggest handguns are ineffective for self-defense when concealed.</w:t>
      </w:r>
    </w:p>
    <w:p>
      <w:pPr>
        <w:keepNext w:val="0"/>
        <w:spacing w:before="240" w:after="0" w:line="260" w:lineRule="atLeast"/>
        <w:ind w:left="0" w:right="0" w:firstLine="0"/>
        <w:jc w:val="both"/>
      </w:pPr>
      <w:bookmarkStart w:id="668" w:name="Bookmark_para_158"/>
      <w:bookmarkEnd w:id="668"/>
      <w:bookmarkStart w:id="669" w:name="Bookmark_I6B11G1D2HM6CT0010000400"/>
      <w:bookmarkEnd w:id="669"/>
      <w:r>
        <w:rPr>
          <w:rFonts w:ascii="arial" w:eastAsia="arial" w:hAnsi="arial" w:cs="arial"/>
          <w:b w:val="0"/>
          <w:i w:val="0"/>
          <w:strike w:val="0"/>
          <w:noProof w:val="0"/>
          <w:color w:val="000000"/>
          <w:position w:val="0"/>
          <w:sz w:val="20"/>
          <w:u w:val="none"/>
          <w:vertAlign w:val="baseline"/>
        </w:rPr>
        <w:t xml:space="preserve">As noted above, Baird and Gallardo cannot prevail by claiming licenses are not actually available. The court dismissed their as-applied challenge and it is no longer part of this case. At the same time, nothing prevents them from arguing in a future case that licenses are practically unavailable or that local officials do not accept or process license applications. The Supreme Court has not "rule[d] out constitutional challenges to shall-issue regimes where, for example, lengthy wait times in processing license applications or exorbitant fees deny ordinary citizens their right to public carry." </w:t>
      </w:r>
      <w:bookmarkStart w:id="670" w:name="Bookmark_I6B11G1D28T44M0050000400"/>
      <w:bookmarkEnd w:id="670"/>
      <w:hyperlink r:id="rId11" w:history="1">
        <w:r>
          <w:rPr>
            <w:rFonts w:ascii="arial" w:eastAsia="arial" w:hAnsi="arial" w:cs="arial"/>
            <w:b w:val="0"/>
            <w:i/>
            <w:strike w:val="0"/>
            <w:noProof w:val="0"/>
            <w:color w:val="0077CC"/>
            <w:position w:val="0"/>
            <w:sz w:val="20"/>
            <w:u w:val="single"/>
            <w:vertAlign w:val="baseline"/>
          </w:rPr>
          <w:t>Bruen</w:t>
        </w:r>
      </w:hyperlink>
      <w:hyperlink r:id="rId11" w:history="1">
        <w:r>
          <w:rPr>
            <w:rFonts w:ascii="arial" w:eastAsia="arial" w:hAnsi="arial" w:cs="arial"/>
            <w:b w:val="0"/>
            <w:i/>
            <w:strike w:val="0"/>
            <w:noProof w:val="0"/>
            <w:color w:val="0077CC"/>
            <w:position w:val="0"/>
            <w:sz w:val="20"/>
            <w:u w:val="single"/>
            <w:vertAlign w:val="baseline"/>
          </w:rPr>
          <w:t>, 142 S. Ct. at 2138 n.9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71" w:name="Bookmark_para_159"/>
      <w:bookmarkEnd w:id="671"/>
      <w:r>
        <w:rPr>
          <w:rFonts w:ascii="arial" w:eastAsia="arial" w:hAnsi="arial" w:cs="arial"/>
          <w:b w:val="0"/>
          <w:i w:val="0"/>
          <w:strike w:val="0"/>
          <w:noProof w:val="0"/>
          <w:color w:val="000000"/>
          <w:position w:val="0"/>
          <w:sz w:val="20"/>
          <w:u w:val="none"/>
          <w:vertAlign w:val="baseline"/>
        </w:rPr>
        <w:t xml:space="preserve">Finally, Baird and Gallardo and their expert contend California has cited irrelevant statutes from long before and long after the time the </w:t>
      </w:r>
      <w:hyperlink r:id="rId10"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was adopted or</w:t>
      </w:r>
      <w:r>
        <w:rPr>
          <w:rFonts w:ascii="arial" w:eastAsia="arial" w:hAnsi="arial" w:cs="arial"/>
          <w:b/>
          <w:i w:val="0"/>
          <w:strike w:val="0"/>
          <w:noProof w:val="0"/>
          <w:color w:val="000000"/>
          <w:position w:val="0"/>
          <w:sz w:val="20"/>
          <w:u w:val="none"/>
          <w:vertAlign w:val="baseline"/>
        </w:rPr>
        <w:t> [**126] </w:t>
      </w:r>
      <w:r>
        <w:rPr>
          <w:rFonts w:ascii="arial" w:eastAsia="arial" w:hAnsi="arial" w:cs="arial"/>
          <w:b w:val="0"/>
          <w:i w:val="0"/>
          <w:strike w:val="0"/>
          <w:noProof w:val="0"/>
          <w:color w:val="000000"/>
          <w:position w:val="0"/>
          <w:sz w:val="20"/>
          <w:u w:val="none"/>
          <w:vertAlign w:val="baseline"/>
        </w:rPr>
        <w:t xml:space="preserve"> have misinterpreted the evidence.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Pls.' Mem. at 11-20; Cramer Decl., </w:t>
      </w:r>
      <w:r>
        <w:rPr>
          <w:rFonts w:ascii="arial" w:eastAsia="arial" w:hAnsi="arial" w:cs="arial"/>
          <w:b w:val="0"/>
          <w:i/>
          <w:strike w:val="0"/>
          <w:noProof w:val="0"/>
          <w:color w:val="000000"/>
          <w:position w:val="0"/>
          <w:sz w:val="20"/>
          <w:u w:val="none"/>
          <w:vertAlign w:val="baseline"/>
        </w:rPr>
        <w:t>passim</w:t>
      </w:r>
      <w:r>
        <w:rPr>
          <w:rFonts w:ascii="arial" w:eastAsia="arial" w:hAnsi="arial" w:cs="arial"/>
          <w:b w:val="0"/>
          <w:i w:val="0"/>
          <w:strike w:val="0"/>
          <w:noProof w:val="0"/>
          <w:color w:val="000000"/>
          <w:position w:val="0"/>
          <w:sz w:val="20"/>
          <w:u w:val="none"/>
          <w:vertAlign w:val="baseline"/>
        </w:rPr>
        <w:t xml:space="preserve">. The court disagrees that California's evidence is irrelevant, for the reasons above. The court has reviewed Cramer's declaration and his criticisms of the opinions of California's retained experts, finds them poorly reasoned and suggesting a lack of true expertise. For example, he digresses into an irrelevant discussion of the role of mental illness in firearms violence, Cramer Decl. at 55-58; criticizes Rivas for citing a newspaper and implies the newspaper does not exist, but the newspaper's archives are available in a digital database,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Rivas Surrebuttal at 15-16; and levels hyperbolic attacks sounding in partisan politics rather than historical expertise,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Cramer Decl. at 58 ("Of course, California's politicians would rather focus on guns rather than ask how deinstitutionalization in the 1960s created cities awash in homeless often mentally ill drug addicts, sidewalks with discarded hypodermic needles and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feces and random acts of mass murder."). The court finds in contrast, the responses of Rivas, Spitzer, and Cornell to Cramer's criticisms are measured, persuasive and thorough.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Rivas</w:t>
      </w:r>
      <w:r>
        <w:rPr>
          <w:rFonts w:ascii="arial" w:eastAsia="arial" w:hAnsi="arial" w:cs="arial"/>
          <w:b/>
          <w:i w:val="0"/>
          <w:strike w:val="0"/>
          <w:noProof w:val="0"/>
          <w:color w:val="000000"/>
          <w:position w:val="0"/>
          <w:sz w:val="20"/>
          <w:u w:val="none"/>
          <w:vertAlign w:val="baseline"/>
        </w:rPr>
        <w:t> [**127] </w:t>
      </w:r>
      <w:r>
        <w:rPr>
          <w:rFonts w:ascii="arial" w:eastAsia="arial" w:hAnsi="arial" w:cs="arial"/>
          <w:b w:val="0"/>
          <w:i w:val="0"/>
          <w:strike w:val="0"/>
          <w:noProof w:val="0"/>
          <w:color w:val="000000"/>
          <w:position w:val="0"/>
          <w:sz w:val="20"/>
          <w:u w:val="none"/>
          <w:vertAlign w:val="baseline"/>
        </w:rPr>
        <w:t xml:space="preserve"> Surrebuttal, ECF No. 98-4; Spitzer Surrebuttal, ECF No. 98-5; Cornell Surrebuttal, ECF No. 98-6. Baird and Gallardo have not rebutted the state's substantial showing, which satisfies its burden.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 CONCLUSION</w:t>
      </w:r>
    </w:p>
    <w:p>
      <w:pPr>
        <w:keepNext w:val="0"/>
        <w:spacing w:before="200" w:after="0" w:line="260" w:lineRule="atLeast"/>
        <w:ind w:left="0" w:right="0" w:firstLine="0"/>
        <w:jc w:val="both"/>
      </w:pPr>
      <w:bookmarkStart w:id="672" w:name="Bookmark_para_160"/>
      <w:bookmarkEnd w:id="672"/>
      <w:r>
        <w:rPr>
          <w:rFonts w:ascii="arial" w:eastAsia="arial" w:hAnsi="arial" w:cs="arial"/>
          <w:b w:val="0"/>
          <w:i w:val="0"/>
          <w:strike w:val="0"/>
          <w:noProof w:val="0"/>
          <w:color w:val="000000"/>
          <w:position w:val="0"/>
          <w:sz w:val="20"/>
          <w:u w:val="none"/>
          <w:vertAlign w:val="baseline"/>
        </w:rPr>
        <w:t xml:space="preserve">California's motion for summary judgment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Baird and Gallardo's motion for summary judgment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73" w:name="Bookmark_para_161"/>
      <w:bookmarkEnd w:id="673"/>
      <w:r>
        <w:rPr>
          <w:rFonts w:ascii="arial" w:eastAsia="arial" w:hAnsi="arial" w:cs="arial"/>
          <w:b w:val="0"/>
          <w:i w:val="0"/>
          <w:strike w:val="0"/>
          <w:noProof w:val="0"/>
          <w:color w:val="000000"/>
          <w:position w:val="0"/>
          <w:sz w:val="20"/>
          <w:u w:val="none"/>
          <w:vertAlign w:val="baseline"/>
        </w:rPr>
        <w:t xml:space="preserve">Because California is entitled to judgment as a matter of law, Baird and Gallardo's motion for a preliminary injunction is </w:t>
      </w:r>
      <w:r>
        <w:rPr>
          <w:rFonts w:ascii="arial" w:eastAsia="arial" w:hAnsi="arial" w:cs="arial"/>
          <w:b/>
          <w:i w:val="0"/>
          <w:strike w:val="0"/>
          <w:noProof w:val="0"/>
          <w:color w:val="000000"/>
          <w:position w:val="0"/>
          <w:sz w:val="20"/>
          <w:u w:val="none"/>
          <w:vertAlign w:val="baseline"/>
        </w:rPr>
        <w:t>denied as moot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74" w:name="Bookmark_para_162"/>
      <w:bookmarkEnd w:id="674"/>
      <w:r>
        <w:rPr>
          <w:rFonts w:ascii="arial" w:eastAsia="arial" w:hAnsi="arial" w:cs="arial"/>
          <w:b w:val="0"/>
          <w:i w:val="0"/>
          <w:strike w:val="0"/>
          <w:noProof w:val="0"/>
          <w:color w:val="000000"/>
          <w:position w:val="0"/>
          <w:sz w:val="20"/>
          <w:u w:val="none"/>
          <w:vertAlign w:val="baseline"/>
        </w:rPr>
        <w:t xml:space="preserve">This order resolves ECF Nos. 65, 90 and 96 and </w:t>
      </w:r>
      <w:r>
        <w:rPr>
          <w:rFonts w:ascii="arial" w:eastAsia="arial" w:hAnsi="arial" w:cs="arial"/>
          <w:b/>
          <w:i w:val="0"/>
          <w:strike w:val="0"/>
          <w:noProof w:val="0"/>
          <w:color w:val="000000"/>
          <w:position w:val="0"/>
          <w:sz w:val="20"/>
          <w:u w:val="none"/>
          <w:vertAlign w:val="baseline"/>
        </w:rPr>
        <w:t>closes</w:t>
      </w:r>
      <w:r>
        <w:rPr>
          <w:rFonts w:ascii="arial" w:eastAsia="arial" w:hAnsi="arial" w:cs="arial"/>
          <w:b w:val="0"/>
          <w:i w:val="0"/>
          <w:strike w:val="0"/>
          <w:noProof w:val="0"/>
          <w:color w:val="000000"/>
          <w:position w:val="0"/>
          <w:sz w:val="20"/>
          <w:u w:val="none"/>
          <w:vertAlign w:val="baseline"/>
        </w:rPr>
        <w:t xml:space="preserve"> the case.</w:t>
      </w:r>
    </w:p>
    <w:p>
      <w:pPr>
        <w:keepNext w:val="0"/>
        <w:spacing w:before="200" w:after="0" w:line="260" w:lineRule="atLeast"/>
        <w:ind w:left="0" w:right="0" w:firstLine="0"/>
        <w:jc w:val="both"/>
      </w:pPr>
      <w:bookmarkStart w:id="675" w:name="Bookmark_para_163"/>
      <w:bookmarkEnd w:id="675"/>
      <w:r>
        <w:rPr>
          <w:rFonts w:ascii="arial" w:eastAsia="arial" w:hAnsi="arial" w:cs="arial"/>
          <w:b w:val="0"/>
          <w:i w:val="0"/>
          <w:strike w:val="0"/>
          <w:noProof w:val="0"/>
          <w:color w:val="000000"/>
          <w:position w:val="0"/>
          <w:sz w:val="20"/>
          <w:u w:val="none"/>
          <w:vertAlign w:val="baseline"/>
        </w:rPr>
        <w:t>IT IS SO ORDERED.</w:t>
      </w:r>
    </w:p>
    <w:p>
      <w:pPr>
        <w:keepNext w:val="0"/>
        <w:spacing w:before="200" w:after="0" w:line="260" w:lineRule="atLeast"/>
        <w:ind w:left="0" w:right="0" w:firstLine="0"/>
        <w:jc w:val="both"/>
      </w:pPr>
      <w:bookmarkStart w:id="676" w:name="Bookmark_para_164"/>
      <w:bookmarkEnd w:id="676"/>
      <w:r>
        <w:rPr>
          <w:rFonts w:ascii="arial" w:eastAsia="arial" w:hAnsi="arial" w:cs="arial"/>
          <w:b w:val="0"/>
          <w:i w:val="0"/>
          <w:strike w:val="0"/>
          <w:noProof w:val="0"/>
          <w:color w:val="000000"/>
          <w:position w:val="0"/>
          <w:sz w:val="20"/>
          <w:u w:val="none"/>
          <w:vertAlign w:val="baseline"/>
        </w:rPr>
        <w:t>DATED: December 28, 2023.</w:t>
      </w:r>
    </w:p>
    <w:p>
      <w:pPr>
        <w:keepNext w:val="0"/>
        <w:spacing w:before="200" w:after="0" w:line="260" w:lineRule="atLeast"/>
        <w:ind w:left="0" w:right="0" w:firstLine="0"/>
        <w:jc w:val="both"/>
      </w:pPr>
      <w:bookmarkStart w:id="677" w:name="Bookmark_para_165"/>
      <w:bookmarkEnd w:id="677"/>
      <w:r>
        <w:rPr>
          <w:rFonts w:ascii="arial" w:eastAsia="arial" w:hAnsi="arial" w:cs="arial"/>
          <w:b w:val="0"/>
          <w:i w:val="0"/>
          <w:strike w:val="0"/>
          <w:noProof w:val="0"/>
          <w:color w:val="000000"/>
          <w:position w:val="0"/>
          <w:sz w:val="20"/>
          <w:u w:val="none"/>
          <w:vertAlign w:val="baseline"/>
        </w:rPr>
        <w:t>/s/ Kimberly J. Mueller</w:t>
      </w:r>
    </w:p>
    <w:p>
      <w:pPr>
        <w:keepNext w:val="0"/>
        <w:spacing w:before="200" w:after="0" w:line="260" w:lineRule="atLeast"/>
        <w:ind w:left="0" w:right="0" w:firstLine="0"/>
        <w:jc w:val="both"/>
      </w:pPr>
      <w:bookmarkStart w:id="678" w:name="Bookmark_para_166"/>
      <w:bookmarkEnd w:id="678"/>
      <w:r>
        <w:rPr>
          <w:rFonts w:ascii="arial" w:eastAsia="arial" w:hAnsi="arial" w:cs="arial"/>
          <w:b w:val="0"/>
          <w:i w:val="0"/>
          <w:strike w:val="0"/>
          <w:noProof w:val="0"/>
          <w:color w:val="000000"/>
          <w:position w:val="0"/>
          <w:sz w:val="20"/>
          <w:u w:val="none"/>
          <w:vertAlign w:val="baseline"/>
        </w:rPr>
        <w:t>CHIEF 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2" w:name="Bookmark_fnpara_1"/>
      <w:bookmarkEnd w:id="22"/>
      <w:r>
        <w:rPr>
          <w:rFonts w:ascii="arial" w:eastAsia="arial" w:hAnsi="arial" w:cs="arial"/>
          <w:b w:val="0"/>
          <w:i w:val="0"/>
          <w:strike w:val="0"/>
          <w:noProof w:val="0"/>
          <w:color w:val="000000"/>
          <w:position w:val="0"/>
          <w:sz w:val="18"/>
          <w:u w:val="none"/>
          <w:vertAlign w:val="baseline"/>
        </w:rPr>
        <w:t>https://oag.ca.gov/system/files/media/legal-alert-oag-2022-02.pdf (last visited Dec. 27, 2022).</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4" w:name="Bookmark_fnpara_2"/>
      <w:bookmarkEnd w:id="24"/>
      <w:r>
        <w:rPr>
          <w:rFonts w:ascii="arial" w:eastAsia="arial" w:hAnsi="arial" w:cs="arial"/>
          <w:b w:val="0"/>
          <w:i w:val="0"/>
          <w:strike w:val="0"/>
          <w:noProof w:val="0"/>
          <w:color w:val="000000"/>
          <w:position w:val="0"/>
          <w:sz w:val="18"/>
          <w:u w:val="none"/>
          <w:vertAlign w:val="baseline"/>
        </w:rPr>
        <w:t xml:space="preserve">The Governor of California also recently approved a series of changes to the state's firearms regulations, including some that changed the state's licensing requirements. For example, one new law replaced the "good moral character" requirement with a defined list of circumstances in which people are "disqualified" from receiving a license.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2023 Cal. Legs. Serv. Ch. 249 § 10 (S.B. 2) (amending </w:t>
      </w:r>
      <w:hyperlink r:id="rId1" w:history="1">
        <w:r>
          <w:rPr>
            <w:rFonts w:ascii="arial" w:eastAsia="arial" w:hAnsi="arial" w:cs="arial"/>
            <w:b w:val="0"/>
            <w:i/>
            <w:strike w:val="0"/>
            <w:noProof w:val="0"/>
            <w:color w:val="0077CC"/>
            <w:position w:val="0"/>
            <w:sz w:val="18"/>
            <w:u w:val="single"/>
            <w:vertAlign w:val="baseline"/>
          </w:rPr>
          <w:t>Penal Code section 26150</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 21</w:t>
        </w:r>
      </w:hyperlink>
      <w:r>
        <w:rPr>
          <w:rFonts w:ascii="arial" w:eastAsia="arial" w:hAnsi="arial" w:cs="arial"/>
          <w:b w:val="0"/>
          <w:i w:val="0"/>
          <w:strike w:val="0"/>
          <w:noProof w:val="0"/>
          <w:color w:val="000000"/>
          <w:position w:val="0"/>
          <w:sz w:val="18"/>
          <w:u w:val="none"/>
          <w:vertAlign w:val="baseline"/>
        </w:rPr>
        <w:t xml:space="preserve"> (adding </w:t>
      </w:r>
      <w:hyperlink r:id="rId3" w:history="1">
        <w:r>
          <w:rPr>
            <w:rFonts w:ascii="arial" w:eastAsia="arial" w:hAnsi="arial" w:cs="arial"/>
            <w:b w:val="0"/>
            <w:i/>
            <w:strike w:val="0"/>
            <w:noProof w:val="0"/>
            <w:color w:val="0077CC"/>
            <w:position w:val="0"/>
            <w:sz w:val="18"/>
            <w:u w:val="single"/>
            <w:vertAlign w:val="baseline"/>
          </w:rPr>
          <w:t>Penal Code section 26202</w:t>
        </w:r>
      </w:hyperlink>
      <w:r>
        <w:rPr>
          <w:rFonts w:ascii="arial" w:eastAsia="arial" w:hAnsi="arial" w:cs="arial"/>
          <w:b w:val="0"/>
          <w:i w:val="0"/>
          <w:strike w:val="0"/>
          <w:noProof w:val="0"/>
          <w:color w:val="000000"/>
          <w:position w:val="0"/>
          <w:sz w:val="18"/>
          <w:u w:val="none"/>
          <w:vertAlign w:val="baseline"/>
        </w:rPr>
        <w:t xml:space="preserve">). People are "disqualified" if they are "reasonably likely to be a danger to self, others, or the community at large" or if they have been convicted of contempt of court, hate crimes, or making criminal threats, and in many other circumstances.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 21</w:t>
        </w:r>
      </w:hyperlink>
      <w:r>
        <w:rPr>
          <w:rFonts w:ascii="arial" w:eastAsia="arial" w:hAnsi="arial" w:cs="arial"/>
          <w:b w:val="0"/>
          <w:i w:val="0"/>
          <w:strike w:val="0"/>
          <w:noProof w:val="0"/>
          <w:color w:val="000000"/>
          <w:position w:val="0"/>
          <w:sz w:val="18"/>
          <w:u w:val="none"/>
          <w:vertAlign w:val="baseline"/>
        </w:rPr>
        <w:t xml:space="preserve"> (adding </w:t>
      </w:r>
      <w:hyperlink r:id="rId3" w:history="1">
        <w:r>
          <w:rPr>
            <w:rFonts w:ascii="arial" w:eastAsia="arial" w:hAnsi="arial" w:cs="arial"/>
            <w:b w:val="0"/>
            <w:i/>
            <w:strike w:val="0"/>
            <w:noProof w:val="0"/>
            <w:color w:val="0077CC"/>
            <w:position w:val="0"/>
            <w:sz w:val="18"/>
            <w:u w:val="single"/>
            <w:vertAlign w:val="baseline"/>
          </w:rPr>
          <w:t>Penal Code section 26202</w:t>
        </w:r>
      </w:hyperlink>
      <w:r>
        <w:rPr>
          <w:rFonts w:ascii="arial" w:eastAsia="arial" w:hAnsi="arial" w:cs="arial"/>
          <w:b w:val="0"/>
          <w:i w:val="0"/>
          <w:strike w:val="0"/>
          <w:noProof w:val="0"/>
          <w:color w:val="000000"/>
          <w:position w:val="0"/>
          <w:sz w:val="18"/>
          <w:u w:val="none"/>
          <w:vertAlign w:val="baseline"/>
        </w:rPr>
        <w:t xml:space="preserve">). Applicants must also be "the recorded owner . . . of the firearm for which the license will be issued" and must be 21 or older.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 10</w:t>
        </w:r>
      </w:hyperlink>
      <w:r>
        <w:rPr>
          <w:rFonts w:ascii="arial" w:eastAsia="arial" w:hAnsi="arial" w:cs="arial"/>
          <w:b w:val="0"/>
          <w:i w:val="0"/>
          <w:strike w:val="0"/>
          <w:noProof w:val="0"/>
          <w:color w:val="000000"/>
          <w:position w:val="0"/>
          <w:sz w:val="18"/>
          <w:u w:val="none"/>
          <w:vertAlign w:val="baseline"/>
        </w:rPr>
        <w:t xml:space="preserve">. These changes were not in effect at the time of the operative complaint,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Def.'s Opp'n at 3, ECF No. 98, and Baird and Gallardo do not challenge them, so the court will not discuss them further in this order.</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6" w:name="Bookmark_fnpara_3"/>
      <w:bookmarkEnd w:id="26"/>
      <w:r>
        <w:rPr>
          <w:rFonts w:ascii="arial" w:eastAsia="arial" w:hAnsi="arial" w:cs="arial"/>
          <w:b w:val="0"/>
          <w:i w:val="0"/>
          <w:strike w:val="0"/>
          <w:noProof w:val="0"/>
          <w:color w:val="000000"/>
          <w:position w:val="0"/>
          <w:sz w:val="18"/>
          <w:u w:val="none"/>
          <w:vertAlign w:val="baseline"/>
        </w:rPr>
        <w:t xml:space="preserve">In ascending order of population, these counties are Alpine, Sierra, Modoc, Mono, Trinity, Mariposa, Inyo, Plumas, Colusa, Del Norte, Glenn County, Lassen, Amador, Siskiyou, Calaveras, Tuolumne, San Benito, Tehama, Lake, Yuba, Mendocino, Sutter, Nevada, Humboldt, Napa, Madera, Imperial, Shasta, and El Dorado counties. </w:t>
      </w:r>
      <w:bookmarkStart w:id="27" w:name="Bookmark_I6B11G0Y28T3XM0020000400"/>
      <w:bookmarkEnd w:id="27"/>
      <w:r>
        <w:rPr>
          <w:rFonts w:ascii="arial" w:eastAsia="arial" w:hAnsi="arial" w:cs="arial"/>
          <w:b w:val="0"/>
          <w:i w:val="0"/>
          <w:strike w:val="0"/>
          <w:noProof w:val="0"/>
          <w:color w:val="000000"/>
          <w:position w:val="0"/>
          <w:sz w:val="18"/>
          <w:u w:val="none"/>
          <w:vertAlign w:val="baseline"/>
        </w:rPr>
        <w:t xml:space="preserve">U.S. Census Bureau, "Annual Estimates of the Resident Population for Counties: April 1, 2020 to July 1, 2022 (CO-EST2022-POP)," https://www.census.gov/data/datasets/time-series/demo/popest/2020s-counties-total.html (last visited Dec. 27, 2023). The court takes judicial notice of these estimates. </w:t>
      </w:r>
      <w:r>
        <w:rPr>
          <w:rFonts w:ascii="arial" w:eastAsia="arial" w:hAnsi="arial" w:cs="arial"/>
          <w:b w:val="0"/>
          <w:i/>
          <w:strike w:val="0"/>
          <w:noProof w:val="0"/>
          <w:color w:val="000000"/>
          <w:position w:val="0"/>
          <w:sz w:val="18"/>
          <w:u w:val="none"/>
          <w:vertAlign w:val="baseline"/>
        </w:rPr>
        <w:t xml:space="preserve">See, e.g., </w:t>
      </w:r>
      <w:bookmarkStart w:id="28" w:name="Bookmark_I6B11G0Y28T3XM0010000400"/>
      <w:bookmarkEnd w:id="28"/>
      <w:hyperlink r:id="rId5" w:history="1">
        <w:r>
          <w:rPr>
            <w:rFonts w:ascii="arial" w:eastAsia="arial" w:hAnsi="arial" w:cs="arial"/>
            <w:b w:val="0"/>
            <w:i/>
            <w:strike w:val="0"/>
            <w:noProof w:val="0"/>
            <w:color w:val="0077CC"/>
            <w:position w:val="0"/>
            <w:sz w:val="18"/>
            <w:u w:val="single"/>
            <w:vertAlign w:val="baseline"/>
          </w:rPr>
          <w:t>United States v. Esquivel</w:t>
        </w:r>
      </w:hyperlink>
      <w:hyperlink r:id="rId5" w:history="1">
        <w:r>
          <w:rPr>
            <w:rFonts w:ascii="arial" w:eastAsia="arial" w:hAnsi="arial" w:cs="arial"/>
            <w:b w:val="0"/>
            <w:i/>
            <w:strike w:val="0"/>
            <w:noProof w:val="0"/>
            <w:color w:val="0077CC"/>
            <w:position w:val="0"/>
            <w:sz w:val="18"/>
            <w:u w:val="single"/>
            <w:vertAlign w:val="baseline"/>
          </w:rPr>
          <w:t>, 88 F.3d 722, 727 (9th Cir. 1996)</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9" w:name="Bookmark_fnpara_4"/>
      <w:bookmarkEnd w:id="29"/>
      <w:r>
        <w:rPr>
          <w:rFonts w:ascii="arial" w:eastAsia="arial" w:hAnsi="arial" w:cs="arial"/>
          <w:b w:val="0"/>
          <w:i w:val="0"/>
          <w:strike w:val="0"/>
          <w:noProof w:val="0"/>
          <w:color w:val="000000"/>
          <w:position w:val="0"/>
          <w:sz w:val="18"/>
          <w:u w:val="none"/>
          <w:vertAlign w:val="baseline"/>
        </w:rPr>
        <w:t xml:space="preserve">In ascending order of population, these counties are Butte, Yolo, Marin County, California, Santa Cruz, Merced, San Luis Obispo, Placer, Monterey, Santa Barbara, Solano, Tulare, Sonoma, Stanislaus, San Mateo, San Joaquin, Ventura, San Francisco, Kern, Fresno, Contra Costa, Sacramento, Alameda, Santa Clara, San Bernardino, Riverside, Orange, San Diego, and Los Angeles counties.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Census Bureau Annual Estimates, </w:t>
      </w:r>
      <w:r>
        <w:rPr>
          <w:rFonts w:ascii="arial" w:eastAsia="arial" w:hAnsi="arial" w:cs="arial"/>
          <w:b w:val="0"/>
          <w:i/>
          <w:strike w:val="0"/>
          <w:noProof w:val="0"/>
          <w:color w:val="000000"/>
          <w:position w:val="0"/>
          <w:sz w:val="18"/>
          <w:u w:val="none"/>
          <w:vertAlign w:val="baseline"/>
        </w:rPr>
        <w:t>supra</w:t>
      </w:r>
      <w:r>
        <w:rPr>
          <w:rFonts w:ascii="arial" w:eastAsia="arial" w:hAnsi="arial" w:cs="arial"/>
          <w:b w:val="0"/>
          <w:i w:val="0"/>
          <w:strike w:val="0"/>
          <w:noProof w:val="0"/>
          <w:color w:val="000000"/>
          <w:position w:val="0"/>
          <w:sz w:val="18"/>
          <w:u w:val="none"/>
          <w:vertAlign w:val="baseline"/>
        </w:rPr>
        <w:t xml:space="preserve"> note 3.</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77" w:name="Bookmark_fnpara_5"/>
      <w:bookmarkEnd w:id="77"/>
      <w:r>
        <w:rPr>
          <w:rFonts w:ascii="arial" w:eastAsia="arial" w:hAnsi="arial" w:cs="arial"/>
          <w:b w:val="0"/>
          <w:i w:val="0"/>
          <w:strike w:val="0"/>
          <w:noProof w:val="0"/>
          <w:color w:val="000000"/>
          <w:position w:val="0"/>
          <w:sz w:val="18"/>
          <w:u w:val="none"/>
          <w:vertAlign w:val="baseline"/>
        </w:rPr>
        <w:t xml:space="preserve">That New York case was distinct from </w:t>
      </w:r>
      <w:r>
        <w:rPr>
          <w:rFonts w:ascii="arial" w:eastAsia="arial" w:hAnsi="arial" w:cs="arial"/>
          <w:b w:val="0"/>
          <w:i/>
          <w:strike w:val="0"/>
          <w:noProof w:val="0"/>
          <w:color w:val="000000"/>
          <w:position w:val="0"/>
          <w:sz w:val="18"/>
          <w:u w:val="none"/>
          <w:vertAlign w:val="baseline"/>
        </w:rPr>
        <w:t>New York Rifle and Pistol Association v. Bruen</w:t>
      </w:r>
      <w:r>
        <w:rPr>
          <w:rFonts w:ascii="arial" w:eastAsia="arial" w:hAnsi="arial" w:cs="arial"/>
          <w:b w:val="0"/>
          <w:i w:val="0"/>
          <w:strike w:val="0"/>
          <w:noProof w:val="0"/>
          <w:color w:val="000000"/>
          <w:position w:val="0"/>
          <w:sz w:val="18"/>
          <w:u w:val="none"/>
          <w:vertAlign w:val="baseline"/>
        </w:rPr>
        <w:t>, No. 20-843, decided later, as explained below.</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35" w:name="Bookmark_fnpara_6"/>
      <w:bookmarkEnd w:id="135"/>
      <w:r>
        <w:rPr>
          <w:rFonts w:ascii="arial" w:eastAsia="arial" w:hAnsi="arial" w:cs="arial"/>
          <w:b w:val="0"/>
          <w:i w:val="0"/>
          <w:strike w:val="0"/>
          <w:noProof w:val="0"/>
          <w:color w:val="000000"/>
          <w:position w:val="0"/>
          <w:sz w:val="18"/>
          <w:u w:val="none"/>
          <w:vertAlign w:val="baseline"/>
        </w:rPr>
        <w:t>When citing materials collected in this request, the court refers for convenience to the numbers in the left-most column of the table in ECF No. 105.</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48" w:name="Bookmark_fnpara_7"/>
      <w:bookmarkEnd w:id="148"/>
      <w:r>
        <w:rPr>
          <w:rFonts w:ascii="arial" w:eastAsia="arial" w:hAnsi="arial" w:cs="arial"/>
          <w:b w:val="0"/>
          <w:i w:val="0"/>
          <w:strike w:val="0"/>
          <w:noProof w:val="0"/>
          <w:color w:val="000000"/>
          <w:position w:val="0"/>
          <w:sz w:val="18"/>
          <w:u w:val="none"/>
          <w:vertAlign w:val="baseline"/>
        </w:rPr>
        <w:t>To avoid confusion, the pages cited in this declaration are those applied by the CM/ECF system at the top right of the page.</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62" w:name="Bookmark_fnpara_8"/>
      <w:bookmarkEnd w:id="162"/>
      <w:r>
        <w:rPr>
          <w:rFonts w:ascii="arial" w:eastAsia="arial" w:hAnsi="arial" w:cs="arial"/>
          <w:b w:val="0"/>
          <w:i w:val="0"/>
          <w:strike w:val="0"/>
          <w:noProof w:val="0"/>
          <w:color w:val="000000"/>
          <w:position w:val="0"/>
          <w:sz w:val="18"/>
          <w:u w:val="none"/>
          <w:vertAlign w:val="baseline"/>
        </w:rPr>
        <w:t>As noted above, the court and the parties clarified at hearing the record discrepancies about Baird's and Gallardo's own handgun permits.</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248" w:name="Bookmark_fnpara_9"/>
      <w:bookmarkEnd w:id="248"/>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Oral Argument Transcript, </w:t>
      </w:r>
      <w:bookmarkStart w:id="249" w:name="Bookmark_I6B11G152HM68V0010000400"/>
      <w:bookmarkEnd w:id="249"/>
      <w:r>
        <w:rPr>
          <w:rFonts w:ascii="arial" w:eastAsia="arial" w:hAnsi="arial" w:cs="arial"/>
          <w:b w:val="0"/>
          <w:i/>
          <w:strike w:val="0"/>
          <w:noProof w:val="0"/>
          <w:color w:val="000000"/>
          <w:position w:val="0"/>
          <w:sz w:val="18"/>
          <w:u w:val="none"/>
          <w:vertAlign w:val="baseline"/>
        </w:rPr>
        <w:t>United States v. Rahimi</w:t>
      </w:r>
      <w:r>
        <w:rPr>
          <w:rFonts w:ascii="arial" w:eastAsia="arial" w:hAnsi="arial" w:cs="arial"/>
          <w:b w:val="0"/>
          <w:i w:val="0"/>
          <w:strike w:val="0"/>
          <w:noProof w:val="0"/>
          <w:color w:val="000000"/>
          <w:position w:val="0"/>
          <w:sz w:val="18"/>
          <w:u w:val="none"/>
          <w:vertAlign w:val="baseline"/>
        </w:rPr>
        <w:t xml:space="preserve">, No. 22-915 (Nov. 7, 2023), </w:t>
      </w:r>
      <w:r>
        <w:rPr>
          <w:rFonts w:ascii="arial" w:eastAsia="arial" w:hAnsi="arial" w:cs="arial"/>
          <w:b w:val="0"/>
          <w:i/>
          <w:strike w:val="0"/>
          <w:noProof w:val="0"/>
          <w:color w:val="000000"/>
          <w:position w:val="0"/>
          <w:sz w:val="18"/>
          <w:u w:val="none"/>
          <w:vertAlign w:val="baseline"/>
        </w:rPr>
        <w:t>available at</w:t>
      </w:r>
      <w:r>
        <w:rPr>
          <w:rFonts w:ascii="arial" w:eastAsia="arial" w:hAnsi="arial" w:cs="arial"/>
          <w:b w:val="0"/>
          <w:i w:val="0"/>
          <w:strike w:val="0"/>
          <w:noProof w:val="0"/>
          <w:color w:val="000000"/>
          <w:position w:val="0"/>
          <w:sz w:val="18"/>
          <w:u w:val="none"/>
          <w:vertAlign w:val="baseline"/>
        </w:rPr>
        <w:t xml:space="preserve"> https://www.supremecourt.gov/oral_arguments/argument_transcripts/2023/22-915_986b.pdf (last visited Dec. 26, 2023).</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306" w:name="Bookmark_fnpara_10"/>
      <w:bookmarkEnd w:id="306"/>
      <w:r>
        <w:rPr>
          <w:rFonts w:ascii="arial" w:eastAsia="arial" w:hAnsi="arial" w:cs="arial"/>
          <w:b w:val="0"/>
          <w:i w:val="0"/>
          <w:strike w:val="0"/>
          <w:noProof w:val="0"/>
          <w:color w:val="000000"/>
          <w:position w:val="0"/>
          <w:sz w:val="18"/>
          <w:u w:val="none"/>
          <w:vertAlign w:val="baseline"/>
        </w:rPr>
        <w:t xml:space="preserve">"On a party's motion or on its own, the court may order the parties to show cause why expert witnesses should not be appointed and may ask the parties to submit nominations. The court may appoint any expert that the parties agree on and any of its own choosing. But the court may only appoint someone who consents to act." </w:t>
      </w:r>
      <w:hyperlink r:id="rId6" w:history="1">
        <w:r>
          <w:rPr>
            <w:rFonts w:ascii="arial" w:eastAsia="arial" w:hAnsi="arial" w:cs="arial"/>
            <w:b w:val="0"/>
            <w:i/>
            <w:strike w:val="0"/>
            <w:noProof w:val="0"/>
            <w:color w:val="0077CC"/>
            <w:position w:val="0"/>
            <w:sz w:val="18"/>
            <w:u w:val="single"/>
            <w:vertAlign w:val="baseline"/>
          </w:rPr>
          <w:t>Fed. R. Evid. 706(a)</w:t>
        </w:r>
      </w:hyperlink>
      <w:r>
        <w:rPr>
          <w:rFonts w:ascii="arial" w:eastAsia="arial" w:hAnsi="arial" w:cs="arial"/>
          <w:b w:val="0"/>
          <w:i w:val="0"/>
          <w:strike w:val="0"/>
          <w:noProof w:val="0"/>
          <w:color w:val="000000"/>
          <w:position w:val="0"/>
          <w:sz w:val="18"/>
          <w:u w:val="none"/>
          <w:vertAlign w:val="baseline"/>
        </w:rPr>
        <w:t>.</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312" w:name="Bookmark_fnpara_11"/>
      <w:bookmarkEnd w:id="312"/>
      <w:r>
        <w:rPr>
          <w:rFonts w:ascii="arial" w:eastAsia="arial" w:hAnsi="arial" w:cs="arial"/>
          <w:b w:val="0"/>
          <w:i w:val="0"/>
          <w:strike w:val="0"/>
          <w:noProof w:val="0"/>
          <w:color w:val="000000"/>
          <w:position w:val="0"/>
          <w:sz w:val="18"/>
          <w:u w:val="none"/>
          <w:vertAlign w:val="baseline"/>
        </w:rPr>
        <w:t xml:space="preserve">As discussed in more detail below, the "standard model" is a term some legal scholars have used to describe an interpretation of the </w:t>
      </w:r>
      <w:hyperlink r:id="rId7" w:history="1">
        <w:r>
          <w:rPr>
            <w:rFonts w:ascii="arial" w:eastAsia="arial" w:hAnsi="arial" w:cs="arial"/>
            <w:b w:val="0"/>
            <w:i/>
            <w:strike w:val="0"/>
            <w:noProof w:val="0"/>
            <w:color w:val="0077CC"/>
            <w:position w:val="0"/>
            <w:sz w:val="18"/>
            <w:u w:val="single"/>
            <w:vertAlign w:val="baseline"/>
          </w:rPr>
          <w:t>Second Amendment</w:t>
        </w:r>
      </w:hyperlink>
      <w:r>
        <w:rPr>
          <w:rFonts w:ascii="arial" w:eastAsia="arial" w:hAnsi="arial" w:cs="arial"/>
          <w:b w:val="0"/>
          <w:i w:val="0"/>
          <w:strike w:val="0"/>
          <w:noProof w:val="0"/>
          <w:color w:val="000000"/>
          <w:position w:val="0"/>
          <w:sz w:val="18"/>
          <w:u w:val="none"/>
          <w:vertAlign w:val="baseline"/>
        </w:rPr>
        <w:t xml:space="preserve"> that protects and individual right to keep and bear arms.</w:t>
      </w:r>
    </w:p>
  </w:footnote>
  <w:footnote w:id="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320" w:name="Bookmark_fnpara_12"/>
      <w:bookmarkEnd w:id="320"/>
      <w:r>
        <w:rPr>
          <w:rFonts w:ascii="arial" w:eastAsia="arial" w:hAnsi="arial" w:cs="arial"/>
          <w:b w:val="0"/>
          <w:i w:val="0"/>
          <w:strike w:val="0"/>
          <w:noProof w:val="0"/>
          <w:color w:val="000000"/>
          <w:position w:val="0"/>
          <w:sz w:val="18"/>
          <w:u w:val="none"/>
          <w:vertAlign w:val="baseline"/>
        </w:rPr>
        <w:t xml:space="preserve">The court takes judicial notice of this declaration, which the state has cited in this case. </w:t>
      </w:r>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State's Resp. Order to Show Cause at 6, ECF No. 87.</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339" w:name="Bookmark_fnpara_13"/>
      <w:bookmarkEnd w:id="339"/>
      <w:r>
        <w:rPr>
          <w:rFonts w:ascii="arial" w:eastAsia="arial" w:hAnsi="arial" w:cs="arial"/>
          <w:b w:val="0"/>
          <w:i w:val="0"/>
          <w:strike w:val="0"/>
          <w:noProof w:val="0"/>
          <w:color w:val="000000"/>
          <w:position w:val="0"/>
          <w:sz w:val="18"/>
          <w:u w:val="none"/>
          <w:vertAlign w:val="baseline"/>
        </w:rPr>
        <w:t xml:space="preserve">As discussed above, courts do have authority to appoint independent experts. </w:t>
      </w:r>
      <w:bookmarkStart w:id="340" w:name="Bookmark_I6B11G172HM69N0030000400"/>
      <w:bookmarkEnd w:id="340"/>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6" w:history="1">
        <w:r>
          <w:rPr>
            <w:rFonts w:ascii="arial" w:eastAsia="arial" w:hAnsi="arial" w:cs="arial"/>
            <w:b w:val="0"/>
            <w:i/>
            <w:strike w:val="0"/>
            <w:noProof w:val="0"/>
            <w:color w:val="0077CC"/>
            <w:position w:val="0"/>
            <w:sz w:val="18"/>
            <w:u w:val="single"/>
            <w:vertAlign w:val="baseline"/>
          </w:rPr>
          <w:t>Fed. R. Evid. 706(a)</w:t>
        </w:r>
      </w:hyperlink>
      <w:r>
        <w:rPr>
          <w:rFonts w:ascii="arial" w:eastAsia="arial" w:hAnsi="arial" w:cs="arial"/>
          <w:b w:val="0"/>
          <w:i w:val="0"/>
          <w:strike w:val="0"/>
          <w:noProof w:val="0"/>
          <w:color w:val="000000"/>
          <w:position w:val="0"/>
          <w:sz w:val="18"/>
          <w:u w:val="none"/>
          <w:vertAlign w:val="baseline"/>
        </w:rPr>
        <w:t xml:space="preserve">. Even though the court here has determined it need not appoint such an expert, doing so may be appropriate in another case if necessary to obtain opinions on how to evaluate confusing and contradictory historical evidence. </w:t>
      </w:r>
      <w:r>
        <w:rPr>
          <w:rFonts w:ascii="arial" w:eastAsia="arial" w:hAnsi="arial" w:cs="arial"/>
          <w:b w:val="0"/>
          <w:i/>
          <w:strike w:val="0"/>
          <w:noProof w:val="0"/>
          <w:color w:val="000000"/>
          <w:position w:val="0"/>
          <w:sz w:val="18"/>
          <w:u w:val="none"/>
          <w:vertAlign w:val="baseline"/>
        </w:rPr>
        <w:t xml:space="preserve">Cf., e.g., </w:t>
      </w:r>
      <w:bookmarkStart w:id="341" w:name="Bookmark_I6B11G172HM69N0020000400"/>
      <w:bookmarkEnd w:id="341"/>
      <w:hyperlink r:id="rId8" w:history="1">
        <w:r>
          <w:rPr>
            <w:rFonts w:ascii="arial" w:eastAsia="arial" w:hAnsi="arial" w:cs="arial"/>
            <w:b w:val="0"/>
            <w:i/>
            <w:strike w:val="0"/>
            <w:noProof w:val="0"/>
            <w:color w:val="0077CC"/>
            <w:position w:val="0"/>
            <w:sz w:val="18"/>
            <w:u w:val="single"/>
            <w:vertAlign w:val="baseline"/>
          </w:rPr>
          <w:t>Walker v. Am. Home Shield Long Term Disability Plan</w:t>
        </w:r>
      </w:hyperlink>
      <w:hyperlink r:id="rId8" w:history="1">
        <w:r>
          <w:rPr>
            <w:rFonts w:ascii="arial" w:eastAsia="arial" w:hAnsi="arial" w:cs="arial"/>
            <w:b w:val="0"/>
            <w:i/>
            <w:strike w:val="0"/>
            <w:noProof w:val="0"/>
            <w:color w:val="0077CC"/>
            <w:position w:val="0"/>
            <w:sz w:val="18"/>
            <w:u w:val="single"/>
            <w:vertAlign w:val="baseline"/>
          </w:rPr>
          <w:t>, 180 F.3d 1065, 1071 (9th Cir. 1999)</w:t>
        </w:r>
      </w:hyperlink>
      <w:r>
        <w:rPr>
          <w:rFonts w:ascii="arial" w:eastAsia="arial" w:hAnsi="arial" w:cs="arial"/>
          <w:b w:val="0"/>
          <w:i w:val="0"/>
          <w:strike w:val="0"/>
          <w:noProof w:val="0"/>
          <w:color w:val="000000"/>
          <w:position w:val="0"/>
          <w:sz w:val="18"/>
          <w:u w:val="none"/>
          <w:vertAlign w:val="baseline"/>
        </w:rPr>
        <w:t xml:space="preserve"> (affirming appointment of independent expert "to assist the court in evaluating contradictory evidence" in medical dispute).</w:t>
      </w:r>
    </w:p>
  </w:footnote>
  <w:footnote w:id="1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355" w:name="Bookmark_fnpara_14"/>
      <w:bookmarkEnd w:id="355"/>
      <w:r>
        <w:rPr>
          <w:rFonts w:ascii="arial" w:eastAsia="arial" w:hAnsi="arial" w:cs="arial"/>
          <w:b w:val="0"/>
          <w:i w:val="0"/>
          <w:strike w:val="0"/>
          <w:noProof w:val="0"/>
          <w:color w:val="000000"/>
          <w:position w:val="0"/>
          <w:sz w:val="18"/>
          <w:u w:val="none"/>
          <w:vertAlign w:val="baseline"/>
        </w:rPr>
        <w:t>https://aggressivehistorian.com/2021/12/01/gun-control-texas-style/ (last visited Dec. 28, 2023).</w:t>
      </w:r>
    </w:p>
  </w:footnote>
  <w:footnote w:id="1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356" w:name="Bookmark_fnpara_15"/>
      <w:bookmarkEnd w:id="356"/>
      <w:r>
        <w:rPr>
          <w:rFonts w:ascii="arial" w:eastAsia="arial" w:hAnsi="arial" w:cs="arial"/>
          <w:b w:val="0"/>
          <w:i w:val="0"/>
          <w:strike w:val="0"/>
          <w:noProof w:val="0"/>
          <w:color w:val="000000"/>
          <w:position w:val="0"/>
          <w:sz w:val="18"/>
          <w:u w:val="none"/>
          <w:vertAlign w:val="baseline"/>
        </w:rPr>
        <w:t>Cramer republished the text of this article on his personal website: http://www.claytoncramer.com/popular/DeathOfAThousandCuts.html (last visited Dec. 28, 2023).</w:t>
      </w:r>
    </w:p>
  </w:footnote>
  <w:footnote w:id="1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357" w:name="Bookmark_fnpara_16"/>
      <w:bookmarkEnd w:id="357"/>
      <w:r>
        <w:rPr>
          <w:rFonts w:ascii="arial" w:eastAsia="arial" w:hAnsi="arial" w:cs="arial"/>
          <w:b w:val="0"/>
          <w:i w:val="0"/>
          <w:strike w:val="0"/>
          <w:noProof w:val="0"/>
          <w:color w:val="000000"/>
          <w:position w:val="0"/>
          <w:sz w:val="18"/>
          <w:u w:val="none"/>
          <w:vertAlign w:val="baseline"/>
        </w:rPr>
        <w:t>http://claytonecramer.blogspot.com/2023/10/miller-v-bonta-sdcal-2023-victory.html (last visited Dec. 28, 2023).</w:t>
      </w:r>
    </w:p>
  </w:footnote>
  <w:footnote w:id="1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374" w:name="Bookmark_fnpara_17"/>
      <w:bookmarkEnd w:id="374"/>
      <w:r>
        <w:rPr>
          <w:rFonts w:ascii="arial" w:eastAsia="arial" w:hAnsi="arial" w:cs="arial"/>
          <w:b w:val="0"/>
          <w:i w:val="0"/>
          <w:strike w:val="0"/>
          <w:noProof w:val="0"/>
          <w:color w:val="000000"/>
          <w:position w:val="0"/>
          <w:sz w:val="18"/>
          <w:u w:val="none"/>
          <w:vertAlign w:val="baseline"/>
        </w:rPr>
        <w:t xml:space="preserve">The Statute of Northampton, discussed further below, was passed in 1328, "shortly after Edward II was deposed by force of arms and his son, Edward III, took the throne." </w:t>
      </w:r>
      <w:bookmarkStart w:id="375" w:name="Bookmark_I6B11G1928T4310030000400"/>
      <w:bookmarkEnd w:id="375"/>
      <w:hyperlink r:id="rId9" w:history="1">
        <w:r>
          <w:rPr>
            <w:rFonts w:ascii="arial" w:eastAsia="arial" w:hAnsi="arial" w:cs="arial"/>
            <w:b w:val="0"/>
            <w:i/>
            <w:strike w:val="0"/>
            <w:noProof w:val="0"/>
            <w:color w:val="0077CC"/>
            <w:position w:val="0"/>
            <w:sz w:val="18"/>
            <w:u w:val="single"/>
            <w:vertAlign w:val="baseline"/>
          </w:rPr>
          <w:t>Bruen</w:t>
        </w:r>
      </w:hyperlink>
      <w:hyperlink r:id="rId9" w:history="1">
        <w:r>
          <w:rPr>
            <w:rFonts w:ascii="arial" w:eastAsia="arial" w:hAnsi="arial" w:cs="arial"/>
            <w:b w:val="0"/>
            <w:i/>
            <w:strike w:val="0"/>
            <w:noProof w:val="0"/>
            <w:color w:val="0077CC"/>
            <w:position w:val="0"/>
            <w:sz w:val="18"/>
            <w:u w:val="single"/>
            <w:vertAlign w:val="baseline"/>
          </w:rPr>
          <w:t>, 142 S. Ct. at 2139</w:t>
        </w:r>
      </w:hyperlink>
      <w:r>
        <w:rPr>
          <w:rFonts w:ascii="arial" w:eastAsia="arial" w:hAnsi="arial" w:cs="arial"/>
          <w:b w:val="0"/>
          <w:i w:val="0"/>
          <w:strike w:val="0"/>
          <w:noProof w:val="0"/>
          <w:color w:val="000000"/>
          <w:position w:val="0"/>
          <w:sz w:val="18"/>
          <w:u w:val="none"/>
          <w:vertAlign w:val="baseline"/>
        </w:rPr>
        <w:t xml:space="preserve">. It imposed restrictions on when and where people could carry arms. </w:t>
      </w:r>
      <w:r>
        <w:rPr>
          <w:rFonts w:ascii="arial" w:eastAsia="arial" w:hAnsi="arial" w:cs="arial"/>
          <w:b w:val="0"/>
          <w:i/>
          <w:strike w:val="0"/>
          <w:noProof w:val="0"/>
          <w:color w:val="000000"/>
          <w:position w:val="0"/>
          <w:sz w:val="18"/>
          <w:u w:val="none"/>
          <w:vertAlign w:val="baseline"/>
        </w:rPr>
        <w:t>See id.</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376" w:name="Bookmark_fnpara_18"/>
      <w:bookmarkEnd w:id="376"/>
      <w:r>
        <w:rPr>
          <w:rFonts w:ascii="arial" w:eastAsia="arial" w:hAnsi="arial" w:cs="arial"/>
          <w:b w:val="0"/>
          <w:i w:val="0"/>
          <w:strike w:val="0"/>
          <w:noProof w:val="0"/>
          <w:color w:val="000000"/>
          <w:position w:val="0"/>
          <w:sz w:val="18"/>
          <w:u w:val="none"/>
          <w:vertAlign w:val="baseline"/>
        </w:rPr>
        <w:t xml:space="preserve">Article VII of the English Declaration of Rights, also discussed further below, was enacted in 1689 in response to the Stuart Kings' efforts to consolidate power in armies and militias. </w:t>
      </w:r>
      <w:r>
        <w:rPr>
          <w:rFonts w:ascii="arial" w:eastAsia="arial" w:hAnsi="arial" w:cs="arial"/>
          <w:b w:val="0"/>
          <w:i/>
          <w:strike w:val="0"/>
          <w:noProof w:val="0"/>
          <w:color w:val="000000"/>
          <w:position w:val="0"/>
          <w:sz w:val="18"/>
          <w:u w:val="none"/>
          <w:vertAlign w:val="baseline"/>
        </w:rPr>
        <w:t xml:space="preserve">See, e.g., </w:t>
      </w:r>
      <w:bookmarkStart w:id="377" w:name="Bookmark_I6B11G1928T4310050000400"/>
      <w:bookmarkEnd w:id="377"/>
      <w:hyperlink r:id="rId10" w:history="1">
        <w:r>
          <w:rPr>
            <w:rFonts w:ascii="arial" w:eastAsia="arial" w:hAnsi="arial" w:cs="arial"/>
            <w:b w:val="0"/>
            <w:i/>
            <w:strike w:val="0"/>
            <w:noProof w:val="0"/>
            <w:color w:val="0077CC"/>
            <w:position w:val="0"/>
            <w:sz w:val="18"/>
            <w:u w:val="single"/>
            <w:vertAlign w:val="baseline"/>
          </w:rPr>
          <w:t>Heller</w:t>
        </w:r>
      </w:hyperlink>
      <w:hyperlink r:id="rId10" w:history="1">
        <w:r>
          <w:rPr>
            <w:rFonts w:ascii="arial" w:eastAsia="arial" w:hAnsi="arial" w:cs="arial"/>
            <w:b w:val="0"/>
            <w:i/>
            <w:strike w:val="0"/>
            <w:noProof w:val="0"/>
            <w:color w:val="0077CC"/>
            <w:position w:val="0"/>
            <w:sz w:val="18"/>
            <w:u w:val="single"/>
            <w:vertAlign w:val="baseline"/>
          </w:rPr>
          <w:t>, 554 U.S. at 592-93</w:t>
        </w:r>
      </w:hyperlink>
      <w:r>
        <w:rPr>
          <w:rFonts w:ascii="arial" w:eastAsia="arial" w:hAnsi="arial" w:cs="arial"/>
          <w:b w:val="0"/>
          <w:i w:val="0"/>
          <w:strike w:val="0"/>
          <w:noProof w:val="0"/>
          <w:color w:val="000000"/>
          <w:position w:val="0"/>
          <w:sz w:val="18"/>
          <w:u w:val="none"/>
          <w:vertAlign w:val="baseline"/>
        </w:rPr>
        <w:t>.</w:t>
      </w:r>
    </w:p>
  </w:footnote>
  <w:footnote w:id="2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380" w:name="Bookmark_fnpara_19"/>
      <w:bookmarkEnd w:id="380"/>
      <w:r>
        <w:rPr>
          <w:rFonts w:ascii="arial" w:eastAsia="arial" w:hAnsi="arial" w:cs="arial"/>
          <w:b w:val="0"/>
          <w:i w:val="0"/>
          <w:strike w:val="0"/>
          <w:noProof w:val="0"/>
          <w:color w:val="000000"/>
          <w:position w:val="0"/>
          <w:sz w:val="18"/>
          <w:u w:val="none"/>
          <w:vertAlign w:val="baseline"/>
        </w:rPr>
        <w:t xml:space="preserve">This is by no means a comprehensive list of those who doubt the validity of the "standard model." Many others have joined with their own critiques. </w:t>
      </w:r>
      <w:r>
        <w:rPr>
          <w:rFonts w:ascii="arial" w:eastAsia="arial" w:hAnsi="arial" w:cs="arial"/>
          <w:b w:val="0"/>
          <w:i/>
          <w:strike w:val="0"/>
          <w:noProof w:val="0"/>
          <w:color w:val="000000"/>
          <w:position w:val="0"/>
          <w:sz w:val="18"/>
          <w:u w:val="none"/>
          <w:vertAlign w:val="baseline"/>
        </w:rPr>
        <w:t>See generally, e.g.</w:t>
      </w:r>
      <w:r>
        <w:rPr>
          <w:rFonts w:ascii="arial" w:eastAsia="arial" w:hAnsi="arial" w:cs="arial"/>
          <w:b w:val="0"/>
          <w:i w:val="0"/>
          <w:strike w:val="0"/>
          <w:noProof w:val="0"/>
          <w:color w:val="000000"/>
          <w:position w:val="0"/>
          <w:sz w:val="18"/>
          <w:u w:val="none"/>
          <w:vertAlign w:val="baseline"/>
        </w:rPr>
        <w:t xml:space="preserve">, Charles (2019), </w:t>
      </w:r>
      <w:r>
        <w:rPr>
          <w:rFonts w:ascii="arial" w:eastAsia="arial" w:hAnsi="arial" w:cs="arial"/>
          <w:b w:val="0"/>
          <w:i/>
          <w:strike w:val="0"/>
          <w:noProof w:val="0"/>
          <w:color w:val="000000"/>
          <w:position w:val="0"/>
          <w:sz w:val="18"/>
          <w:u w:val="none"/>
          <w:vertAlign w:val="baseline"/>
        </w:rPr>
        <w:t>supra</w:t>
      </w:r>
      <w:r>
        <w:rPr>
          <w:rFonts w:ascii="arial" w:eastAsia="arial" w:hAnsi="arial" w:cs="arial"/>
          <w:b w:val="0"/>
          <w:i w:val="0"/>
          <w:strike w:val="0"/>
          <w:noProof w:val="0"/>
          <w:color w:val="000000"/>
          <w:position w:val="0"/>
          <w:sz w:val="18"/>
          <w:u w:val="none"/>
          <w:vertAlign w:val="baseline"/>
        </w:rPr>
        <w:t xml:space="preserve">; Charles (2012), </w:t>
      </w:r>
      <w:r>
        <w:rPr>
          <w:rFonts w:ascii="arial" w:eastAsia="arial" w:hAnsi="arial" w:cs="arial"/>
          <w:b w:val="0"/>
          <w:i/>
          <w:strike w:val="0"/>
          <w:noProof w:val="0"/>
          <w:color w:val="000000"/>
          <w:position w:val="0"/>
          <w:sz w:val="18"/>
          <w:u w:val="none"/>
          <w:vertAlign w:val="baseline"/>
        </w:rPr>
        <w:t>supra</w:t>
      </w:r>
      <w:r>
        <w:rPr>
          <w:rFonts w:ascii="arial" w:eastAsia="arial" w:hAnsi="arial" w:cs="arial"/>
          <w:b w:val="0"/>
          <w:i w:val="0"/>
          <w:strike w:val="0"/>
          <w:noProof w:val="0"/>
          <w:color w:val="000000"/>
          <w:position w:val="0"/>
          <w:sz w:val="18"/>
          <w:u w:val="none"/>
          <w:vertAlign w:val="baseline"/>
        </w:rPr>
        <w:t xml:space="preserve">; Rakove (2000), </w:t>
      </w:r>
      <w:r>
        <w:rPr>
          <w:rFonts w:ascii="arial" w:eastAsia="arial" w:hAnsi="arial" w:cs="arial"/>
          <w:b w:val="0"/>
          <w:i/>
          <w:strike w:val="0"/>
          <w:noProof w:val="0"/>
          <w:color w:val="000000"/>
          <w:position w:val="0"/>
          <w:sz w:val="18"/>
          <w:u w:val="none"/>
          <w:vertAlign w:val="baseline"/>
        </w:rPr>
        <w:t>supra</w:t>
      </w:r>
      <w:r>
        <w:rPr>
          <w:rFonts w:ascii="arial" w:eastAsia="arial" w:hAnsi="arial" w:cs="arial"/>
          <w:b w:val="0"/>
          <w:i w:val="0"/>
          <w:strike w:val="0"/>
          <w:noProof w:val="0"/>
          <w:color w:val="000000"/>
          <w:position w:val="0"/>
          <w:sz w:val="18"/>
          <w:u w:val="none"/>
          <w:vertAlign w:val="baseline"/>
        </w:rPr>
        <w:t xml:space="preserve">; Bogus (2000), </w:t>
      </w:r>
      <w:r>
        <w:rPr>
          <w:rFonts w:ascii="arial" w:eastAsia="arial" w:hAnsi="arial" w:cs="arial"/>
          <w:b w:val="0"/>
          <w:i/>
          <w:strike w:val="0"/>
          <w:noProof w:val="0"/>
          <w:color w:val="000000"/>
          <w:position w:val="0"/>
          <w:sz w:val="18"/>
          <w:u w:val="none"/>
          <w:vertAlign w:val="baseline"/>
        </w:rPr>
        <w:t>supra</w:t>
      </w:r>
      <w:r>
        <w:rPr>
          <w:rFonts w:ascii="arial" w:eastAsia="arial" w:hAnsi="arial" w:cs="arial"/>
          <w:b w:val="0"/>
          <w:i w:val="0"/>
          <w:strike w:val="0"/>
          <w:noProof w:val="0"/>
          <w:color w:val="000000"/>
          <w:position w:val="0"/>
          <w:sz w:val="18"/>
          <w:u w:val="none"/>
          <w:vertAlign w:val="baseline"/>
        </w:rPr>
        <w:t>.</w:t>
      </w:r>
    </w:p>
  </w:footnote>
  <w:footnote w:id="2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391" w:name="Bookmark_fnpara_20"/>
      <w:bookmarkEnd w:id="391"/>
      <w:r>
        <w:rPr>
          <w:rFonts w:ascii="arial" w:eastAsia="arial" w:hAnsi="arial" w:cs="arial"/>
          <w:b w:val="0"/>
          <w:i w:val="0"/>
          <w:strike w:val="0"/>
          <w:noProof w:val="0"/>
          <w:color w:val="000000"/>
          <w:position w:val="0"/>
          <w:sz w:val="18"/>
          <w:u w:val="none"/>
          <w:vertAlign w:val="baseline"/>
        </w:rPr>
        <w:t xml:space="preserve">Cornell's criticisms of the majority's opinion in </w:t>
      </w:r>
      <w:r>
        <w:rPr>
          <w:rFonts w:ascii="arial" w:eastAsia="arial" w:hAnsi="arial" w:cs="arial"/>
          <w:b w:val="0"/>
          <w:i/>
          <w:strike w:val="0"/>
          <w:noProof w:val="0"/>
          <w:color w:val="000000"/>
          <w:position w:val="0"/>
          <w:sz w:val="18"/>
          <w:u w:val="none"/>
          <w:vertAlign w:val="baseline"/>
        </w:rPr>
        <w:t>Bruen</w:t>
      </w:r>
      <w:r>
        <w:rPr>
          <w:rFonts w:ascii="arial" w:eastAsia="arial" w:hAnsi="arial" w:cs="arial"/>
          <w:b w:val="0"/>
          <w:i w:val="0"/>
          <w:strike w:val="0"/>
          <w:noProof w:val="0"/>
          <w:color w:val="000000"/>
          <w:position w:val="0"/>
          <w:sz w:val="18"/>
          <w:u w:val="none"/>
          <w:vertAlign w:val="baseline"/>
        </w:rPr>
        <w:t xml:space="preserve"> are harsh as well. </w:t>
      </w:r>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Saul Cornell, "Cherry-Picked History and Ideology-Driven Outcomes: Bruen's Originalist Distortions," SCOTUSblog (Jun. 27, 2022), https://www.scotusblog.com/2022/06/cherry-picked-history-and-ideology-driven-outcomes-bruens-originalist-distortions/ (last visited Dec. 28, 2023).</w:t>
      </w:r>
    </w:p>
  </w:footnote>
  <w:footnote w:id="2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394" w:name="Bookmark_fnpara_21"/>
      <w:bookmarkEnd w:id="394"/>
      <w:r>
        <w:rPr>
          <w:rFonts w:ascii="arial" w:eastAsia="arial" w:hAnsi="arial" w:cs="arial"/>
          <w:b w:val="0"/>
          <w:i w:val="0"/>
          <w:strike w:val="0"/>
          <w:noProof w:val="0"/>
          <w:color w:val="000000"/>
          <w:position w:val="0"/>
          <w:sz w:val="18"/>
          <w:u w:val="none"/>
          <w:vertAlign w:val="baseline"/>
        </w:rPr>
        <w:t>http://thepanorama.shear.org/2018/08/03/historical-semantics-and-the-meaning-of-the-second-amendment/ (last visited Dec. 28, 2023).</w:t>
      </w:r>
    </w:p>
  </w:footnote>
  <w:footnote w:id="2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395" w:name="Bookmark_fnpara_22"/>
      <w:bookmarkEnd w:id="395"/>
      <w:r>
        <w:rPr>
          <w:rFonts w:ascii="arial" w:eastAsia="arial" w:hAnsi="arial" w:cs="arial"/>
          <w:b w:val="0"/>
          <w:i w:val="0"/>
          <w:strike w:val="0"/>
          <w:noProof w:val="0"/>
          <w:color w:val="000000"/>
          <w:position w:val="0"/>
          <w:sz w:val="18"/>
          <w:u w:val="none"/>
          <w:vertAlign w:val="baseline"/>
        </w:rPr>
        <w:t>https://harvardlawreview.org/blog/2018/08/corpus-linguistics-and-the-second-amendment/ (last visited Dec. 28, 2023).</w:t>
      </w:r>
    </w:p>
  </w:footnote>
  <w:footnote w:id="2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446" w:name="Bookmark_fnpara_23"/>
      <w:bookmarkEnd w:id="446"/>
      <w:r>
        <w:rPr>
          <w:rFonts w:ascii="arial" w:eastAsia="arial" w:hAnsi="arial" w:cs="arial"/>
          <w:b w:val="0"/>
          <w:i w:val="0"/>
          <w:strike w:val="0"/>
          <w:noProof w:val="0"/>
          <w:color w:val="000000"/>
          <w:position w:val="0"/>
          <w:sz w:val="18"/>
          <w:u w:val="none"/>
          <w:vertAlign w:val="baseline"/>
        </w:rPr>
        <w:t xml:space="preserve">The "Sullivan Law" was the predecessor to the modern statute under review in </w:t>
      </w:r>
      <w:r>
        <w:rPr>
          <w:rFonts w:ascii="arial" w:eastAsia="arial" w:hAnsi="arial" w:cs="arial"/>
          <w:b w:val="0"/>
          <w:i/>
          <w:strike w:val="0"/>
          <w:noProof w:val="0"/>
          <w:color w:val="000000"/>
          <w:position w:val="0"/>
          <w:sz w:val="18"/>
          <w:u w:val="none"/>
          <w:vertAlign w:val="baseline"/>
        </w:rPr>
        <w:t xml:space="preserve">Bruen. See </w:t>
      </w:r>
      <w:bookmarkStart w:id="447" w:name="Bookmark_I6B11G192SF7SH0040000400"/>
      <w:bookmarkEnd w:id="447"/>
      <w:hyperlink r:id="rId9" w:history="1">
        <w:r>
          <w:rPr>
            <w:rFonts w:ascii="arial" w:eastAsia="arial" w:hAnsi="arial" w:cs="arial"/>
            <w:b w:val="0"/>
            <w:i/>
            <w:strike w:val="0"/>
            <w:noProof w:val="0"/>
            <w:color w:val="0077CC"/>
            <w:position w:val="0"/>
            <w:sz w:val="18"/>
            <w:u w:val="single"/>
            <w:vertAlign w:val="baseline"/>
          </w:rPr>
          <w:t>id.</w:t>
        </w:r>
      </w:hyperlink>
      <w:hyperlink r:id="rId9" w:history="1">
        <w:r>
          <w:rPr>
            <w:rFonts w:ascii="arial" w:eastAsia="arial" w:hAnsi="arial" w:cs="arial"/>
            <w:b w:val="0"/>
            <w:i/>
            <w:strike w:val="0"/>
            <w:noProof w:val="0"/>
            <w:color w:val="0077CC"/>
            <w:position w:val="0"/>
            <w:sz w:val="18"/>
            <w:u w:val="single"/>
            <w:vertAlign w:val="baseline"/>
          </w:rPr>
          <w:t xml:space="preserve"> at 2122-23</w:t>
        </w:r>
      </w:hyperlink>
      <w:r>
        <w:rPr>
          <w:rFonts w:ascii="arial" w:eastAsia="arial" w:hAnsi="arial" w:cs="arial"/>
          <w:b w:val="0"/>
          <w:i w:val="0"/>
          <w:strike w:val="0"/>
          <w:noProof w:val="0"/>
          <w:color w:val="000000"/>
          <w:position w:val="0"/>
          <w:sz w:val="18"/>
          <w:u w:val="none"/>
          <w:vertAlign w:val="baseline"/>
        </w:rPr>
        <w:t xml:space="preserve"> (majority opinion).</w:t>
      </w:r>
    </w:p>
  </w:footnote>
  <w:footnote w:id="2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491" w:name="Bookmark_fnpara_24"/>
      <w:bookmarkEnd w:id="491"/>
      <w:r>
        <w:rPr>
          <w:rFonts w:ascii="arial" w:eastAsia="arial" w:hAnsi="arial" w:cs="arial"/>
          <w:b w:val="0"/>
          <w:i w:val="0"/>
          <w:strike w:val="0"/>
          <w:noProof w:val="0"/>
          <w:color w:val="000000"/>
          <w:position w:val="0"/>
          <w:sz w:val="18"/>
          <w:u w:val="none"/>
          <w:vertAlign w:val="baseline"/>
        </w:rPr>
        <w:t xml:space="preserve">The Colfax Massacre took place during Reconstruction, in April 1873, when a well-armed white mob slaughtered "between 50 and 150" members of a poorly-armed black militia guarding the Grant Parish Courthouse in Colfax, Louisiana, from which Republicans had been attempting to assert control over the parish. </w:t>
      </w:r>
      <w:r>
        <w:rPr>
          <w:rFonts w:ascii="arial" w:eastAsia="arial" w:hAnsi="arial" w:cs="arial"/>
          <w:b w:val="0"/>
          <w:i/>
          <w:strike w:val="0"/>
          <w:noProof w:val="0"/>
          <w:color w:val="000000"/>
          <w:position w:val="0"/>
          <w:sz w:val="18"/>
          <w:u w:val="none"/>
          <w:vertAlign w:val="baseline"/>
        </w:rPr>
        <w:t>Id.</w:t>
      </w:r>
    </w:p>
  </w:footnote>
  <w:footnote w:id="2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499" w:name="Bookmark_fnpara_25"/>
      <w:bookmarkEnd w:id="499"/>
      <w:r>
        <w:rPr>
          <w:rFonts w:ascii="arial" w:eastAsia="arial" w:hAnsi="arial" w:cs="arial"/>
          <w:b w:val="0"/>
          <w:i w:val="0"/>
          <w:strike w:val="0"/>
          <w:noProof w:val="0"/>
          <w:color w:val="000000"/>
          <w:position w:val="0"/>
          <w:sz w:val="18"/>
          <w:u w:val="none"/>
          <w:vertAlign w:val="baseline"/>
        </w:rPr>
        <w:t>Manuscript available at https://papers.ssrn.com/sol3/papers.cfm?abstract_id=3702696 (last visited Dec. 28, 2023).</w:t>
      </w:r>
    </w:p>
  </w:footnote>
  <w:footnote w:id="2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575" w:name="Bookmark_fnpara_26"/>
      <w:bookmarkEnd w:id="575"/>
      <w:r>
        <w:rPr>
          <w:rFonts w:ascii="arial" w:eastAsia="arial" w:hAnsi="arial" w:cs="arial"/>
          <w:b w:val="0"/>
          <w:i w:val="0"/>
          <w:strike w:val="0"/>
          <w:noProof w:val="0"/>
          <w:color w:val="000000"/>
          <w:position w:val="0"/>
          <w:sz w:val="18"/>
          <w:u w:val="none"/>
          <w:vertAlign w:val="baseline"/>
        </w:rPr>
        <w:t>https://nij.ojp.gov/media/video/24061#transcript--0 (last visited Dec. 28, 2023).</w:t>
      </w:r>
    </w:p>
  </w:footnote>
  <w:footnote w:id="2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620" w:name="Bookmark_fnpara_27"/>
      <w:bookmarkEnd w:id="620"/>
      <w:r>
        <w:rPr>
          <w:rFonts w:ascii="arial" w:eastAsia="arial" w:hAnsi="arial" w:cs="arial"/>
          <w:b w:val="0"/>
          <w:i w:val="0"/>
          <w:strike w:val="0"/>
          <w:noProof w:val="0"/>
          <w:color w:val="000000"/>
          <w:position w:val="0"/>
          <w:sz w:val="18"/>
          <w:u w:val="none"/>
          <w:vertAlign w:val="baseline"/>
        </w:rPr>
        <w:t>https://chroniclingamerica.loc.gov/lccn/sn88061082/1884-05-24/ed-1/seq-1/ (last visited Dec. 28, 2023).</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Baird v. Bonta, 709 F. Supp. 3d 1091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T9R-T352-D6RV-H379-00000-00&amp;context=1519360" TargetMode="External" /><Relationship Id="rId100" Type="http://schemas.openxmlformats.org/officeDocument/2006/relationships/hyperlink" Target="https://advance.lexis.com/api/document?collection=analytical-materials&amp;id=urn:contentItem:65S0-Y1W1-FFFC-B1YS-00000-00&amp;context=1519360" TargetMode="External" /><Relationship Id="rId101" Type="http://schemas.openxmlformats.org/officeDocument/2006/relationships/hyperlink" Target="https://advance.lexis.com/api/document?collection=analytical-materials&amp;id=urn:contentItem:3S41-46Y0-00CV-503G-00000-00&amp;context=1519360" TargetMode="External" /><Relationship Id="rId102" Type="http://schemas.openxmlformats.org/officeDocument/2006/relationships/hyperlink" Target="https://advance.lexis.com/api/document?collection=cases&amp;id=urn:contentItem:3S4X-DHB0-003B-7001-00000-00&amp;context=1519360" TargetMode="External" /><Relationship Id="rId103" Type="http://schemas.openxmlformats.org/officeDocument/2006/relationships/hyperlink" Target="https://advance.lexis.com/api/document?collection=cases&amp;id=urn:contentItem:5VN3-4F61-F7ND-G4BN-00000-00&amp;context=1519360" TargetMode="External" /><Relationship Id="rId104" Type="http://schemas.openxmlformats.org/officeDocument/2006/relationships/hyperlink" Target="https://advance.lexis.com/api/document?collection=cases&amp;id=urn:contentItem:3S4X-F4G0-003B-71S5-00000-00&amp;context=1519360" TargetMode="External" /><Relationship Id="rId105" Type="http://schemas.openxmlformats.org/officeDocument/2006/relationships/hyperlink" Target="https://advance.lexis.com/api/document?collection=cases&amp;id=urn:contentItem:5V09-1XJ1-FFFC-B1RT-00000-00&amp;context=1519360" TargetMode="External" /><Relationship Id="rId106" Type="http://schemas.openxmlformats.org/officeDocument/2006/relationships/hyperlink" Target="https://advance.lexis.com/api/document?collection=analytical-materials&amp;id=urn:contentItem:4XYJ-M4S0-00CV-100B-00000-00&amp;context=1519360" TargetMode="External" /><Relationship Id="rId107" Type="http://schemas.openxmlformats.org/officeDocument/2006/relationships/hyperlink" Target="https://advance.lexis.com/api/document?collection=statutes-legislation&amp;id=urn:contentItem:8T9R-S942-D6RV-H35T-00000-00&amp;context=1519360" TargetMode="External" /><Relationship Id="rId108" Type="http://schemas.openxmlformats.org/officeDocument/2006/relationships/hyperlink" Target="https://advance.lexis.com/api/document?collection=cases&amp;id=urn:contentItem:3Y8C-RCN0-0046-821H-00000-00&amp;context=1519360" TargetMode="External" /><Relationship Id="rId109" Type="http://schemas.openxmlformats.org/officeDocument/2006/relationships/hyperlink" Target="https://advance.lexis.com/api/document?collection=cases&amp;id=urn:contentItem:3X4T-81R0-00KR-D075-00000-00&amp;context=1519360" TargetMode="External" /><Relationship Id="rId11" Type="http://schemas.openxmlformats.org/officeDocument/2006/relationships/hyperlink" Target="https://advance.lexis.com/api/document?collection=cases&amp;id=urn:contentItem:65S3-40F1-F1H1-20MS-00000-00&amp;context=1519360" TargetMode="External" /><Relationship Id="rId110" Type="http://schemas.openxmlformats.org/officeDocument/2006/relationships/hyperlink" Target="https://advance.lexis.com/api/document?collection=cases&amp;id=urn:contentItem:3YVD-DK70-00KR-D1PD-00000-00&amp;context=1519360" TargetMode="External" /><Relationship Id="rId111" Type="http://schemas.openxmlformats.org/officeDocument/2006/relationships/hyperlink" Target="https://advance.lexis.com/api/document?collection=cases&amp;id=urn:contentItem:3XK5-K970-00KR-F457-00000-00&amp;context=1519360" TargetMode="External" /><Relationship Id="rId112" Type="http://schemas.openxmlformats.org/officeDocument/2006/relationships/hyperlink" Target="https://advance.lexis.com/api/document?collection=cases&amp;id=urn:contentItem:3W95-X8D0-00KR-F07D-00000-00&amp;context=1519360" TargetMode="External" /><Relationship Id="rId113" Type="http://schemas.openxmlformats.org/officeDocument/2006/relationships/theme" Target="theme/theme1.xml" /><Relationship Id="rId114" Type="http://schemas.openxmlformats.org/officeDocument/2006/relationships/styles" Target="styles.xml" /><Relationship Id="rId12" Type="http://schemas.openxmlformats.org/officeDocument/2006/relationships/hyperlink" Target="https://advance.lexis.com/api/document?collection=statutes-legislation&amp;id=urn:contentItem:698M-57N3-RSF3-X4KR-00000-00&amp;context=1519360" TargetMode="External" /><Relationship Id="rId13" Type="http://schemas.openxmlformats.org/officeDocument/2006/relationships/hyperlink" Target="https://advance.lexis.com/api/document?collection=statutes-legislation&amp;id=urn:contentItem:5JFB-0WV1-DYB7-W3P9-00000-00&amp;context=1519360" TargetMode="External" /><Relationship Id="rId14" Type="http://schemas.openxmlformats.org/officeDocument/2006/relationships/hyperlink" Target="https://advance.lexis.com/api/document?collection=statutes-legislation&amp;id=urn:contentItem:6980-M6F3-RRNM-R00J-00000-00&amp;context=1519360" TargetMode="External" /><Relationship Id="rId15" Type="http://schemas.openxmlformats.org/officeDocument/2006/relationships/hyperlink" Target="https://advance.lexis.com/api/document?collection=statutes-legislation&amp;id=urn:contentItem:698M-4FC3-RS7W-M2HK-00000-00&amp;context=1519360" TargetMode="External" /><Relationship Id="rId16" Type="http://schemas.openxmlformats.org/officeDocument/2006/relationships/hyperlink" Target="https://advance.lexis.com/api/document?collection=statutes-legislation&amp;id=urn:contentItem:5JFB-0WV1-DYB7-W3MS-00000-00&amp;context=1519360" TargetMode="External" /><Relationship Id="rId17" Type="http://schemas.openxmlformats.org/officeDocument/2006/relationships/hyperlink" Target="https://advance.lexis.com/api/document?collection=statutes-legislation&amp;id=urn:contentItem:8SCK-7C52-D6RV-H11Y-00000-00&amp;context=1519360" TargetMode="External" /><Relationship Id="rId18" Type="http://schemas.openxmlformats.org/officeDocument/2006/relationships/hyperlink" Target="https://advance.lexis.com/api/document?collection=statutes-legislation&amp;id=urn:contentItem:5JFB-0WV1-DYB7-W3N4-00000-00&amp;context=1519360" TargetMode="External" /><Relationship Id="rId19" Type="http://schemas.openxmlformats.org/officeDocument/2006/relationships/hyperlink" Target="https://advance.lexis.com/api/document?collection=cases&amp;id=urn:contentItem:67H4-6HR1-JGPY-X3N8-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696H-4RJ3-S04H-616N-00000-00&amp;context=1519360" TargetMode="External" /><Relationship Id="rId21" Type="http://schemas.openxmlformats.org/officeDocument/2006/relationships/hyperlink" Target="https://advance.lexis.com/api/document?collection=statutes-legislation&amp;id=urn:contentItem:6980-DWS3-RRNK-K0FT-00000-00&amp;context=1519360" TargetMode="External" /><Relationship Id="rId22" Type="http://schemas.openxmlformats.org/officeDocument/2006/relationships/hyperlink" Target="https://advance.lexis.com/api/document?collection=cases&amp;id=urn:contentItem:4SVD-G000-TXFX-11T0-00000-00&amp;context=1519360" TargetMode="External" /><Relationship Id="rId23" Type="http://schemas.openxmlformats.org/officeDocument/2006/relationships/hyperlink" Target="https://advance.lexis.com/api/document?collection=cases&amp;id=urn:contentItem:3S4X-HG60-003B-H2G8-00000-00&amp;context=1519360" TargetMode="External" /><Relationship Id="rId24" Type="http://schemas.openxmlformats.org/officeDocument/2006/relationships/hyperlink" Target="https://advance.lexis.com/api/document?collection=cases&amp;id=urn:contentItem:3S4X-JGG0-003B-H0GG-00000-00&amp;context=1519360" TargetMode="External" /><Relationship Id="rId25" Type="http://schemas.openxmlformats.org/officeDocument/2006/relationships/hyperlink" Target="https://advance.lexis.com/api/document?collection=cases&amp;id=urn:contentItem:7YTJ-1WN0-YB0V-916V-00000-00&amp;context=1519360" TargetMode="External" /><Relationship Id="rId26" Type="http://schemas.openxmlformats.org/officeDocument/2006/relationships/hyperlink" Target="https://advance.lexis.com/api/document?collection=cases&amp;id=urn:contentItem:5BH8-NHY1-F04K-V4YT-00000-00&amp;context=1519360" TargetMode="External" /><Relationship Id="rId27" Type="http://schemas.openxmlformats.org/officeDocument/2006/relationships/hyperlink" Target="https://advance.lexis.com/api/document?collection=cases&amp;id=urn:contentItem:5JYW-TFC1-F04K-V0TJ-00000-00&amp;context=1519360" TargetMode="External" /><Relationship Id="rId28" Type="http://schemas.openxmlformats.org/officeDocument/2006/relationships/hyperlink" Target="https://advance.lexis.com/api/document?collection=cases&amp;id=urn:contentItem:5SW5-7K31-F8KH-X140-00000-00&amp;context=1519360" TargetMode="External" /><Relationship Id="rId29" Type="http://schemas.openxmlformats.org/officeDocument/2006/relationships/hyperlink" Target="https://advance.lexis.com/api/document?collection=cases&amp;id=urn:contentItem:5VCM-3GK1-JXG3-X2C7-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YS8-23J1-JJK6-S30J-00000-00&amp;context=1519360" TargetMode="External" /><Relationship Id="rId31" Type="http://schemas.openxmlformats.org/officeDocument/2006/relationships/hyperlink" Target="https://advance.lexis.com/api/document?collection=cases&amp;id=urn:contentItem:521H-5N81-652R-80P4-00000-00&amp;context=1519360" TargetMode="External" /><Relationship Id="rId32" Type="http://schemas.openxmlformats.org/officeDocument/2006/relationships/hyperlink" Target="https://advance.lexis.com/api/document?collection=cases&amp;id=urn:contentItem:628W-00F1-FJDY-X1DB-00000-00&amp;context=1519360" TargetMode="External" /><Relationship Id="rId33" Type="http://schemas.openxmlformats.org/officeDocument/2006/relationships/hyperlink" Target="https://advance.lexis.com/api/document?collection=cases&amp;id=urn:contentItem:6668-0T81-DY33-B553-00000-00&amp;context=1519360" TargetMode="External" /><Relationship Id="rId34" Type="http://schemas.openxmlformats.org/officeDocument/2006/relationships/hyperlink" Target="https://advance.lexis.com/api/document?collection=cases&amp;id=urn:contentItem:4TX2-8KV0-TXFX-13DV-00000-00&amp;context=1519360" TargetMode="External" /><Relationship Id="rId35" Type="http://schemas.openxmlformats.org/officeDocument/2006/relationships/hyperlink" Target="https://advance.lexis.com/api/document?collection=cases&amp;id=urn:contentItem:6945-0011-F65M-62NB-00000-00&amp;context=1519360" TargetMode="External" /><Relationship Id="rId36" Type="http://schemas.openxmlformats.org/officeDocument/2006/relationships/hyperlink" Target="https://advance.lexis.com/api/document?collection=cases&amp;id=urn:contentItem:671Y-BYX1-JJ1H-X10M-00000-00&amp;context=1519360" TargetMode="External" /><Relationship Id="rId37" Type="http://schemas.openxmlformats.org/officeDocument/2006/relationships/hyperlink" Target="https://advance.lexis.com/api/document?collection=statutes-legislation&amp;id=urn:contentItem:69HM-1N21-DXWW-201D-00009-00&amp;context=1519360" TargetMode="External" /><Relationship Id="rId38" Type="http://schemas.openxmlformats.org/officeDocument/2006/relationships/hyperlink" Target="https://advance.lexis.com/api/document?collection=cases&amp;id=urn:contentItem:5G7R-SR41-F04K-F05M-00000-00&amp;context=1519360" TargetMode="External" /><Relationship Id="rId39" Type="http://schemas.openxmlformats.org/officeDocument/2006/relationships/hyperlink" Target="https://advance.lexis.com/api/document?collection=statutes-legislation&amp;id=urn:contentItem:5GYC-2421-6N19-F165-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6H80-0039-N37M-00000-00&amp;context=1519360" TargetMode="External" /><Relationship Id="rId41" Type="http://schemas.openxmlformats.org/officeDocument/2006/relationships/hyperlink" Target="https://advance.lexis.com/api/document?collection=cases&amp;id=urn:contentItem:3S4X-7P90-0039-N51W-00000-00&amp;context=1519360" TargetMode="External" /><Relationship Id="rId42" Type="http://schemas.openxmlformats.org/officeDocument/2006/relationships/hyperlink" Target="https://advance.lexis.com/api/document?collection=cases&amp;id=urn:contentItem:3S4X-F010-003B-S1XV-00000-00&amp;context=1519360" TargetMode="External" /><Relationship Id="rId43" Type="http://schemas.openxmlformats.org/officeDocument/2006/relationships/hyperlink" Target="https://advance.lexis.com/api/document?collection=cases&amp;id=urn:contentItem:4904-GB30-0038-X0MB-00000-00&amp;context=1519360" TargetMode="External" /><Relationship Id="rId44" Type="http://schemas.openxmlformats.org/officeDocument/2006/relationships/hyperlink" Target="https://advance.lexis.com/api/document?collection=cases&amp;id=urn:contentItem:3S4X-HB50-003B-406B-00000-00&amp;context=1519360" TargetMode="External" /><Relationship Id="rId45" Type="http://schemas.openxmlformats.org/officeDocument/2006/relationships/hyperlink" Target="https://advance.lexis.com/api/document?collection=cases&amp;id=urn:contentItem:4S33-6210-TXFX-1279-00000-00&amp;context=1519360" TargetMode="External" /><Relationship Id="rId46" Type="http://schemas.openxmlformats.org/officeDocument/2006/relationships/hyperlink" Target="https://advance.lexis.com/api/document?collection=cases&amp;id=urn:contentItem:3S4X-9VM0-003B-73N2-00000-00&amp;context=1519360" TargetMode="External" /><Relationship Id="rId47" Type="http://schemas.openxmlformats.org/officeDocument/2006/relationships/hyperlink" Target="https://advance.lexis.com/api/document?collection=cases&amp;id=urn:contentItem:4J2K-B500-004C-001K-00000-00&amp;context=1519360" TargetMode="External" /><Relationship Id="rId48" Type="http://schemas.openxmlformats.org/officeDocument/2006/relationships/hyperlink" Target="https://advance.lexis.com/api/document?collection=cases&amp;id=urn:contentItem:698W-09J1-F1WF-M00V-00000-00&amp;context=1519360" TargetMode="External" /><Relationship Id="rId49" Type="http://schemas.openxmlformats.org/officeDocument/2006/relationships/hyperlink" Target="https://advance.lexis.com/api/document?collection=cases&amp;id=urn:contentItem:68K0-WWH1-JWXF-20C9-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RRS-BYD0-003C-F33S-00000-00&amp;context=1519360" TargetMode="External" /><Relationship Id="rId51" Type="http://schemas.openxmlformats.org/officeDocument/2006/relationships/hyperlink" Target="https://advance.lexis.com/api/document?collection=cases&amp;id=urn:contentItem:68WH-WBD1-F7VM-S25K-00000-00&amp;context=1519360" TargetMode="External" /><Relationship Id="rId52" Type="http://schemas.openxmlformats.org/officeDocument/2006/relationships/hyperlink" Target="https://advance.lexis.com/api/document?collection=cases&amp;id=urn:contentItem:67P0-53H1-JX3N-B22R-00000-00&amp;context=1519360" TargetMode="External" /><Relationship Id="rId53" Type="http://schemas.openxmlformats.org/officeDocument/2006/relationships/hyperlink" Target="https://advance.lexis.com/api/document?collection=statutes-legislation&amp;id=urn:contentItem:6C7N-FD63-RRVR-741R-00000-00&amp;context=1519360" TargetMode="External" /><Relationship Id="rId54" Type="http://schemas.openxmlformats.org/officeDocument/2006/relationships/hyperlink" Target="https://advance.lexis.com/api/document?collection=cases&amp;id=urn:contentItem:68FT-TSH1-JX8W-M319-00000-00&amp;context=1519360" TargetMode="External" /><Relationship Id="rId55" Type="http://schemas.openxmlformats.org/officeDocument/2006/relationships/hyperlink" Target="https://advance.lexis.com/api/document?collection=statutes-legislation&amp;id=urn:contentItem:6D22-5R13-RRKT-63C1-00000-00&amp;context=1519360" TargetMode="External" /><Relationship Id="rId56" Type="http://schemas.openxmlformats.org/officeDocument/2006/relationships/hyperlink" Target="https://advance.lexis.com/api/document?collection=cases&amp;id=urn:contentItem:3S4X-BHH0-003B-7028-00000-00&amp;context=1519360" TargetMode="External" /><Relationship Id="rId57" Type="http://schemas.openxmlformats.org/officeDocument/2006/relationships/hyperlink" Target="https://advance.lexis.com/api/document?collection=cases&amp;id=urn:contentItem:6095-YCT1-DY33-B4MW-00000-00&amp;context=1519360" TargetMode="External" /><Relationship Id="rId58" Type="http://schemas.openxmlformats.org/officeDocument/2006/relationships/hyperlink" Target="https://advance.lexis.com/api/document?collection=cases&amp;id=urn:contentItem:5CHM-88S1-F04K-F07W-00000-00&amp;context=1519360" TargetMode="External" /><Relationship Id="rId59" Type="http://schemas.openxmlformats.org/officeDocument/2006/relationships/hyperlink" Target="https://advance.lexis.com/api/document?collection=statutes-legislation&amp;id=urn:contentItem:8T9R-T5M2-D6RV-H38C-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WC3-6201-F016-S30M-00000-00&amp;context=1519360" TargetMode="External" /><Relationship Id="rId61" Type="http://schemas.openxmlformats.org/officeDocument/2006/relationships/hyperlink" Target="https://advance.lexis.com/api/document?collection=statutes-legislation&amp;id=urn:contentItem:8T9R-T2X2-D6RV-H374-00000-00&amp;context=1519360" TargetMode="External" /><Relationship Id="rId62" Type="http://schemas.openxmlformats.org/officeDocument/2006/relationships/hyperlink" Target="https://advance.lexis.com/api/document?collection=statutes-legislation&amp;id=urn:contentItem:5GYC-2991-FG36-1212-00000-00&amp;context=1519360" TargetMode="External" /><Relationship Id="rId63" Type="http://schemas.openxmlformats.org/officeDocument/2006/relationships/hyperlink" Target="https://advance.lexis.com/api/document?collection=analytical-materials&amp;id=urn:contentItem:3S0M-90K0-00CW-71X6-00000-00&amp;context=1519360" TargetMode="External" /><Relationship Id="rId64" Type="http://schemas.openxmlformats.org/officeDocument/2006/relationships/hyperlink" Target="https://advance.lexis.com/api/document?collection=analytical-materials&amp;id=urn:contentItem:49PX-9730-00CW-70H9-00000-00&amp;context=1519360" TargetMode="External" /><Relationship Id="rId65" Type="http://schemas.openxmlformats.org/officeDocument/2006/relationships/hyperlink" Target="https://advance.lexis.com/api/document?collection=analytical-materials&amp;id=urn:contentItem:3S41-3BY0-00CV-62TN-00000-00&amp;context=1519360" TargetMode="External" /><Relationship Id="rId66" Type="http://schemas.openxmlformats.org/officeDocument/2006/relationships/hyperlink" Target="https://advance.lexis.com/api/document?collection=analytical-materials&amp;id=urn:contentItem:4C29-7660-00CV-601P-00000-00&amp;context=1519360" TargetMode="External" /><Relationship Id="rId67" Type="http://schemas.openxmlformats.org/officeDocument/2006/relationships/hyperlink" Target="https://advance.lexis.com/api/document?collection=analytical-materials&amp;id=urn:contentItem:3S41-59M0-00CV-518T-00000-00&amp;context=1519360" TargetMode="External" /><Relationship Id="rId68" Type="http://schemas.openxmlformats.org/officeDocument/2006/relationships/hyperlink" Target="https://advance.lexis.com/api/document?collection=analytical-materials&amp;id=urn:contentItem:3X70-VHD0-00CV-F03P-00000-00&amp;context=1519360" TargetMode="External" /><Relationship Id="rId69" Type="http://schemas.openxmlformats.org/officeDocument/2006/relationships/hyperlink" Target="https://advance.lexis.com/api/document?collection=analytical-materials&amp;id=urn:contentItem:59PC-CRK0-02BN-10SC-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analytical-materials&amp;id=urn:contentItem:4VK1-8PX0-00CW-011H-00000-00&amp;context=1519360" TargetMode="External" /><Relationship Id="rId71" Type="http://schemas.openxmlformats.org/officeDocument/2006/relationships/hyperlink" Target="https://advance.lexis.com/api/document?collection=analytical-materials&amp;id=urn:contentItem:59JS-4VV0-00CW-40H7-00000-00&amp;context=1519360" TargetMode="External" /><Relationship Id="rId72" Type="http://schemas.openxmlformats.org/officeDocument/2006/relationships/hyperlink" Target="https://advance.lexis.com/api/document?collection=cases&amp;id=urn:contentItem:69S8-SY81-DYFH-X00H-00000-00&amp;context=1519360" TargetMode="External" /><Relationship Id="rId73" Type="http://schemas.openxmlformats.org/officeDocument/2006/relationships/hyperlink" Target="https://advance.lexis.com/api/document?collection=cases&amp;id=urn:contentItem:68K4-43J1-JWXF-2329-00000-00&amp;context=1519360" TargetMode="External" /><Relationship Id="rId74" Type="http://schemas.openxmlformats.org/officeDocument/2006/relationships/hyperlink" Target="https://advance.lexis.com/api/document?collection=cases&amp;id=urn:contentItem:83B7-XDK1-652R-C0T6-00000-00&amp;context=1519360" TargetMode="External" /><Relationship Id="rId75" Type="http://schemas.openxmlformats.org/officeDocument/2006/relationships/hyperlink" Target="https://advance.lexis.com/api/document?collection=statutes-legislation&amp;id=urn:contentItem:8SG9-5HW2-D6RV-H04T-00000-00&amp;context=1519360" TargetMode="External" /><Relationship Id="rId76" Type="http://schemas.openxmlformats.org/officeDocument/2006/relationships/hyperlink" Target="https://advance.lexis.com/api/document?collection=analytical-materials&amp;id=urn:contentItem:5X15-RFC1-JPP5-251V-00000-00&amp;context=1519360" TargetMode="External" /><Relationship Id="rId77" Type="http://schemas.openxmlformats.org/officeDocument/2006/relationships/hyperlink" Target="https://advance.lexis.com/api/document?collection=analytical-materials&amp;id=urn:contentItem:4W5W-MPD0-02BM-Y1MY-00000-00&amp;context=1519360" TargetMode="External" /><Relationship Id="rId78" Type="http://schemas.openxmlformats.org/officeDocument/2006/relationships/hyperlink" Target="https://advance.lexis.com/api/document?collection=cases&amp;id=urn:contentItem:65S9-1N11-JYYX-652W-00000-00&amp;context=1519360" TargetMode="External" /><Relationship Id="rId79" Type="http://schemas.openxmlformats.org/officeDocument/2006/relationships/hyperlink" Target="https://advance.lexis.com/api/document?collection=cases&amp;id=urn:contentItem:4VF0-B990-TXFX-127G-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3S65-KRB0-003B-R07F-00000-00&amp;context=1519360" TargetMode="External" /><Relationship Id="rId81" Type="http://schemas.openxmlformats.org/officeDocument/2006/relationships/hyperlink" Target="https://advance.lexis.com/api/document?collection=analytical-materials&amp;id=urn:contentItem:3S3T-VTP0-00CW-107X-00000-00&amp;context=1519360" TargetMode="External" /><Relationship Id="rId82" Type="http://schemas.openxmlformats.org/officeDocument/2006/relationships/hyperlink" Target="https://advance.lexis.com/api/document?collection=cases&amp;id=urn:contentItem:3S4X-7W50-003B-740X-00000-00&amp;context=1519360" TargetMode="External" /><Relationship Id="rId83" Type="http://schemas.openxmlformats.org/officeDocument/2006/relationships/hyperlink" Target="https://advance.lexis.com/api/document?collection=statutes-legislation&amp;id=urn:contentItem:8T9R-PP62-D6RV-H312-00000-00&amp;context=1519360" TargetMode="External" /><Relationship Id="rId84" Type="http://schemas.openxmlformats.org/officeDocument/2006/relationships/hyperlink" Target="https://advance.lexis.com/api/document?collection=analytical-materials&amp;id=urn:contentItem:4TWV-MTB0-02BM-Y1B5-00000-00&amp;context=1519360" TargetMode="External" /><Relationship Id="rId85" Type="http://schemas.openxmlformats.org/officeDocument/2006/relationships/hyperlink" Target="https://advance.lexis.com/api/document?collection=analytical-materials&amp;id=urn:contentItem:3S41-3TX0-00CV-54N3-00000-00&amp;context=1519360" TargetMode="External" /><Relationship Id="rId86" Type="http://schemas.openxmlformats.org/officeDocument/2006/relationships/hyperlink" Target="https://advance.lexis.com/api/document?collection=analytical-materials&amp;id=urn:contentItem:42G6-F2W0-00CT-S0TX-00000-00&amp;context=1519360" TargetMode="External" /><Relationship Id="rId87" Type="http://schemas.openxmlformats.org/officeDocument/2006/relationships/hyperlink" Target="https://advance.lexis.com/api/document?collection=analytical-materials&amp;id=urn:contentItem:42G6-F2V0-00CT-S0TV-00000-00&amp;context=1519360" TargetMode="External" /><Relationship Id="rId88" Type="http://schemas.openxmlformats.org/officeDocument/2006/relationships/hyperlink" Target="https://advance.lexis.com/api/document?collection=analytical-materials&amp;id=urn:contentItem:42G6-F2T0-00CT-S0TT-00000-00&amp;context=1519360" TargetMode="External" /><Relationship Id="rId89" Type="http://schemas.openxmlformats.org/officeDocument/2006/relationships/hyperlink" Target="https://advance.lexis.com/api/document?collection=analytical-materials&amp;id=urn:contentItem:4DXB-HC90-00CV-60CC-00000-00&amp;context=1519360" TargetMode="External" /><Relationship Id="rId9" Type="http://schemas.openxmlformats.org/officeDocument/2006/relationships/hyperlink" Target="https://advance.lexis.com/api/document?collection=cases&amp;id=urn:contentItem:6B0V-3VJ3-RWCD-K4XY-00000-00&amp;context=1519360" TargetMode="External" /><Relationship Id="rId90" Type="http://schemas.openxmlformats.org/officeDocument/2006/relationships/hyperlink" Target="https://advance.lexis.com/api/document?collection=analytical-materials&amp;id=urn:contentItem:4X0N-H100-02BN-001V-00000-00&amp;context=1519360" TargetMode="External" /><Relationship Id="rId91" Type="http://schemas.openxmlformats.org/officeDocument/2006/relationships/hyperlink" Target="https://advance.lexis.com/api/document?collection=analytical-materials&amp;id=urn:contentItem:5RPX-1720-02BN-10B1-00000-00&amp;context=1519360" TargetMode="External" /><Relationship Id="rId92" Type="http://schemas.openxmlformats.org/officeDocument/2006/relationships/hyperlink" Target="https://advance.lexis.com/api/document?collection=analytical-materials&amp;id=urn:contentItem:5VMV-29G0-00CW-01WJ-00000-00&amp;context=1519360" TargetMode="External" /><Relationship Id="rId93" Type="http://schemas.openxmlformats.org/officeDocument/2006/relationships/hyperlink" Target="https://advance.lexis.com/api/document?collection=cases&amp;id=urn:contentItem:4SJ9-HG30-TXFX-11V3-00000-00&amp;context=1519360" TargetMode="External" /><Relationship Id="rId94" Type="http://schemas.openxmlformats.org/officeDocument/2006/relationships/hyperlink" Target="https://advance.lexis.com/api/document?collection=cases&amp;id=urn:contentItem:3S4X-9JJ0-003B-S3H9-00000-00&amp;context=1519360" TargetMode="External" /><Relationship Id="rId95" Type="http://schemas.openxmlformats.org/officeDocument/2006/relationships/hyperlink" Target="https://advance.lexis.com/api/document?collection=cases&amp;id=urn:contentItem:6915-T7B1-FFMK-M1XC-00000-00&amp;context=1519360" TargetMode="External" /><Relationship Id="rId96" Type="http://schemas.openxmlformats.org/officeDocument/2006/relationships/hyperlink" Target="https://advance.lexis.com/api/document?collection=cases&amp;id=urn:contentItem:69CD-D7B1-K0HK-22SP-00000-00&amp;context=1519360" TargetMode="External" /><Relationship Id="rId97" Type="http://schemas.openxmlformats.org/officeDocument/2006/relationships/hyperlink" Target="https://advance.lexis.com/api/document?collection=cases&amp;id=urn:contentItem:67S9-CX91-F1WF-M1R4-00000-00&amp;context=1519360" TargetMode="External" /><Relationship Id="rId98" Type="http://schemas.openxmlformats.org/officeDocument/2006/relationships/hyperlink" Target="https://advance.lexis.com/api/document?collection=cases&amp;id=urn:contentItem:69TS-4CW1-JK4W-M2WK-00000-00&amp;context=1519360" TargetMode="External" /><Relationship Id="rId99" Type="http://schemas.openxmlformats.org/officeDocument/2006/relationships/hyperlink" Target="https://advance.lexis.com/api/document?collection=cases&amp;id=urn:contentItem:67WM-4BV1-F4GK-M24V-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980-M6F3-RRNM-R00J-00000-00&amp;context=1519360" TargetMode="External" /><Relationship Id="rId10" Type="http://schemas.openxmlformats.org/officeDocument/2006/relationships/hyperlink" Target="https://advance.lexis.com/api/document?collection=cases&amp;id=urn:contentItem:4SVD-G000-TXFX-11T0-00000-00&amp;context=1519360" TargetMode="External" /><Relationship Id="rId2" Type="http://schemas.openxmlformats.org/officeDocument/2006/relationships/hyperlink" Target="https://advance.lexis.com/api/document?collection=statutes-legislation&amp;id=urn:contentItem:5JFB-0P11-DYB7-W2FC-00000-00&amp;context=1519360" TargetMode="External" /><Relationship Id="rId3" Type="http://schemas.openxmlformats.org/officeDocument/2006/relationships/hyperlink" Target="https://advance.lexis.com/api/document?collection=statutes-legislation&amp;id=urn:contentItem:696P-72X3-RRSY-M0JR-00000-00&amp;context=1519360" TargetMode="External" /><Relationship Id="rId4" Type="http://schemas.openxmlformats.org/officeDocument/2006/relationships/hyperlink" Target="https://advance.lexis.com/api/document?collection=statutes-legislation&amp;id=urn:contentItem:5JFB-0P11-DYB7-W2DD-00000-00&amp;context=1519360" TargetMode="External" /><Relationship Id="rId5" Type="http://schemas.openxmlformats.org/officeDocument/2006/relationships/hyperlink" Target="https://advance.lexis.com/api/document?collection=cases&amp;id=urn:contentItem:3S4X-1WB0-006F-M0S5-00000-00&amp;context=1519360" TargetMode="External" /><Relationship Id="rId6" Type="http://schemas.openxmlformats.org/officeDocument/2006/relationships/hyperlink" Target="https://advance.lexis.com/api/document?collection=statutes-legislation&amp;id=urn:contentItem:5GYC-2991-FG36-1212-00000-00&amp;context=1519360" TargetMode="External" /><Relationship Id="rId7" Type="http://schemas.openxmlformats.org/officeDocument/2006/relationships/hyperlink" Target="https://advance.lexis.com/api/document?collection=statutes-legislation&amp;id=urn:contentItem:8T9R-T352-D6RV-H379-00000-00&amp;context=1519360" TargetMode="External" /><Relationship Id="rId8" Type="http://schemas.openxmlformats.org/officeDocument/2006/relationships/hyperlink" Target="https://advance.lexis.com/api/document?collection=cases&amp;id=urn:contentItem:3WR2-1FR0-0038-X243-00000-00&amp;context=1519360" TargetMode="External" /><Relationship Id="rId9" Type="http://schemas.openxmlformats.org/officeDocument/2006/relationships/hyperlink" Target="https://advance.lexis.com/api/document?collection=cases&amp;id=urn:contentItem:65S3-40F1-F1H1-20MS-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Baird v. Bonta, 709 F. Supp. 3d 1091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vt:lpwstr>
  </property>
  <property fmtid="{D5CDD505-2E9C-101B-9397-08002B2CF9AE}" pid="3" name="LADocCount">
    <vt:lpwstr>1</vt:lpwstr>
  </property>
  <property fmtid="{D5CDD505-2E9C-101B-9397-08002B2CF9AE}" pid="4" name="LADocumentID:4">
    <vt:lpwstr>Doc::urn:hlct:5|contextualFeaturePermID::1519360</vt:lpwstr>
  </property>
  <property fmtid="{D5CDD505-2E9C-101B-9397-08002B2CF9AE}" pid="5" name="UserPermID">
    <vt:lpwstr>urn:user:PA186186280</vt:lpwstr>
  </property>
</Properties>
</file>