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Balentine v. Anzalone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2023, Decided; July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9:21-CV-1383 (LEK/CFH)</w:t>
      </w:r>
    </w:p>
    <w:p>
      <w:pPr>
        <w:keepNext w:val="0"/>
        <w:spacing w:after="0" w:line="240" w:lineRule="atLeast"/>
        <w:ind w:right="0"/>
        <w:jc w:val="both"/>
      </w:pPr>
      <w:bookmarkStart w:id="0" w:name="Bookmark_4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119832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4905093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ANDERSON BALENTINE, Plaintiff, v. NICK ANZALONE,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Balentine v. Anzalone, 2023 U.S. Dist. LEXIS 132788 (N.D.N.Y., Aug. 1,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Balentine v. Annuci, 2022 U.S. Dist. LEXIS 100993, 2022 WL 2046302 (N.D.N.Y., June 6,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immunity, inmates, allegations, assaulted, incarcerated, motion to dismiss, corrections officer, scope of employment, report and recommendation, performing, employees, comments, dishes, guard, cleaning</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Michael Anderson Balentine, Plaintiff, Pro se, Rochester, New York.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defendant(s): RACHAEL OUIMET, ESQ., Assistant Attorney General, OF COUNSEL, Attorney General for the, State of New York, The Capitol, Albany, New York.</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Christian F. Hummel,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Christian F. Hummel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REPORT-RECOMMENDATION AND ORDER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0" w:name="Bookmark_para_1"/>
      <w:bookmarkEnd w:id="10"/>
      <w:r>
        <w:rPr>
          <w:rFonts w:ascii="arial" w:eastAsia="arial" w:hAnsi="arial" w:cs="arial"/>
          <w:b w:val="0"/>
          <w:i w:val="0"/>
          <w:strike w:val="0"/>
          <w:noProof w:val="0"/>
          <w:color w:val="000000"/>
          <w:position w:val="0"/>
          <w:sz w:val="20"/>
          <w:u w:val="none"/>
          <w:vertAlign w:val="baseline"/>
        </w:rPr>
        <w:t xml:space="preserve">Plaintiff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Michael Anderson Balentine ("plaintiff"), who was at all relevant times in the custody of the New York State Department of Corrections and Community Supervision ("DOCCS") at Marcy Correctional Facility ("Marcy C.F."), brings this action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that defendants Correctional Officer Nick Anzalone, and Correctional Sergeants Brown, F. Reynolds, and J. Deusler violated plaintiff's constitutional rights under the First and </w:t>
      </w:r>
      <w:hyperlink r:id="rId13"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and his state law rights via intentional infliction of emotional distress ("IIED").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21 ("Am. Compl.");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22 at 18.</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Presently before the Court is defendant Brown's ("defendant Brown") partial motion to dismiss the state law IIED claim pursuant to </w:t>
      </w:r>
      <w:r>
        <w:rPr>
          <w:rFonts w:ascii="arial" w:eastAsia="arial" w:hAnsi="arial" w:cs="arial"/>
          <w:b w:val="0"/>
          <w:i/>
          <w:strike w:val="0"/>
          <w:noProof w:val="0"/>
          <w:color w:val="000000"/>
          <w:position w:val="0"/>
          <w:sz w:val="20"/>
          <w:u w:val="none"/>
          <w:vertAlign w:val="baseline"/>
        </w:rPr>
        <w:t>Federal Rule of Civil Procedure ("Fed. R. Civ. P.")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26. Plaintiff has not responded. For the following reasons, it is recommended that defendant's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3" w:name="Bookmark_para_2"/>
      <w:bookmarkEnd w:id="13"/>
      <w:r>
        <w:rPr>
          <w:rFonts w:ascii="arial" w:eastAsia="arial" w:hAnsi="arial" w:cs="arial"/>
          <w:b w:val="0"/>
          <w:i w:val="0"/>
          <w:strike w:val="0"/>
          <w:noProof w:val="0"/>
          <w:color w:val="000000"/>
          <w:position w:val="0"/>
          <w:sz w:val="20"/>
          <w:u w:val="none"/>
          <w:vertAlign w:val="baseline"/>
        </w:rPr>
        <w:t>Plaintiff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alleges that on January 28, 2021, an incarcerated individual, Jonny Reed, told plaintiff that he would have to do the dishes and clean for Bloods gang members because plaintiff "was a 'Rapo[.]'" Am. Compl. at 2, ¶ 19. Plaintiff was assaulted on February 6, 2021, by Reed and another Bloods gang member "because [he] had refused to do their dishes and other cleaning chores[.]"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 21. Plaintiff reported the assault and was transported to another dorm, during which time defendant Deusler and other correctional officers told plaintiff that because he was "a 'nasty Rapo[,]'" they would have forced him to do their dishes, too.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 22. Defendant "Deusler shared the details of the incident with his group of friends[,]" including defendants Anzalone, Brown, and Reynolds.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 22; 1, ¶ 7. Then, "[o]n two occasions between February 27 and March 11, 2021, Defendant Brown entered H2 on the evening shift and observed [plaintiff] cleaning the bathroom area."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 27. Defendant Brown said to plaintiff, "Hey Friend! Now that's what I like to see!"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contends that the use of the word "friend" was a way to indicate to other incarcerated individuals that plaintiff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was friends with the correctional officers which would cause plaintiff to be "assaulted and beaten again."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feared for his safety and believed that Brown was conspiring with defendants Reynolds and Anzalone to place plaintiff in harm's way by other incarcerated individuals.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On March 12, 2021, another incarcerated individual, Johnson, approached plaintiff and told him that he was "required to do the dishes and other cleaning chores of the Bloods because [he] was a 'Rapo.'"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 ¶ 33. Plaintiff said he would not clean for free, and Johnson physically assaulted plaintiff.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On March 14, 2021, defendant Brown entered D1 with defendants Reynolds and Deusler.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Am. Compl. at 5, ¶ 38. "Brown gave the order for Count."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After all the incarcerated individuals returned to their cubes and they were "silent," defendant Brown went to plaintiff's cube,</w:t>
      </w:r>
    </w:p>
    <w:p>
      <w:pPr>
        <w:keepNext w:val="0"/>
        <w:spacing w:before="200" w:after="0" w:line="260" w:lineRule="atLeast"/>
        <w:ind w:left="40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stopped in front of [him] and faced [him] and made the following speech in a loud voice to that everyone in the dorm could hear him: "Hi, Friend! How are you doing today? Great! Hey everybody, I want you all to know that my Friend here is really good at doing dishes! So, if any you here need to have your dishes done,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bring them to my Friend here because he's got that special Palmolive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39. Another correctional officer asked plaintiff, "What the f*** did you do to piss Brown off?!"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 40. Other incarcerated individuals "made derogatory comments to [plaintiff] and stated that Brown must want to them to 'beat [plaintiff's] ass.'"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filed a grievance concerning defendant Brown's statements, the remarks made to plaintiff by other inmates "that Sgt. Brown wanted them to 'beat [his] ass[,]'" and stated that he requested "to be moved to a safe dorm." Dkt. No. 21-2 at 16. When plaintiff was interviewed about his grievance, he "told [Deputy Superintendent for Security Snyder] that everyone in D1 had witnesses Sergeant Brown's speech attempt to have [plaintiff] hurt or killed." Am. Compl. at 6, ¶ 47.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to Dismiss Standard</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 xml:space="preserve">Defendant Brown moves to dismiss plaintiff's IIED claim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which allows a party to seek dismissal of a claim for "failure to state a claim upon which relief can be granted[.]"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No. 26-1 at 3-4. He moves for dismissal solely on the ground of his immunity from suit under </w:t>
      </w:r>
      <w:hyperlink r:id="rId14" w:history="1">
        <w:r>
          <w:rPr>
            <w:rFonts w:ascii="arial" w:eastAsia="arial" w:hAnsi="arial" w:cs="arial"/>
            <w:b w:val="0"/>
            <w:i/>
            <w:strike w:val="0"/>
            <w:noProof w:val="0"/>
            <w:color w:val="0077CC"/>
            <w:position w:val="0"/>
            <w:sz w:val="20"/>
            <w:u w:val="single"/>
            <w:vertAlign w:val="baseline"/>
          </w:rPr>
          <w:t>N.Y. Correction Law section 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5-6. Whether defendant Brown is immune from suit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under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concerns whether this Court has jurisdiction over the state law IIED claim; therefore, defendant's motion is more properly brought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which concerns motions to dismiss for "lack of subject-matter jurisdiction[.]" </w:t>
      </w:r>
      <w:r>
        <w:rPr>
          <w:rFonts w:ascii="arial" w:eastAsia="arial" w:hAnsi="arial" w:cs="arial"/>
          <w:b w:val="0"/>
          <w:i/>
          <w:smallCaps/>
          <w:strike w:val="0"/>
          <w:noProof w:val="0"/>
          <w:color w:val="000000"/>
          <w:position w:val="0"/>
          <w:sz w:val="20"/>
          <w:u w:val="none"/>
          <w:vertAlign w:val="baseline"/>
        </w:rPr>
        <w:t>Fed. R. Civ. P.</w:t>
      </w:r>
      <w:r>
        <w:rPr>
          <w:rFonts w:ascii="arial" w:eastAsia="arial" w:hAnsi="arial" w:cs="arial"/>
          <w:b w:val="0"/>
          <w:i/>
          <w:strike w:val="0"/>
          <w:noProof w:val="0"/>
          <w:color w:val="000000"/>
          <w:position w:val="0"/>
          <w:sz w:val="20"/>
          <w:u w:val="none"/>
          <w:vertAlign w:val="baseline"/>
        </w:rPr>
        <w:t xml:space="preserve"> 12(b)(1)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5" w:history="1">
        <w:r>
          <w:rPr>
            <w:rFonts w:ascii="arial" w:eastAsia="arial" w:hAnsi="arial" w:cs="arial"/>
            <w:b w:val="0"/>
            <w:i/>
            <w:strike w:val="0"/>
            <w:noProof w:val="0"/>
            <w:color w:val="0077CC"/>
            <w:position w:val="0"/>
            <w:sz w:val="20"/>
            <w:u w:val="single"/>
            <w:vertAlign w:val="baseline"/>
          </w:rPr>
          <w:t>Torres-Acevedo v. Blair</w:t>
        </w:r>
      </w:hyperlink>
      <w:hyperlink r:id="rId15" w:history="1">
        <w:r>
          <w:rPr>
            <w:rFonts w:ascii="arial" w:eastAsia="arial" w:hAnsi="arial" w:cs="arial"/>
            <w:b w:val="0"/>
            <w:i/>
            <w:strike w:val="0"/>
            <w:noProof w:val="0"/>
            <w:color w:val="0077CC"/>
            <w:position w:val="0"/>
            <w:sz w:val="20"/>
            <w:u w:val="single"/>
            <w:vertAlign w:val="baseline"/>
          </w:rPr>
          <w:t>, No. 9:21-CV-52 (GLS/ATB), 2021 U.S. Dist. LEXIS 199152, 2021 WL 4993540, at *6 (N.D.N.Y. Oct. 15, 2021)</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provides immunity for DOCCS employees from lawsuits based on acts or omissions within the course of their employment and requires such actions be brought in the New York Court of Claims as a claim against the state. If a plaintiff brings such an action in federal court, the court should dismiss the state law claims for lack of subject matter jurisdiction."),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2021 U.S. Dist. LEXIS 219754, 2021 WL 5298674 (N.D.N.Y. Nov. 15,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 xml:space="preserve">Nevertheless, "[t]he standards of review for a motion to dismiss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for lack of subject matter jurisdiction and under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for failure to state a claim are substantively identical." </w:t>
      </w:r>
      <w:hyperlink r:id="rId17" w:history="1">
        <w:r>
          <w:rPr>
            <w:rFonts w:ascii="arial" w:eastAsia="arial" w:hAnsi="arial" w:cs="arial"/>
            <w:b w:val="0"/>
            <w:i/>
            <w:strike w:val="0"/>
            <w:noProof w:val="0"/>
            <w:color w:val="0077CC"/>
            <w:position w:val="0"/>
            <w:sz w:val="20"/>
            <w:u w:val="single"/>
            <w:vertAlign w:val="baseline"/>
          </w:rPr>
          <w:t>Feldheim v. Fin. Recovery Servs., Inc.</w:t>
        </w:r>
      </w:hyperlink>
      <w:hyperlink r:id="rId17" w:history="1">
        <w:r>
          <w:rPr>
            <w:rFonts w:ascii="arial" w:eastAsia="arial" w:hAnsi="arial" w:cs="arial"/>
            <w:b w:val="0"/>
            <w:i/>
            <w:strike w:val="0"/>
            <w:noProof w:val="0"/>
            <w:color w:val="0077CC"/>
            <w:position w:val="0"/>
            <w:sz w:val="20"/>
            <w:u w:val="single"/>
            <w:vertAlign w:val="baseline"/>
          </w:rPr>
          <w:t>, 257 F. Supp. 3d 361, 365 (S.D.N.Y. 2017)</w:t>
        </w:r>
      </w:hyperlink>
      <w:r>
        <w:rPr>
          <w:rFonts w:ascii="arial" w:eastAsia="arial" w:hAnsi="arial" w:cs="arial"/>
          <w:b w:val="0"/>
          <w:i w:val="0"/>
          <w:strike w:val="0"/>
          <w:noProof w:val="0"/>
          <w:color w:val="000000"/>
          <w:position w:val="0"/>
          <w:sz w:val="20"/>
          <w:u w:val="none"/>
          <w:vertAlign w:val="baseline"/>
        </w:rPr>
        <w:t xml:space="preserve"> (citation omitted). "When the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is facial,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based solely on the allegations of the complaint or the complaint and exhibits attached to it . . . the plaintiff has no evidentiary burden." </w:t>
      </w:r>
      <w:hyperlink r:id="rId18" w:history="1">
        <w:r>
          <w:rPr>
            <w:rFonts w:ascii="arial" w:eastAsia="arial" w:hAnsi="arial" w:cs="arial"/>
            <w:b w:val="0"/>
            <w:i/>
            <w:strike w:val="0"/>
            <w:noProof w:val="0"/>
            <w:color w:val="0077CC"/>
            <w:position w:val="0"/>
            <w:sz w:val="20"/>
            <w:u w:val="single"/>
            <w:vertAlign w:val="baseline"/>
          </w:rPr>
          <w:t>Carter v. HealthPort Techs., LLC</w:t>
        </w:r>
      </w:hyperlink>
      <w:hyperlink r:id="rId18" w:history="1">
        <w:r>
          <w:rPr>
            <w:rFonts w:ascii="arial" w:eastAsia="arial" w:hAnsi="arial" w:cs="arial"/>
            <w:b w:val="0"/>
            <w:i/>
            <w:strike w:val="0"/>
            <w:noProof w:val="0"/>
            <w:color w:val="0077CC"/>
            <w:position w:val="0"/>
            <w:sz w:val="20"/>
            <w:u w:val="single"/>
            <w:vertAlign w:val="baseline"/>
          </w:rPr>
          <w:t>, 822 F.3d 47, 56 (2d Cir. 2016)</w:t>
        </w:r>
      </w:hyperlink>
      <w:r>
        <w:rPr>
          <w:rFonts w:ascii="arial" w:eastAsia="arial" w:hAnsi="arial" w:cs="arial"/>
          <w:b w:val="0"/>
          <w:i w:val="0"/>
          <w:strike w:val="0"/>
          <w:noProof w:val="0"/>
          <w:color w:val="000000"/>
          <w:position w:val="0"/>
          <w:sz w:val="20"/>
          <w:u w:val="none"/>
          <w:vertAlign w:val="baseline"/>
        </w:rPr>
        <w:t xml:space="preserve">. Insofar as plaintiff did not respond to defendant Brown's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"[p]laintiff's failure to respond to the motion to dismiss does not relieve the Court of its obligation to consider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merits of plaintiff's claims." </w:t>
      </w:r>
      <w:hyperlink r:id="rId19" w:history="1">
        <w:r>
          <w:rPr>
            <w:rFonts w:ascii="arial" w:eastAsia="arial" w:hAnsi="arial" w:cs="arial"/>
            <w:b w:val="0"/>
            <w:i/>
            <w:strike w:val="0"/>
            <w:noProof w:val="0"/>
            <w:color w:val="0077CC"/>
            <w:position w:val="0"/>
            <w:sz w:val="20"/>
            <w:u w:val="single"/>
            <w:vertAlign w:val="baseline"/>
          </w:rPr>
          <w:t>Arena v. Irondequoit Police Dep't</w:t>
        </w:r>
      </w:hyperlink>
      <w:hyperlink r:id="rId19" w:history="1">
        <w:r>
          <w:rPr>
            <w:rFonts w:ascii="arial" w:eastAsia="arial" w:hAnsi="arial" w:cs="arial"/>
            <w:b w:val="0"/>
            <w:i/>
            <w:strike w:val="0"/>
            <w:noProof w:val="0"/>
            <w:color w:val="0077CC"/>
            <w:position w:val="0"/>
            <w:sz w:val="20"/>
            <w:u w:val="single"/>
            <w:vertAlign w:val="baseline"/>
          </w:rPr>
          <w:t>, 228 F. Supp. 3d 242, 243 (W.D.N.Y.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20" w:history="1">
        <w:r>
          <w:rPr>
            <w:rFonts w:ascii="arial" w:eastAsia="arial" w:hAnsi="arial" w:cs="arial"/>
            <w:b w:val="0"/>
            <w:i/>
            <w:strike w:val="0"/>
            <w:noProof w:val="0"/>
            <w:color w:val="0077CC"/>
            <w:position w:val="0"/>
            <w:sz w:val="20"/>
            <w:u w:val="single"/>
            <w:vertAlign w:val="baseline"/>
          </w:rPr>
          <w:t>Mobley v. Crane</w:t>
        </w:r>
      </w:hyperlink>
      <w:hyperlink r:id="rId20" w:history="1">
        <w:r>
          <w:rPr>
            <w:rFonts w:ascii="arial" w:eastAsia="arial" w:hAnsi="arial" w:cs="arial"/>
            <w:b w:val="0"/>
            <w:i/>
            <w:strike w:val="0"/>
            <w:noProof w:val="0"/>
            <w:color w:val="0077CC"/>
            <w:position w:val="0"/>
            <w:sz w:val="20"/>
            <w:u w:val="single"/>
            <w:vertAlign w:val="baseline"/>
          </w:rPr>
          <w:t>, No. 9:21-CV-299 (BKS/ATB), 2021 U.S. Dist. LEXIS 212656, 2021 WL 5813689, at *2 (N.D.N.Y. Nov. 3,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2021 U.S. Dist. LEXIS 233704, 2021 WL 5810406 (N.D.N.Y. Dec. 7, 2021)</w:t>
        </w:r>
      </w:hyperlink>
      <w:r>
        <w:rPr>
          <w:rFonts w:ascii="arial" w:eastAsia="arial" w:hAnsi="arial" w:cs="arial"/>
          <w:b w:val="0"/>
          <w:i w:val="0"/>
          <w:strike w:val="0"/>
          <w:noProof w:val="0"/>
          <w:color w:val="000000"/>
          <w:position w:val="0"/>
          <w:sz w:val="20"/>
          <w:u w:val="none"/>
          <w:vertAlign w:val="baseline"/>
        </w:rPr>
        <w:t xml:space="preserve">. "If a complaint is sufficient to state a claim on which relief can be granted, the plaintiff's failure to respond to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does not warrant dismissal." </w:t>
      </w:r>
      <w:hyperlink r:id="rId19" w:history="1">
        <w:r>
          <w:rPr>
            <w:rFonts w:ascii="arial" w:eastAsia="arial" w:hAnsi="arial" w:cs="arial"/>
            <w:b w:val="0"/>
            <w:i/>
            <w:strike w:val="0"/>
            <w:noProof w:val="0"/>
            <w:color w:val="0077CC"/>
            <w:position w:val="0"/>
            <w:sz w:val="20"/>
            <w:u w:val="single"/>
            <w:vertAlign w:val="baseline"/>
          </w:rPr>
          <w:t>Arena</w:t>
        </w:r>
      </w:hyperlink>
      <w:hyperlink r:id="rId19" w:history="1">
        <w:r>
          <w:rPr>
            <w:rFonts w:ascii="arial" w:eastAsia="arial" w:hAnsi="arial" w:cs="arial"/>
            <w:b w:val="0"/>
            <w:i/>
            <w:strike w:val="0"/>
            <w:noProof w:val="0"/>
            <w:color w:val="0077CC"/>
            <w:position w:val="0"/>
            <w:sz w:val="20"/>
            <w:u w:val="single"/>
            <w:vertAlign w:val="baseline"/>
          </w:rPr>
          <w:t>, 228 F. Supp. 3d at 243</w:t>
        </w:r>
      </w:hyperlink>
      <w:r>
        <w:rPr>
          <w:rFonts w:ascii="arial" w:eastAsia="arial" w:hAnsi="arial" w:cs="arial"/>
          <w:b w:val="0"/>
          <w:i w:val="0"/>
          <w:strike w:val="0"/>
          <w:noProof w:val="0"/>
          <w:color w:val="000000"/>
          <w:position w:val="0"/>
          <w:sz w:val="20"/>
          <w:u w:val="none"/>
          <w:vertAlign w:val="baseline"/>
        </w:rPr>
        <w:t xml:space="preserve"> (quoting </w:t>
      </w:r>
      <w:hyperlink r:id="rId22" w:history="1">
        <w:r>
          <w:rPr>
            <w:rFonts w:ascii="arial" w:eastAsia="arial" w:hAnsi="arial" w:cs="arial"/>
            <w:b w:val="0"/>
            <w:i/>
            <w:strike w:val="0"/>
            <w:noProof w:val="0"/>
            <w:color w:val="0077CC"/>
            <w:position w:val="0"/>
            <w:sz w:val="20"/>
            <w:u w:val="single"/>
            <w:vertAlign w:val="baseline"/>
          </w:rPr>
          <w:t>McCall v. Pataki</w:t>
        </w:r>
      </w:hyperlink>
      <w:hyperlink r:id="rId22" w:history="1">
        <w:r>
          <w:rPr>
            <w:rFonts w:ascii="arial" w:eastAsia="arial" w:hAnsi="arial" w:cs="arial"/>
            <w:b w:val="0"/>
            <w:i/>
            <w:strike w:val="0"/>
            <w:noProof w:val="0"/>
            <w:color w:val="0077CC"/>
            <w:position w:val="0"/>
            <w:sz w:val="20"/>
            <w:u w:val="single"/>
            <w:vertAlign w:val="baseline"/>
          </w:rPr>
          <w:t>, 232 F.3d 321, 322 (2d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23" w:history="1">
        <w:r>
          <w:rPr>
            <w:rFonts w:ascii="arial" w:eastAsia="arial" w:hAnsi="arial" w:cs="arial"/>
            <w:b w:val="0"/>
            <w:i/>
            <w:strike w:val="0"/>
            <w:noProof w:val="0"/>
            <w:color w:val="0077CC"/>
            <w:position w:val="0"/>
            <w:sz w:val="20"/>
            <w:u w:val="single"/>
            <w:vertAlign w:val="baseline"/>
          </w:rPr>
          <w:t>Goldberg v. Danaher</w:t>
        </w:r>
      </w:hyperlink>
      <w:hyperlink r:id="rId23" w:history="1">
        <w:r>
          <w:rPr>
            <w:rFonts w:ascii="arial" w:eastAsia="arial" w:hAnsi="arial" w:cs="arial"/>
            <w:b w:val="0"/>
            <w:i/>
            <w:strike w:val="0"/>
            <w:noProof w:val="0"/>
            <w:color w:val="0077CC"/>
            <w:position w:val="0"/>
            <w:sz w:val="20"/>
            <w:u w:val="single"/>
            <w:vertAlign w:val="baseline"/>
          </w:rPr>
          <w:t>, 599 F.3d 181, 183 (2d Cir. 2010)</w:t>
        </w:r>
      </w:hyperlink>
      <w:r>
        <w:rPr>
          <w:rFonts w:ascii="arial" w:eastAsia="arial" w:hAnsi="arial" w:cs="arial"/>
          <w:b w:val="0"/>
          <w:i w:val="0"/>
          <w:strike w:val="0"/>
          <w:noProof w:val="0"/>
          <w:color w:val="000000"/>
          <w:position w:val="0"/>
          <w:sz w:val="20"/>
          <w:u w:val="none"/>
          <w:vertAlign w:val="baseline"/>
        </w:rPr>
        <w:t xml:space="preserve"> ("Because a motion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presents a pure legal question, based on allegations contained within the four corners of the complaint, the district court is equipped to make a determination on the merits[]" even if a party does not respond.); </w:t>
      </w:r>
      <w:hyperlink r:id="rId24" w:history="1">
        <w:r>
          <w:rPr>
            <w:rFonts w:ascii="arial" w:eastAsia="arial" w:hAnsi="arial" w:cs="arial"/>
            <w:b w:val="0"/>
            <w:i/>
            <w:strike w:val="0"/>
            <w:noProof w:val="0"/>
            <w:color w:val="0077CC"/>
            <w:position w:val="0"/>
            <w:sz w:val="20"/>
            <w:u w:val="single"/>
            <w:vertAlign w:val="baseline"/>
          </w:rPr>
          <w:t>Parry v. VA Med. Ctr.</w:t>
        </w:r>
      </w:hyperlink>
      <w:hyperlink r:id="rId24" w:history="1">
        <w:r>
          <w:rPr>
            <w:rFonts w:ascii="arial" w:eastAsia="arial" w:hAnsi="arial" w:cs="arial"/>
            <w:b w:val="0"/>
            <w:i/>
            <w:strike w:val="0"/>
            <w:noProof w:val="0"/>
            <w:color w:val="0077CC"/>
            <w:position w:val="0"/>
            <w:sz w:val="20"/>
            <w:u w:val="single"/>
            <w:vertAlign w:val="baseline"/>
          </w:rPr>
          <w:t>, 408 F. Supp. 3d 281, 283 (W.D.N.Y. 2019)</w:t>
        </w:r>
      </w:hyperlink>
      <w:r>
        <w:rPr>
          <w:rFonts w:ascii="arial" w:eastAsia="arial" w:hAnsi="arial" w:cs="arial"/>
          <w:b w:val="0"/>
          <w:i w:val="0"/>
          <w:strike w:val="0"/>
          <w:noProof w:val="0"/>
          <w:color w:val="000000"/>
          <w:position w:val="0"/>
          <w:sz w:val="20"/>
          <w:u w:val="none"/>
          <w:vertAlign w:val="baseline"/>
        </w:rPr>
        <w:t xml:space="preserve"> (considering merits of 12(b)(1) motion despite the plaintiff's failure to respond); </w:t>
      </w:r>
      <w:hyperlink r:id="rId25" w:history="1">
        <w:r>
          <w:rPr>
            <w:rFonts w:ascii="arial" w:eastAsia="arial" w:hAnsi="arial" w:cs="arial"/>
            <w:b w:val="0"/>
            <w:i/>
            <w:strike w:val="0"/>
            <w:noProof w:val="0"/>
            <w:color w:val="0077CC"/>
            <w:position w:val="0"/>
            <w:sz w:val="20"/>
            <w:u w:val="single"/>
            <w:vertAlign w:val="baseline"/>
          </w:rPr>
          <w:t>Hylton v. J.P. Morgan Chase Bank, N.A.</w:t>
        </w:r>
      </w:hyperlink>
      <w:hyperlink r:id="rId25" w:history="1">
        <w:r>
          <w:rPr>
            <w:rFonts w:ascii="arial" w:eastAsia="arial" w:hAnsi="arial" w:cs="arial"/>
            <w:b w:val="0"/>
            <w:i/>
            <w:strike w:val="0"/>
            <w:noProof w:val="0"/>
            <w:color w:val="0077CC"/>
            <w:position w:val="0"/>
            <w:sz w:val="20"/>
            <w:u w:val="single"/>
            <w:vertAlign w:val="baseline"/>
          </w:rPr>
          <w:t>, 338 F. Supp. 3d 263, 268 (S.D.N.Y. 2018)</w:t>
        </w:r>
      </w:hyperlink>
      <w:r>
        <w:rPr>
          <w:rFonts w:ascii="arial" w:eastAsia="arial" w:hAnsi="arial" w:cs="arial"/>
          <w:b w:val="0"/>
          <w:i w:val="0"/>
          <w:strike w:val="0"/>
          <w:noProof w:val="0"/>
          <w:color w:val="000000"/>
          <w:position w:val="0"/>
          <w:sz w:val="20"/>
          <w:u w:val="none"/>
          <w:vertAlign w:val="baseline"/>
        </w:rPr>
        <w:t xml:space="preserve"> (same). However, plaintiff's failure to respond is not without significance. Under the Court's Local Rules,</w:t>
      </w:r>
    </w:p>
    <w:p>
      <w:pPr>
        <w:keepNext w:val="0"/>
        <w:spacing w:after="0" w:line="260" w:lineRule="atLeast"/>
        <w:ind w:left="40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[w]here a properly filed motion is unopposed and the Court determines that the moving party has met its burden to demonstrate entitlement to the relief requested therein, the non-moving party's failure to file or serve any papers as this Rule requires shall be deemed as consent to the granting or denial of the motion, as the case may be, unless good cause is shown.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L.R. 7.1(a)(3).</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"To survive a motion to dismiss, a complaint must contain sufficient factual matter, accepted as true, to state a claim to relief that 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plausible on its face." </w:t>
      </w:r>
      <w:hyperlink r:id="rId26" w:history="1">
        <w:r>
          <w:rPr>
            <w:rFonts w:ascii="arial" w:eastAsia="arial" w:hAnsi="arial" w:cs="arial"/>
            <w:b w:val="0"/>
            <w:i/>
            <w:strike w:val="0"/>
            <w:noProof w:val="0"/>
            <w:color w:val="0077CC"/>
            <w:position w:val="0"/>
            <w:sz w:val="20"/>
            <w:u w:val="single"/>
            <w:vertAlign w:val="baseline"/>
          </w:rPr>
          <w:t>Darby v. Greenman</w:t>
        </w:r>
      </w:hyperlink>
      <w:hyperlink r:id="rId26" w:history="1">
        <w:r>
          <w:rPr>
            <w:rFonts w:ascii="arial" w:eastAsia="arial" w:hAnsi="arial" w:cs="arial"/>
            <w:b w:val="0"/>
            <w:i/>
            <w:strike w:val="0"/>
            <w:noProof w:val="0"/>
            <w:color w:val="0077CC"/>
            <w:position w:val="0"/>
            <w:sz w:val="20"/>
            <w:u w:val="single"/>
            <w:vertAlign w:val="baseline"/>
          </w:rPr>
          <w:t>, 14 F.4th 124, 127 (2d Cir. 2021)</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hyperlink r:id="rId27" w:history="1">
        <w:r>
          <w:rPr>
            <w:rFonts w:ascii="arial" w:eastAsia="arial" w:hAnsi="arial" w:cs="arial"/>
            <w:b w:val="0"/>
            <w:i/>
            <w:strike w:val="0"/>
            <w:noProof w:val="0"/>
            <w:color w:val="0077CC"/>
            <w:position w:val="0"/>
            <w:sz w:val="20"/>
            <w:u w:val="single"/>
            <w:vertAlign w:val="baseline"/>
          </w:rPr>
          <w:t>Ashcroft v. Iqbal</w:t>
        </w:r>
      </w:hyperlink>
      <w:hyperlink r:id="rId2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"In reviewing a complaint for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the court must accept the material facts alleged in the complaint as true and construe all reasonable inferences in the plaintiff's favor." </w:t>
      </w:r>
      <w:hyperlink r:id="rId28" w:history="1">
        <w:r>
          <w:rPr>
            <w:rFonts w:ascii="arial" w:eastAsia="arial" w:hAnsi="arial" w:cs="arial"/>
            <w:b w:val="0"/>
            <w:i/>
            <w:strike w:val="0"/>
            <w:noProof w:val="0"/>
            <w:color w:val="0077CC"/>
            <w:position w:val="0"/>
            <w:sz w:val="20"/>
            <w:u w:val="single"/>
            <w:vertAlign w:val="baseline"/>
          </w:rPr>
          <w:t>Hernandez v. Coughlin</w:t>
        </w:r>
      </w:hyperlink>
      <w:hyperlink r:id="rId28" w:history="1">
        <w:r>
          <w:rPr>
            <w:rFonts w:ascii="arial" w:eastAsia="arial" w:hAnsi="arial" w:cs="arial"/>
            <w:b w:val="0"/>
            <w:i/>
            <w:strike w:val="0"/>
            <w:noProof w:val="0"/>
            <w:color w:val="0077CC"/>
            <w:position w:val="0"/>
            <w:sz w:val="20"/>
            <w:u w:val="single"/>
            <w:vertAlign w:val="baseline"/>
          </w:rPr>
          <w:t>, 18 F.3d 133, 136 (2d Cir. 1994)</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see also </w:t>
      </w:r>
      <w:r>
        <w:rPr>
          <w:rFonts w:ascii="arial" w:eastAsia="arial" w:hAnsi="arial" w:cs="arial"/>
          <w:b w:val="0"/>
          <w:i/>
          <w:strike w:val="0"/>
          <w:noProof w:val="0"/>
          <w:color w:val="000000"/>
          <w:position w:val="0"/>
          <w:sz w:val="20"/>
          <w:u w:val="single"/>
          <w:vertAlign w:val="baseline"/>
        </w:rPr>
        <w:t>Tandon v. Captain's Cove Marina of Bridgeport, Inc.</w:t>
      </w:r>
      <w:r>
        <w:rPr>
          <w:rFonts w:ascii="arial" w:eastAsia="arial" w:hAnsi="arial" w:cs="arial"/>
          <w:b w:val="0"/>
          <w:i/>
          <w:strike w:val="0"/>
          <w:noProof w:val="0"/>
          <w:color w:val="000000"/>
          <w:position w:val="0"/>
          <w:sz w:val="20"/>
          <w:u w:val="none"/>
          <w:vertAlign w:val="baseline"/>
        </w:rPr>
        <w:t>, 752 F.3d 239, 243 (2d Cir. 2014)</w:t>
      </w:r>
      <w:r>
        <w:rPr>
          <w:rFonts w:ascii="arial" w:eastAsia="arial" w:hAnsi="arial" w:cs="arial"/>
          <w:b w:val="0"/>
          <w:i w:val="0"/>
          <w:strike w:val="0"/>
          <w:noProof w:val="0"/>
          <w:color w:val="000000"/>
          <w:position w:val="0"/>
          <w:sz w:val="20"/>
          <w:u w:val="none"/>
          <w:vertAlign w:val="baseline"/>
        </w:rPr>
        <w:t xml:space="preserve"> ("In resolving a motion to dismiss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the district court must take all uncontroverted facts in the complaint (or petition) as true, and draw all reasonable inferences in favor of the party asserting jurisdiction."). "Courts are 'obligated to construe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liberally.'" </w:t>
      </w:r>
      <w:r>
        <w:rPr>
          <w:rFonts w:ascii="arial" w:eastAsia="arial" w:hAnsi="arial" w:cs="arial"/>
          <w:b w:val="0"/>
          <w:i/>
          <w:strike w:val="0"/>
          <w:noProof w:val="0"/>
          <w:color w:val="000000"/>
          <w:position w:val="0"/>
          <w:sz w:val="20"/>
          <w:u w:val="single"/>
          <w:vertAlign w:val="baseline"/>
        </w:rPr>
        <w:t>Tafari v. McCarthy</w:t>
      </w:r>
      <w:r>
        <w:rPr>
          <w:rFonts w:ascii="arial" w:eastAsia="arial" w:hAnsi="arial" w:cs="arial"/>
          <w:b w:val="0"/>
          <w:i/>
          <w:strike w:val="0"/>
          <w:noProof w:val="0"/>
          <w:color w:val="000000"/>
          <w:position w:val="0"/>
          <w:sz w:val="20"/>
          <w:u w:val="none"/>
          <w:vertAlign w:val="baseline"/>
        </w:rPr>
        <w:t>, 714 F. Supp. 2d 317, 339 (N.D.N.Y. 2010)</w:t>
      </w:r>
      <w:r>
        <w:rPr>
          <w:rFonts w:ascii="arial" w:eastAsia="arial" w:hAnsi="arial" w:cs="arial"/>
          <w:b w:val="0"/>
          <w:i w:val="0"/>
          <w:strike w:val="0"/>
          <w:noProof w:val="0"/>
          <w:color w:val="000000"/>
          <w:position w:val="0"/>
          <w:sz w:val="20"/>
          <w:u w:val="none"/>
          <w:vertAlign w:val="baseline"/>
        </w:rPr>
        <w:t xml:space="preserve"> (quoting </w:t>
      </w:r>
      <w:hyperlink r:id="rId29" w:history="1">
        <w:r>
          <w:rPr>
            <w:rFonts w:ascii="arial" w:eastAsia="arial" w:hAnsi="arial" w:cs="arial"/>
            <w:b w:val="0"/>
            <w:i/>
            <w:strike w:val="0"/>
            <w:noProof w:val="0"/>
            <w:color w:val="0077CC"/>
            <w:position w:val="0"/>
            <w:sz w:val="20"/>
            <w:u w:val="single"/>
            <w:vertAlign w:val="baseline"/>
          </w:rPr>
          <w:t>Harris v. Mills</w:t>
        </w:r>
      </w:hyperlink>
      <w:hyperlink r:id="rId29" w:history="1">
        <w:r>
          <w:rPr>
            <w:rFonts w:ascii="arial" w:eastAsia="arial" w:hAnsi="arial" w:cs="arial"/>
            <w:b w:val="0"/>
            <w:i/>
            <w:strike w:val="0"/>
            <w:noProof w:val="0"/>
            <w:color w:val="0077CC"/>
            <w:position w:val="0"/>
            <w:sz w:val="20"/>
            <w:u w:val="single"/>
            <w:vertAlign w:val="baseline"/>
          </w:rPr>
          <w:t>, 572 F.3d 66, 72 (2d Cir. 2009)</w:t>
        </w:r>
      </w:hyperlink>
      <w:r>
        <w:rPr>
          <w:rFonts w:ascii="arial" w:eastAsia="arial" w:hAnsi="arial" w:cs="arial"/>
          <w:b w:val="0"/>
          <w:i w:val="0"/>
          <w:strike w:val="0"/>
          <w:noProof w:val="0"/>
          <w:color w:val="000000"/>
          <w:position w:val="0"/>
          <w:sz w:val="20"/>
          <w:u w:val="none"/>
          <w:vertAlign w:val="baseline"/>
        </w:rPr>
        <w:t xml:space="preserve">). "However, 'the tenet that a court must accept as true all of the allegations contained in the complaint is inapplicable to legal conclusions. Threadbare recitals of the elements of a cause of action, supported by mere conclusory statements, do not suffice.'"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Iqbal</w:t>
        </w:r>
      </w:hyperlink>
      <w:hyperlink r:id="rId27"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30" w:history="1">
        <w:r>
          <w:rPr>
            <w:rFonts w:ascii="arial" w:eastAsia="arial" w:hAnsi="arial" w:cs="arial"/>
            <w:b w:val="0"/>
            <w:i/>
            <w:strike w:val="0"/>
            <w:noProof w:val="0"/>
            <w:color w:val="0077CC"/>
            <w:position w:val="0"/>
            <w:sz w:val="20"/>
            <w:u w:val="single"/>
            <w:vertAlign w:val="baseline"/>
          </w:rPr>
          <w:t>Nat'l Rifle Ass'n of Am. v. Vullo</w:t>
        </w:r>
      </w:hyperlink>
      <w:hyperlink r:id="rId30" w:history="1">
        <w:r>
          <w:rPr>
            <w:rFonts w:ascii="arial" w:eastAsia="arial" w:hAnsi="arial" w:cs="arial"/>
            <w:b w:val="0"/>
            <w:i/>
            <w:strike w:val="0"/>
            <w:noProof w:val="0"/>
            <w:color w:val="0077CC"/>
            <w:position w:val="0"/>
            <w:sz w:val="20"/>
            <w:u w:val="single"/>
            <w:vertAlign w:val="baseline"/>
          </w:rPr>
          <w:t>, 49 F.4th 700, 713 (2d Cir. 2022)</w:t>
        </w:r>
      </w:hyperlink>
      <w:r>
        <w:rPr>
          <w:rFonts w:ascii="arial" w:eastAsia="arial" w:hAnsi="arial" w:cs="arial"/>
          <w:b w:val="0"/>
          <w:i w:val="0"/>
          <w:strike w:val="0"/>
          <w:noProof w:val="0"/>
          <w:color w:val="000000"/>
          <w:position w:val="0"/>
          <w:sz w:val="20"/>
          <w:u w:val="none"/>
          <w:vertAlign w:val="baseline"/>
        </w:rPr>
        <w:t xml:space="preserve"> ("We accept as true factual allegations but not conclusions, such as statements concerning a defendant's state of mind."); </w:t>
      </w:r>
      <w:hyperlink r:id="rId26" w:history="1">
        <w:r>
          <w:rPr>
            <w:rFonts w:ascii="arial" w:eastAsia="arial" w:hAnsi="arial" w:cs="arial"/>
            <w:b w:val="0"/>
            <w:i/>
            <w:strike w:val="0"/>
            <w:noProof w:val="0"/>
            <w:color w:val="0077CC"/>
            <w:position w:val="0"/>
            <w:sz w:val="20"/>
            <w:u w:val="single"/>
            <w:vertAlign w:val="baseline"/>
          </w:rPr>
          <w:t>Darby</w:t>
        </w:r>
      </w:hyperlink>
      <w:hyperlink r:id="rId26" w:history="1">
        <w:r>
          <w:rPr>
            <w:rFonts w:ascii="arial" w:eastAsia="arial" w:hAnsi="arial" w:cs="arial"/>
            <w:b w:val="0"/>
            <w:i/>
            <w:strike w:val="0"/>
            <w:noProof w:val="0"/>
            <w:color w:val="0077CC"/>
            <w:position w:val="0"/>
            <w:sz w:val="20"/>
            <w:u w:val="single"/>
            <w:vertAlign w:val="baseline"/>
          </w:rPr>
          <w:t>, 14 F.4th at 127</w:t>
        </w:r>
      </w:hyperlink>
      <w:r>
        <w:rPr>
          <w:rFonts w:ascii="arial" w:eastAsia="arial" w:hAnsi="arial" w:cs="arial"/>
          <w:b w:val="0"/>
          <w:i w:val="0"/>
          <w:strike w:val="0"/>
          <w:noProof w:val="0"/>
          <w:color w:val="000000"/>
          <w:position w:val="0"/>
          <w:sz w:val="20"/>
          <w:u w:val="none"/>
          <w:vertAlign w:val="baseline"/>
        </w:rPr>
        <w:t xml:space="preserve"> (citations and quotation marks omitted) (first and second alterations in original) ("[A] complaint that merely tenders naked assertions devoid of further factual enhancement' fails to meet this standard,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as do unadorned, the-defendant-unlawfully-harmed-me accusation[s][.]").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 xml:space="preserve">Defendant Brown argues that plaintiff has failed to state an IIED claim because </w:t>
      </w:r>
      <w:hyperlink r:id="rId14" w:history="1">
        <w:r>
          <w:rPr>
            <w:rFonts w:ascii="arial" w:eastAsia="arial" w:hAnsi="arial" w:cs="arial"/>
            <w:b w:val="0"/>
            <w:i/>
            <w:strike w:val="0"/>
            <w:noProof w:val="0"/>
            <w:color w:val="0077CC"/>
            <w:position w:val="0"/>
            <w:sz w:val="20"/>
            <w:u w:val="single"/>
            <w:vertAlign w:val="baseline"/>
          </w:rPr>
          <w:t>New York Correction Law section 24</w:t>
        </w:r>
      </w:hyperlink>
      <w:r>
        <w:rPr>
          <w:rFonts w:ascii="arial" w:eastAsia="arial" w:hAnsi="arial" w:cs="arial"/>
          <w:b w:val="0"/>
          <w:i w:val="0"/>
          <w:strike w:val="0"/>
          <w:noProof w:val="0"/>
          <w:color w:val="000000"/>
          <w:position w:val="0"/>
          <w:sz w:val="20"/>
          <w:u w:val="none"/>
          <w:vertAlign w:val="baseline"/>
        </w:rPr>
        <w:t xml:space="preserve"> immunizes defendant Brown from liability insofar as he was acting within the scope of his employment.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26-1 at 5-6. </w:t>
      </w:r>
      <w:hyperlink r:id="rId14" w:history="1">
        <w:r>
          <w:rPr>
            <w:rFonts w:ascii="arial" w:eastAsia="arial" w:hAnsi="arial" w:cs="arial"/>
            <w:b w:val="0"/>
            <w:i/>
            <w:strike w:val="0"/>
            <w:noProof w:val="0"/>
            <w:color w:val="0077CC"/>
            <w:position w:val="0"/>
            <w:sz w:val="20"/>
            <w:u w:val="single"/>
            <w:vertAlign w:val="baseline"/>
          </w:rPr>
          <w:t>New York Correction Law section 24</w:t>
        </w:r>
      </w:hyperlink>
      <w:r>
        <w:rPr>
          <w:rFonts w:ascii="arial" w:eastAsia="arial" w:hAnsi="arial" w:cs="arial"/>
          <w:b w:val="0"/>
          <w:i w:val="0"/>
          <w:strike w:val="0"/>
          <w:noProof w:val="0"/>
          <w:color w:val="000000"/>
          <w:position w:val="0"/>
          <w:sz w:val="20"/>
          <w:u w:val="none"/>
          <w:vertAlign w:val="baseline"/>
        </w:rPr>
        <w:t xml:space="preserve"> states,</w:t>
      </w:r>
    </w:p>
    <w:p>
      <w:pPr>
        <w:keepNext w:val="0"/>
        <w:spacing w:after="0" w:line="260" w:lineRule="atLeast"/>
        <w:ind w:left="40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1. No civil action shall be brought in any court of the state, except by the attorney general on behalf of the state, against any officer or employee of the department, which for purposes of this section shall include members of the state board of parole, in his or her personal capacity, for damages arising out of any act done or the failure to perform any act within the scope of the employment and in the discharge of the duties by such officer or employee.</w:t>
      </w:r>
    </w:p>
    <w:p>
      <w:pPr>
        <w:keepNext w:val="0"/>
        <w:spacing w:after="0" w:line="260" w:lineRule="atLeast"/>
        <w:ind w:left="40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2. Any claim for damages arising out of any act done or the failure to perform any act within the scope of the employment and in the discharge of the duties of any officer or employee of the department shall be brought and maintained in the court of claims as a claim against the state.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N.Y. Correct. Law § 24</w:t>
        </w:r>
      </w:hyperlink>
      <w:r>
        <w:rPr>
          <w:rFonts w:ascii="arial" w:eastAsia="arial" w:hAnsi="arial" w:cs="arial"/>
          <w:b w:val="0"/>
          <w:i w:val="0"/>
          <w:strike w:val="0"/>
          <w:noProof w:val="0"/>
          <w:color w:val="000000"/>
          <w:position w:val="0"/>
          <w:sz w:val="20"/>
          <w:u w:val="none"/>
          <w:vertAlign w:val="baseline"/>
        </w:rPr>
        <w:t xml:space="preserve">. </w:t>
      </w:r>
      <w:bookmarkStart w:id="24" w:name="Bookmark_I69C9GX62HM62J0020000400"/>
      <w:bookmarkEnd w:id="24"/>
      <w:r>
        <w:rPr>
          <w:rFonts w:ascii="arial" w:eastAsia="arial" w:hAnsi="arial" w:cs="arial"/>
          <w:b w:val="0"/>
          <w:i w:val="0"/>
          <w:strike w:val="0"/>
          <w:noProof w:val="0"/>
          <w:color w:val="000000"/>
          <w:position w:val="0"/>
          <w:sz w:val="20"/>
          <w:u w:val="none"/>
          <w:vertAlign w:val="baseline"/>
        </w:rPr>
        <w:t>The statute "provides DOCCS employees immunity from lawsuits based on acts or omissions within the course of their employment. Such actions must be brought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New York Court of Claims as a claim against the state." </w:t>
      </w:r>
      <w:hyperlink r:id="rId31" w:history="1">
        <w:r>
          <w:rPr>
            <w:rFonts w:ascii="arial" w:eastAsia="arial" w:hAnsi="arial" w:cs="arial"/>
            <w:b w:val="0"/>
            <w:i/>
            <w:strike w:val="0"/>
            <w:noProof w:val="0"/>
            <w:color w:val="0077CC"/>
            <w:position w:val="0"/>
            <w:sz w:val="20"/>
            <w:u w:val="single"/>
            <w:vertAlign w:val="baseline"/>
          </w:rPr>
          <w:t>Purcelle v. Thomas</w:t>
        </w:r>
      </w:hyperlink>
      <w:hyperlink r:id="rId31" w:history="1">
        <w:r>
          <w:rPr>
            <w:rFonts w:ascii="arial" w:eastAsia="arial" w:hAnsi="arial" w:cs="arial"/>
            <w:b w:val="0"/>
            <w:i/>
            <w:strike w:val="0"/>
            <w:noProof w:val="0"/>
            <w:color w:val="0077CC"/>
            <w:position w:val="0"/>
            <w:sz w:val="20"/>
            <w:u w:val="single"/>
            <w:vertAlign w:val="baseline"/>
          </w:rPr>
          <w:t>, 9:18-CV-77 (GLS/TWD), 2020 U.S. Dist. LEXIS 41391, 2020 WL 1516421, at *15 (N.D.N.Y. Mar. 6, 2020)</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2020 U.S. Dist. LEXIS 54677, 2020 WL 1511079 (N.D.N.Y. Mar. 30, 2020)</w:t>
        </w:r>
      </w:hyperlink>
      <w:r>
        <w:rPr>
          <w:rFonts w:ascii="arial" w:eastAsia="arial" w:hAnsi="arial" w:cs="arial"/>
          <w:b w:val="0"/>
          <w:i w:val="0"/>
          <w:strike w:val="0"/>
          <w:noProof w:val="0"/>
          <w:color w:val="000000"/>
          <w:position w:val="0"/>
          <w:sz w:val="20"/>
          <w:u w:val="none"/>
          <w:vertAlign w:val="baseline"/>
        </w:rPr>
        <w:t xml:space="preserve">. "Employees are considered to be acting within the scope of their employment so long as they are carrying out their assigned duties, 'no matter how irregularly, or with what disregard of instructions.'" </w:t>
      </w:r>
      <w:bookmarkStart w:id="25" w:name="Bookmark_I69C9GX62HM62J0010000400"/>
      <w:bookmarkEnd w:id="25"/>
      <w:hyperlink r:id="rId33" w:history="1">
        <w:r>
          <w:rPr>
            <w:rFonts w:ascii="arial" w:eastAsia="arial" w:hAnsi="arial" w:cs="arial"/>
            <w:b w:val="0"/>
            <w:i/>
            <w:strike w:val="0"/>
            <w:noProof w:val="0"/>
            <w:color w:val="0077CC"/>
            <w:position w:val="0"/>
            <w:sz w:val="20"/>
            <w:u w:val="single"/>
            <w:vertAlign w:val="baseline"/>
          </w:rPr>
          <w:t>Bernardi v. New York State Dep't of Corr.</w:t>
        </w:r>
      </w:hyperlink>
      <w:hyperlink r:id="rId33" w:history="1">
        <w:r>
          <w:rPr>
            <w:rFonts w:ascii="arial" w:eastAsia="arial" w:hAnsi="arial" w:cs="arial"/>
            <w:b w:val="0"/>
            <w:i/>
            <w:strike w:val="0"/>
            <w:noProof w:val="0"/>
            <w:color w:val="0077CC"/>
            <w:position w:val="0"/>
            <w:sz w:val="20"/>
            <w:u w:val="single"/>
            <w:vertAlign w:val="baseline"/>
          </w:rPr>
          <w:t>, No. 19-CV-11867 (KMK), 2021 U.S. Dist. LEXIS 95225, 2021 WL 1999159, at *5 (S.D.N.Y. May 19, 2021)</w:t>
        </w:r>
      </w:hyperlink>
      <w:r>
        <w:rPr>
          <w:rFonts w:ascii="arial" w:eastAsia="arial" w:hAnsi="arial" w:cs="arial"/>
          <w:b w:val="0"/>
          <w:i w:val="0"/>
          <w:strike w:val="0"/>
          <w:noProof w:val="0"/>
          <w:color w:val="000000"/>
          <w:position w:val="0"/>
          <w:sz w:val="20"/>
          <w:u w:val="none"/>
          <w:vertAlign w:val="baseline"/>
        </w:rPr>
        <w:t xml:space="preserve"> (quoting </w:t>
      </w:r>
      <w:bookmarkStart w:id="26" w:name="Bookmark_I68R071W2HM5SH0040000400"/>
      <w:bookmarkEnd w:id="26"/>
      <w:hyperlink r:id="rId34" w:history="1">
        <w:r>
          <w:rPr>
            <w:rFonts w:ascii="arial" w:eastAsia="arial" w:hAnsi="arial" w:cs="arial"/>
            <w:b w:val="0"/>
            <w:i/>
            <w:strike w:val="0"/>
            <w:noProof w:val="0"/>
            <w:color w:val="0077CC"/>
            <w:position w:val="0"/>
            <w:sz w:val="20"/>
            <w:u w:val="single"/>
            <w:vertAlign w:val="baseline"/>
          </w:rPr>
          <w:t>Cepeda v. Coughlin</w:t>
        </w:r>
      </w:hyperlink>
      <w:hyperlink r:id="rId34" w:history="1">
        <w:r>
          <w:rPr>
            <w:rFonts w:ascii="arial" w:eastAsia="arial" w:hAnsi="arial" w:cs="arial"/>
            <w:b w:val="0"/>
            <w:i/>
            <w:strike w:val="0"/>
            <w:noProof w:val="0"/>
            <w:color w:val="0077CC"/>
            <w:position w:val="0"/>
            <w:sz w:val="20"/>
            <w:u w:val="single"/>
            <w:vertAlign w:val="baseline"/>
          </w:rPr>
          <w:t>, 128 A.D.2d 995, 513 N.Y.S.2d 528, 530 (App. Div. 1987)</w:t>
        </w:r>
      </w:hyperlink>
      <w:r>
        <w:rPr>
          <w:rFonts w:ascii="arial" w:eastAsia="arial" w:hAnsi="arial" w:cs="arial"/>
          <w:b w:val="0"/>
          <w:i w:val="0"/>
          <w:strike w:val="0"/>
          <w:noProof w:val="0"/>
          <w:color w:val="000000"/>
          <w:position w:val="0"/>
          <w:sz w:val="20"/>
          <w:u w:val="none"/>
          <w:vertAlign w:val="baseline"/>
        </w:rPr>
        <w:t xml:space="preserve">). "Employees, however, are not found to be acting within their employment scope when their conduct, while in the course of employment, is 'for purely personal reasons unrelated to the employer's interests' and 'a substantial departure from the normal methods of performing [their] duties.'"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35" w:history="1">
        <w:r>
          <w:rPr>
            <w:rFonts w:ascii="arial" w:eastAsia="arial" w:hAnsi="arial" w:cs="arial"/>
            <w:b w:val="0"/>
            <w:i/>
            <w:strike w:val="0"/>
            <w:noProof w:val="0"/>
            <w:color w:val="0077CC"/>
            <w:position w:val="0"/>
            <w:sz w:val="20"/>
            <w:u w:val="single"/>
            <w:vertAlign w:val="baseline"/>
          </w:rPr>
          <w:t>White v. Montesano</w:t>
        </w:r>
      </w:hyperlink>
      <w:hyperlink r:id="rId35" w:history="1">
        <w:r>
          <w:rPr>
            <w:rFonts w:ascii="arial" w:eastAsia="arial" w:hAnsi="arial" w:cs="arial"/>
            <w:b w:val="0"/>
            <w:i/>
            <w:strike w:val="0"/>
            <w:noProof w:val="0"/>
            <w:color w:val="0077CC"/>
            <w:position w:val="0"/>
            <w:sz w:val="20"/>
            <w:u w:val="single"/>
            <w:vertAlign w:val="baseline"/>
          </w:rPr>
          <w:t>, 466 F. Supp. 3d 331, 335 (W.D.N.Y.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36" w:history="1">
        <w:r>
          <w:rPr>
            <w:rFonts w:ascii="arial" w:eastAsia="arial" w:hAnsi="arial" w:cs="arial"/>
            <w:b w:val="0"/>
            <w:i/>
            <w:strike w:val="0"/>
            <w:noProof w:val="0"/>
            <w:color w:val="0077CC"/>
            <w:position w:val="0"/>
            <w:sz w:val="20"/>
            <w:u w:val="single"/>
            <w:vertAlign w:val="baseline"/>
          </w:rPr>
          <w:t>Livingston v. Griffin</w:t>
        </w:r>
      </w:hyperlink>
      <w:hyperlink r:id="rId36" w:history="1">
        <w:r>
          <w:rPr>
            <w:rFonts w:ascii="arial" w:eastAsia="arial" w:hAnsi="arial" w:cs="arial"/>
            <w:b w:val="0"/>
            <w:i/>
            <w:strike w:val="0"/>
            <w:noProof w:val="0"/>
            <w:color w:val="0077CC"/>
            <w:position w:val="0"/>
            <w:sz w:val="20"/>
            <w:u w:val="single"/>
            <w:vertAlign w:val="baseline"/>
          </w:rPr>
          <w:t>, No. 9:04-CV-00607 (JKS), 2007 U.S. Dist. LEXIS 61642, 2007 WL 2437433, at *2 (N.D.N.Y. Aug. 22, 2007)</w:t>
        </w:r>
      </w:hyperlink>
      <w:r>
        <w:rPr>
          <w:rFonts w:ascii="arial" w:eastAsia="arial" w:hAnsi="arial" w:cs="arial"/>
          <w:b w:val="0"/>
          <w:i w:val="0"/>
          <w:strike w:val="0"/>
          <w:noProof w:val="0"/>
          <w:color w:val="000000"/>
          <w:position w:val="0"/>
          <w:sz w:val="20"/>
          <w:u w:val="none"/>
          <w:vertAlign w:val="baseline"/>
        </w:rPr>
        <w:t xml:space="preserve"> ("New York courts have held that </w:t>
      </w:r>
      <w:hyperlink r:id="rId14" w:history="1">
        <w:r>
          <w:rPr>
            <w:rFonts w:ascii="arial" w:eastAsia="arial" w:hAnsi="arial" w:cs="arial"/>
            <w:b w:val="0"/>
            <w:i/>
            <w:strike w:val="0"/>
            <w:noProof w:val="0"/>
            <w:color w:val="0077CC"/>
            <w:position w:val="0"/>
            <w:sz w:val="20"/>
            <w:u w:val="single"/>
            <w:vertAlign w:val="baseline"/>
          </w:rPr>
          <w:t>§ 24(1)</w:t>
        </w:r>
      </w:hyperlink>
      <w:r>
        <w:rPr>
          <w:rFonts w:ascii="arial" w:eastAsia="arial" w:hAnsi="arial" w:cs="arial"/>
          <w:b w:val="0"/>
          <w:i w:val="0"/>
          <w:strike w:val="0"/>
          <w:noProof w:val="0"/>
          <w:color w:val="000000"/>
          <w:position w:val="0"/>
          <w:sz w:val="20"/>
          <w:u w:val="none"/>
          <w:vertAlign w:val="baseline"/>
        </w:rPr>
        <w:t xml:space="preserve"> is inapplicable where the act is committed solely for personal reasons unrelated to the employer's interests."). </w:t>
      </w:r>
      <w:bookmarkStart w:id="27" w:name="Bookmark_I69C9GX62HM62J0040000400"/>
      <w:bookmarkEnd w:id="27"/>
      <w:r>
        <w:rPr>
          <w:rFonts w:ascii="arial" w:eastAsia="arial" w:hAnsi="arial" w:cs="arial"/>
          <w:b w:val="0"/>
          <w:i w:val="0"/>
          <w:strike w:val="0"/>
          <w:noProof w:val="0"/>
          <w:color w:val="000000"/>
          <w:position w:val="0"/>
          <w:sz w:val="20"/>
          <w:u w:val="none"/>
          <w:vertAlign w:val="baseline"/>
        </w:rPr>
        <w:t>"[C]ourts have looked to the following factors to determine whether actions fall within the actor's scope of employment:"</w:t>
      </w:r>
    </w:p>
    <w:p>
      <w:pPr>
        <w:keepNext w:val="0"/>
        <w:spacing w:before="200" w:after="0" w:line="260" w:lineRule="atLeast"/>
        <w:ind w:left="400" w:right="0" w:firstLine="0"/>
        <w:jc w:val="both"/>
      </w:pPr>
      <w:bookmarkStart w:id="28" w:name="Bookmark_para_12"/>
      <w:bookmarkEnd w:id="28"/>
      <w:bookmarkStart w:id="29" w:name="Bookmark_I69C9GX62HM62J0040000400_2"/>
      <w:bookmarkEnd w:id="29"/>
      <w:r>
        <w:rPr>
          <w:rFonts w:ascii="arial" w:eastAsia="arial" w:hAnsi="arial" w:cs="arial"/>
          <w:b w:val="0"/>
          <w:i w:val="0"/>
          <w:strike w:val="0"/>
          <w:noProof w:val="0"/>
          <w:color w:val="000000"/>
          <w:position w:val="0"/>
          <w:sz w:val="20"/>
          <w:u w:val="none"/>
          <w:vertAlign w:val="baseline"/>
        </w:rPr>
        <w:t>the connection between the time, place[,] and occasion for the act; the history of the relationship between employer and employee as spelled out in actual practice; whether the act is one commonly done by any employee; the extent of departure from normal methods of performance; and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whether the specific act was one that the employer could reasonably have anticipated.</w:t>
      </w:r>
    </w:p>
    <w:p>
      <w:pPr>
        <w:keepNext w:val="0"/>
        <w:spacing w:before="240" w:after="0" w:line="260" w:lineRule="atLeast"/>
        <w:ind w:left="0" w:right="0" w:firstLine="0"/>
        <w:jc w:val="both"/>
      </w:pPr>
      <w:bookmarkStart w:id="30" w:name="Bookmark_I69C9GX62HM62J0040000400_3"/>
      <w:bookmarkEnd w:id="30"/>
      <w:bookmarkStart w:id="31" w:name="Bookmark_I69C9GX62HM62J0030000400"/>
      <w:bookmarkEnd w:id="31"/>
      <w:hyperlink r:id="rId37" w:history="1">
        <w:r>
          <w:rPr>
            <w:rFonts w:ascii="arial" w:eastAsia="arial" w:hAnsi="arial" w:cs="arial"/>
            <w:b w:val="0"/>
            <w:i/>
            <w:strike w:val="0"/>
            <w:color w:val="0077CC"/>
            <w:sz w:val="20"/>
            <w:u w:val="single"/>
            <w:vertAlign w:val="baseline"/>
          </w:rPr>
          <w:t>Francis v. Fiacco</w:t>
        </w:r>
      </w:hyperlink>
      <w:hyperlink r:id="rId37" w:history="1">
        <w:r>
          <w:rPr>
            <w:rFonts w:ascii="arial" w:eastAsia="arial" w:hAnsi="arial" w:cs="arial"/>
            <w:b w:val="0"/>
            <w:i/>
            <w:strike w:val="0"/>
            <w:color w:val="0077CC"/>
            <w:sz w:val="20"/>
            <w:u w:val="single"/>
            <w:vertAlign w:val="baseline"/>
          </w:rPr>
          <w:t>, No. 9:15-CV-00901 (MAD/ATB), 2016 U.S. Dist. LEXIS 79668, 2016 WL 3448617, at *4 (N.D.N.Y. June 20, 2016)</w:t>
        </w:r>
      </w:hyperlink>
      <w:r>
        <w:rPr>
          <w:rFonts w:ascii="arial" w:eastAsia="arial" w:hAnsi="arial" w:cs="arial"/>
          <w:b w:val="0"/>
          <w:i w:val="0"/>
          <w:strike w:val="0"/>
          <w:noProof w:val="0"/>
          <w:color w:val="000000"/>
          <w:position w:val="0"/>
          <w:sz w:val="20"/>
          <w:u w:val="none"/>
          <w:vertAlign w:val="baseline"/>
        </w:rPr>
        <w:t xml:space="preserve"> (quoting </w:t>
      </w:r>
      <w:bookmarkStart w:id="32" w:name="Bookmark_I68R071X2N1PMW0020000400"/>
      <w:bookmarkEnd w:id="32"/>
      <w:hyperlink r:id="rId38" w:history="1">
        <w:r>
          <w:rPr>
            <w:rFonts w:ascii="arial" w:eastAsia="arial" w:hAnsi="arial" w:cs="arial"/>
            <w:b w:val="0"/>
            <w:i/>
            <w:strike w:val="0"/>
            <w:noProof w:val="0"/>
            <w:color w:val="0077CC"/>
            <w:position w:val="0"/>
            <w:sz w:val="20"/>
            <w:u w:val="single"/>
            <w:vertAlign w:val="baseline"/>
          </w:rPr>
          <w:t>Ierardi v. Sisco</w:t>
        </w:r>
      </w:hyperlink>
      <w:hyperlink r:id="rId38" w:history="1">
        <w:r>
          <w:rPr>
            <w:rFonts w:ascii="arial" w:eastAsia="arial" w:hAnsi="arial" w:cs="arial"/>
            <w:b w:val="0"/>
            <w:i/>
            <w:strike w:val="0"/>
            <w:noProof w:val="0"/>
            <w:color w:val="0077CC"/>
            <w:position w:val="0"/>
            <w:sz w:val="20"/>
            <w:u w:val="single"/>
            <w:vertAlign w:val="baseline"/>
          </w:rPr>
          <w:t>, 119 F.3d 183, 187 (2d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13"/>
      <w:bookmarkEnd w:id="33"/>
      <w:bookmarkStart w:id="34" w:name="Bookmark_I69C9GX72D6NC50010000400"/>
      <w:bookmarkEnd w:id="34"/>
      <w:r>
        <w:rPr>
          <w:rFonts w:ascii="arial" w:eastAsia="arial" w:hAnsi="arial" w:cs="arial"/>
          <w:b w:val="0"/>
          <w:i w:val="0"/>
          <w:strike w:val="0"/>
          <w:noProof w:val="0"/>
          <w:color w:val="000000"/>
          <w:position w:val="0"/>
          <w:sz w:val="20"/>
          <w:u w:val="none"/>
          <w:vertAlign w:val="baseline"/>
        </w:rPr>
        <w:t xml:space="preserve">"The Second Circuit has held that the immunity from suit in state court provided to DOC[C]S employees by </w:t>
      </w:r>
      <w:hyperlink r:id="rId14" w:history="1">
        <w:r>
          <w:rPr>
            <w:rFonts w:ascii="arial" w:eastAsia="arial" w:hAnsi="arial" w:cs="arial"/>
            <w:b w:val="0"/>
            <w:i/>
            <w:strike w:val="0"/>
            <w:noProof w:val="0"/>
            <w:color w:val="0077CC"/>
            <w:position w:val="0"/>
            <w:sz w:val="20"/>
            <w:u w:val="single"/>
            <w:vertAlign w:val="baseline"/>
          </w:rPr>
          <w:t>§ 24</w:t>
        </w:r>
      </w:hyperlink>
      <w:r>
        <w:rPr>
          <w:rFonts w:ascii="arial" w:eastAsia="arial" w:hAnsi="arial" w:cs="arial"/>
          <w:b w:val="0"/>
          <w:i w:val="0"/>
          <w:strike w:val="0"/>
          <w:noProof w:val="0"/>
          <w:color w:val="000000"/>
          <w:position w:val="0"/>
          <w:sz w:val="20"/>
          <w:u w:val="none"/>
          <w:vertAlign w:val="baseline"/>
        </w:rPr>
        <w:t xml:space="preserve"> extends to suits for tort claims based on state law against DOC[C]S employees in federal court." </w:t>
      </w:r>
      <w:bookmarkStart w:id="35" w:name="Bookmark_I69C9GX62HM62J0050000400"/>
      <w:bookmarkEnd w:id="35"/>
      <w:hyperlink r:id="rId39" w:history="1">
        <w:r>
          <w:rPr>
            <w:rFonts w:ascii="arial" w:eastAsia="arial" w:hAnsi="arial" w:cs="arial"/>
            <w:b w:val="0"/>
            <w:i/>
            <w:strike w:val="0"/>
            <w:noProof w:val="0"/>
            <w:color w:val="0077CC"/>
            <w:position w:val="0"/>
            <w:sz w:val="20"/>
            <w:u w:val="single"/>
            <w:vertAlign w:val="baseline"/>
          </w:rPr>
          <w:t>Williams v. Ferrari</w:t>
        </w:r>
      </w:hyperlink>
      <w:hyperlink r:id="rId39" w:history="1">
        <w:r>
          <w:rPr>
            <w:rFonts w:ascii="arial" w:eastAsia="arial" w:hAnsi="arial" w:cs="arial"/>
            <w:b w:val="0"/>
            <w:i/>
            <w:strike w:val="0"/>
            <w:noProof w:val="0"/>
            <w:color w:val="0077CC"/>
            <w:position w:val="0"/>
            <w:sz w:val="20"/>
            <w:u w:val="single"/>
            <w:vertAlign w:val="baseline"/>
          </w:rPr>
          <w:t>, No. 9:15-CV-0988 (GTS/DJS), 2018 U.S. Dist. LEXIS 19401, 2018 WL 1179603, at *8 (N.D.N.Y. Feb. 5, 2018)</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6" w:name="Bookmark_I68R071Y2HM5T20010000400"/>
      <w:bookmarkEnd w:id="36"/>
      <w:hyperlink r:id="rId40" w:history="1">
        <w:r>
          <w:rPr>
            <w:rFonts w:ascii="arial" w:eastAsia="arial" w:hAnsi="arial" w:cs="arial"/>
            <w:b w:val="0"/>
            <w:i/>
            <w:strike w:val="0"/>
            <w:noProof w:val="0"/>
            <w:color w:val="0077CC"/>
            <w:position w:val="0"/>
            <w:sz w:val="20"/>
            <w:u w:val="single"/>
            <w:vertAlign w:val="baseline"/>
          </w:rPr>
          <w:t>2018 U.S. Dist. LEXIS 36135, 2018 WL 1183385 (N.D.N.Y. Mar. 6, 2018)</w:t>
        </w:r>
      </w:hyperlink>
      <w:r>
        <w:rPr>
          <w:rFonts w:ascii="arial" w:eastAsia="arial" w:hAnsi="arial" w:cs="arial"/>
          <w:b w:val="0"/>
          <w:i w:val="0"/>
          <w:strike w:val="0"/>
          <w:noProof w:val="0"/>
          <w:color w:val="000000"/>
          <w:position w:val="0"/>
          <w:sz w:val="20"/>
          <w:u w:val="none"/>
          <w:vertAlign w:val="baseline"/>
        </w:rPr>
        <w:t xml:space="preserve">. "The Second Circuit . . . has made it clear that [the well-established doctrine of pendent jurisdiction] does not preclude application of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to claims brought in federal court." </w:t>
      </w:r>
      <w:hyperlink r:id="rId41" w:history="1">
        <w:r>
          <w:rPr>
            <w:rFonts w:ascii="arial" w:eastAsia="arial" w:hAnsi="arial" w:cs="arial"/>
            <w:b w:val="0"/>
            <w:i/>
            <w:strike w:val="0"/>
            <w:noProof w:val="0"/>
            <w:color w:val="0077CC"/>
            <w:position w:val="0"/>
            <w:sz w:val="20"/>
            <w:u w:val="single"/>
            <w:vertAlign w:val="baseline"/>
          </w:rPr>
          <w:t>Zulu v. Wells</w:t>
        </w:r>
      </w:hyperlink>
      <w:hyperlink r:id="rId41" w:history="1">
        <w:r>
          <w:rPr>
            <w:rFonts w:ascii="arial" w:eastAsia="arial" w:hAnsi="arial" w:cs="arial"/>
            <w:b w:val="0"/>
            <w:i/>
            <w:strike w:val="0"/>
            <w:noProof w:val="0"/>
            <w:color w:val="0077CC"/>
            <w:position w:val="0"/>
            <w:sz w:val="20"/>
            <w:u w:val="single"/>
            <w:vertAlign w:val="baseline"/>
          </w:rPr>
          <w:t>, No. 9:20-CV-312 (LEK/DJS), 2020 U.S. Dist. LEXIS 181322, 2020 WL 7265191, at *2 (N.D.N.Y. Sept. 29,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2020 U.S. Dist. LEXIS 205930, 2020 WL 6482034 (N.D.N.Y. Nov. 4, 2020)</w:t>
        </w:r>
      </w:hyperlink>
      <w:r>
        <w:rPr>
          <w:rFonts w:ascii="arial" w:eastAsia="arial" w:hAnsi="arial" w:cs="arial"/>
          <w:b w:val="0"/>
          <w:i w:val="0"/>
          <w:strike w:val="0"/>
          <w:noProof w:val="0"/>
          <w:color w:val="000000"/>
          <w:position w:val="0"/>
          <w:sz w:val="20"/>
          <w:u w:val="none"/>
          <w:vertAlign w:val="baseline"/>
        </w:rPr>
        <w:t xml:space="preserve"> (citing </w:t>
      </w:r>
      <w:hyperlink r:id="rId38" w:history="1">
        <w:r>
          <w:rPr>
            <w:rFonts w:ascii="arial" w:eastAsia="arial" w:hAnsi="arial" w:cs="arial"/>
            <w:b w:val="0"/>
            <w:i/>
            <w:strike w:val="0"/>
            <w:noProof w:val="0"/>
            <w:color w:val="0077CC"/>
            <w:position w:val="0"/>
            <w:sz w:val="20"/>
            <w:u w:val="single"/>
            <w:vertAlign w:val="baseline"/>
          </w:rPr>
          <w:t>Ierardi</w:t>
        </w:r>
      </w:hyperlink>
      <w:hyperlink r:id="rId38" w:history="1">
        <w:r>
          <w:rPr>
            <w:rFonts w:ascii="arial" w:eastAsia="arial" w:hAnsi="arial" w:cs="arial"/>
            <w:b w:val="0"/>
            <w:i/>
            <w:strike w:val="0"/>
            <w:noProof w:val="0"/>
            <w:color w:val="0077CC"/>
            <w:position w:val="0"/>
            <w:sz w:val="20"/>
            <w:u w:val="single"/>
            <w:vertAlign w:val="baseline"/>
          </w:rPr>
          <w:t>, 119 F.3d at 186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4"/>
      <w:bookmarkEnd w:id="37"/>
      <w:bookmarkStart w:id="38" w:name="Bookmark_I68R071Y28T4MC0050000400"/>
      <w:bookmarkEnd w:id="38"/>
      <w:r>
        <w:rPr>
          <w:rFonts w:ascii="arial" w:eastAsia="arial" w:hAnsi="arial" w:cs="arial"/>
          <w:b w:val="0"/>
          <w:i w:val="0"/>
          <w:strike w:val="0"/>
          <w:noProof w:val="0"/>
          <w:color w:val="000000"/>
          <w:position w:val="0"/>
          <w:sz w:val="20"/>
          <w:u w:val="none"/>
          <w:vertAlign w:val="baseline"/>
        </w:rPr>
        <w:t xml:space="preserve">Immunity under </w:t>
      </w:r>
      <w:hyperlink r:id="rId14" w:history="1">
        <w:r>
          <w:rPr>
            <w:rFonts w:ascii="arial" w:eastAsia="arial" w:hAnsi="arial" w:cs="arial"/>
            <w:b w:val="0"/>
            <w:i/>
            <w:strike w:val="0"/>
            <w:noProof w:val="0"/>
            <w:color w:val="0077CC"/>
            <w:position w:val="0"/>
            <w:sz w:val="20"/>
            <w:u w:val="single"/>
            <w:vertAlign w:val="baseline"/>
          </w:rPr>
          <w:t>N.Y. Correction Law section 24</w:t>
        </w:r>
      </w:hyperlink>
      <w:r>
        <w:rPr>
          <w:rFonts w:ascii="arial" w:eastAsia="arial" w:hAnsi="arial" w:cs="arial"/>
          <w:b w:val="0"/>
          <w:i w:val="0"/>
          <w:strike w:val="0"/>
          <w:noProof w:val="0"/>
          <w:color w:val="000000"/>
          <w:position w:val="0"/>
          <w:sz w:val="20"/>
          <w:u w:val="none"/>
          <w:vertAlign w:val="baseline"/>
        </w:rPr>
        <w:t xml:space="preserve"> has been applied numerous times in the context of an IIED claim. </w:t>
      </w:r>
      <w:r>
        <w:rPr>
          <w:rFonts w:ascii="arial" w:eastAsia="arial" w:hAnsi="arial" w:cs="arial"/>
          <w:b w:val="0"/>
          <w:i w:val="0"/>
          <w:strike w:val="0"/>
          <w:noProof w:val="0"/>
          <w:color w:val="000000"/>
          <w:position w:val="0"/>
          <w:sz w:val="20"/>
          <w:u w:val="single"/>
          <w:vertAlign w:val="baseline"/>
        </w:rPr>
        <w:t xml:space="preserve">See </w:t>
      </w:r>
      <w:bookmarkStart w:id="39" w:name="Bookmark_I68R071Y28T4MC0040000400"/>
      <w:bookmarkEnd w:id="39"/>
      <w:hyperlink r:id="rId43" w:history="1">
        <w:r>
          <w:rPr>
            <w:rFonts w:ascii="arial" w:eastAsia="arial" w:hAnsi="arial" w:cs="arial"/>
            <w:b w:val="0"/>
            <w:i/>
            <w:strike w:val="0"/>
            <w:noProof w:val="0"/>
            <w:color w:val="0077CC"/>
            <w:position w:val="0"/>
            <w:sz w:val="20"/>
            <w:u w:val="single"/>
            <w:vertAlign w:val="baseline"/>
          </w:rPr>
          <w:t>Ficklin v. Rusinko</w:t>
        </w:r>
      </w:hyperlink>
      <w:hyperlink r:id="rId43" w:history="1">
        <w:r>
          <w:rPr>
            <w:rFonts w:ascii="arial" w:eastAsia="arial" w:hAnsi="arial" w:cs="arial"/>
            <w:b w:val="0"/>
            <w:i/>
            <w:strike w:val="0"/>
            <w:noProof w:val="0"/>
            <w:color w:val="0077CC"/>
            <w:position w:val="0"/>
            <w:sz w:val="20"/>
            <w:u w:val="single"/>
            <w:vertAlign w:val="baseline"/>
          </w:rPr>
          <w:t>, 351 F. Supp. 3d 436, 444-47 (W.D.N.Y. 2019)</w:t>
        </w:r>
      </w:hyperlink>
      <w:r>
        <w:rPr>
          <w:rFonts w:ascii="arial" w:eastAsia="arial" w:hAnsi="arial" w:cs="arial"/>
          <w:b w:val="0"/>
          <w:i w:val="0"/>
          <w:strike w:val="0"/>
          <w:noProof w:val="0"/>
          <w:color w:val="000000"/>
          <w:position w:val="0"/>
          <w:sz w:val="20"/>
          <w:u w:val="none"/>
          <w:vertAlign w:val="baseline"/>
        </w:rPr>
        <w:t xml:space="preserve">; </w:t>
      </w:r>
      <w:bookmarkStart w:id="40" w:name="Bookmark_I69C9GX72D6NC50020000400"/>
      <w:bookmarkEnd w:id="40"/>
      <w:hyperlink r:id="rId37" w:history="1">
        <w:r>
          <w:rPr>
            <w:rFonts w:ascii="arial" w:eastAsia="arial" w:hAnsi="arial" w:cs="arial"/>
            <w:b w:val="0"/>
            <w:i/>
            <w:strike w:val="0"/>
            <w:noProof w:val="0"/>
            <w:color w:val="0077CC"/>
            <w:position w:val="0"/>
            <w:sz w:val="20"/>
            <w:u w:val="single"/>
            <w:vertAlign w:val="baseline"/>
          </w:rPr>
          <w:t>Francis</w:t>
        </w:r>
      </w:hyperlink>
      <w:hyperlink r:id="rId37" w:history="1">
        <w:r>
          <w:rPr>
            <w:rFonts w:ascii="arial" w:eastAsia="arial" w:hAnsi="arial" w:cs="arial"/>
            <w:b w:val="0"/>
            <w:i/>
            <w:strike w:val="0"/>
            <w:noProof w:val="0"/>
            <w:color w:val="0077CC"/>
            <w:position w:val="0"/>
            <w:sz w:val="20"/>
            <w:u w:val="single"/>
            <w:vertAlign w:val="baseline"/>
          </w:rPr>
          <w:t>, 2016 U.S. Dist. LEXIS 79668, 2016 WL 3448617, at *3-4</w:t>
        </w:r>
      </w:hyperlink>
      <w:r>
        <w:rPr>
          <w:rFonts w:ascii="arial" w:eastAsia="arial" w:hAnsi="arial" w:cs="arial"/>
          <w:b w:val="0"/>
          <w:i w:val="0"/>
          <w:strike w:val="0"/>
          <w:noProof w:val="0"/>
          <w:color w:val="000000"/>
          <w:position w:val="0"/>
          <w:sz w:val="20"/>
          <w:u w:val="none"/>
          <w:vertAlign w:val="baseline"/>
        </w:rPr>
        <w:t xml:space="preserve">; </w:t>
      </w:r>
      <w:bookmarkStart w:id="41" w:name="Bookmark_I68R071Y2SF8GD0030000400"/>
      <w:bookmarkEnd w:id="41"/>
      <w:hyperlink r:id="rId44" w:history="1">
        <w:r>
          <w:rPr>
            <w:rFonts w:ascii="arial" w:eastAsia="arial" w:hAnsi="arial" w:cs="arial"/>
            <w:b w:val="0"/>
            <w:i/>
            <w:strike w:val="0"/>
            <w:noProof w:val="0"/>
            <w:color w:val="0077CC"/>
            <w:position w:val="0"/>
            <w:sz w:val="20"/>
            <w:u w:val="single"/>
            <w:vertAlign w:val="baseline"/>
          </w:rPr>
          <w:t>Flint v. Jun</w:t>
        </w:r>
      </w:hyperlink>
      <w:hyperlink r:id="rId44" w:history="1">
        <w:r>
          <w:rPr>
            <w:rFonts w:ascii="arial" w:eastAsia="arial" w:hAnsi="arial" w:cs="arial"/>
            <w:b w:val="0"/>
            <w:i/>
            <w:strike w:val="0"/>
            <w:noProof w:val="0"/>
            <w:color w:val="0077CC"/>
            <w:position w:val="0"/>
            <w:sz w:val="20"/>
            <w:u w:val="single"/>
            <w:vertAlign w:val="baseline"/>
          </w:rPr>
          <w:t>, 541 F. Supp. 3d 284, 287-88 (W.D.N.Y. 2021)</w:t>
        </w:r>
      </w:hyperlink>
      <w:r>
        <w:rPr>
          <w:rFonts w:ascii="arial" w:eastAsia="arial" w:hAnsi="arial" w:cs="arial"/>
          <w:b w:val="0"/>
          <w:i w:val="0"/>
          <w:strike w:val="0"/>
          <w:noProof w:val="0"/>
          <w:color w:val="000000"/>
          <w:position w:val="0"/>
          <w:sz w:val="20"/>
          <w:u w:val="none"/>
          <w:vertAlign w:val="baseline"/>
        </w:rPr>
        <w:t xml:space="preserve">; </w:t>
      </w:r>
      <w:bookmarkStart w:id="42" w:name="Bookmark_I69C9GX72D6NC50040000400"/>
      <w:bookmarkEnd w:id="42"/>
      <w:hyperlink r:id="rId45" w:history="1">
        <w:r>
          <w:rPr>
            <w:rFonts w:ascii="arial" w:eastAsia="arial" w:hAnsi="arial" w:cs="arial"/>
            <w:b w:val="0"/>
            <w:i/>
            <w:strike w:val="0"/>
            <w:noProof w:val="0"/>
            <w:color w:val="0077CC"/>
            <w:position w:val="0"/>
            <w:sz w:val="20"/>
            <w:u w:val="single"/>
            <w:vertAlign w:val="baseline"/>
          </w:rPr>
          <w:t>Quezada v. Roy</w:t>
        </w:r>
      </w:hyperlink>
      <w:hyperlink r:id="rId45" w:history="1">
        <w:r>
          <w:rPr>
            <w:rFonts w:ascii="arial" w:eastAsia="arial" w:hAnsi="arial" w:cs="arial"/>
            <w:b w:val="0"/>
            <w:i/>
            <w:strike w:val="0"/>
            <w:noProof w:val="0"/>
            <w:color w:val="0077CC"/>
            <w:position w:val="0"/>
            <w:sz w:val="20"/>
            <w:u w:val="single"/>
            <w:vertAlign w:val="baseline"/>
          </w:rPr>
          <w:t>, No. 14-CV-4056 (CM), 2015 U.S. Dist. LEXIS 140653, 2015 WL 5970355, at *24-25 (S.D.N.Y. Oct. 13, 2015)</w:t>
        </w:r>
      </w:hyperlink>
      <w:r>
        <w:rPr>
          <w:rFonts w:ascii="arial" w:eastAsia="arial" w:hAnsi="arial" w:cs="arial"/>
          <w:b w:val="0"/>
          <w:i w:val="0"/>
          <w:strike w:val="0"/>
          <w:noProof w:val="0"/>
          <w:color w:val="000000"/>
          <w:position w:val="0"/>
          <w:sz w:val="20"/>
          <w:u w:val="none"/>
          <w:vertAlign w:val="baseline"/>
        </w:rPr>
        <w:t xml:space="preserve"> (concluding that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would bar the plaintiff's IIED claim stemming from an assault, name calling, and defendant officers labeling the plaintiff as a "snitch" but without analysis of the scope of the employment analysis); </w:t>
      </w:r>
      <w:bookmarkStart w:id="43" w:name="Bookmark_I68R07202SF8GF0020000400"/>
      <w:bookmarkEnd w:id="43"/>
      <w:hyperlink r:id="rId46" w:history="1">
        <w:r>
          <w:rPr>
            <w:rFonts w:ascii="arial" w:eastAsia="arial" w:hAnsi="arial" w:cs="arial"/>
            <w:b w:val="0"/>
            <w:i/>
            <w:strike w:val="0"/>
            <w:noProof w:val="0"/>
            <w:color w:val="0077CC"/>
            <w:position w:val="0"/>
            <w:sz w:val="20"/>
            <w:u w:val="single"/>
            <w:vertAlign w:val="baseline"/>
          </w:rPr>
          <w:t>Robinson v. Tillotson</w:t>
        </w:r>
      </w:hyperlink>
      <w:hyperlink r:id="rId46" w:history="1">
        <w:r>
          <w:rPr>
            <w:rFonts w:ascii="arial" w:eastAsia="arial" w:hAnsi="arial" w:cs="arial"/>
            <w:b w:val="0"/>
            <w:i/>
            <w:strike w:val="0"/>
            <w:noProof w:val="0"/>
            <w:color w:val="0077CC"/>
            <w:position w:val="0"/>
            <w:sz w:val="20"/>
            <w:u w:val="single"/>
            <w:vertAlign w:val="baseline"/>
          </w:rPr>
          <w:t>, No. 16-CV-5420 (NSR), 2018 U.S. Dist. LEXIS 167036, 2018 WL 4682226, at *8 (S.D.N.Y. Sept. 27, 2018)</w:t>
        </w:r>
      </w:hyperlink>
      <w:r>
        <w:rPr>
          <w:rFonts w:ascii="arial" w:eastAsia="arial" w:hAnsi="arial" w:cs="arial"/>
          <w:b w:val="0"/>
          <w:i w:val="0"/>
          <w:strike w:val="0"/>
          <w:noProof w:val="0"/>
          <w:color w:val="000000"/>
          <w:position w:val="0"/>
          <w:sz w:val="20"/>
          <w:u w:val="none"/>
          <w:vertAlign w:val="baseline"/>
        </w:rPr>
        <w:t xml:space="preserve">; </w:t>
      </w:r>
      <w:bookmarkStart w:id="44" w:name="Bookmark_I68R07202SF8GF0040000400"/>
      <w:bookmarkEnd w:id="44"/>
      <w:hyperlink r:id="rId47" w:history="1">
        <w:r>
          <w:rPr>
            <w:rFonts w:ascii="arial" w:eastAsia="arial" w:hAnsi="arial" w:cs="arial"/>
            <w:b w:val="0"/>
            <w:i/>
            <w:strike w:val="0"/>
            <w:noProof w:val="0"/>
            <w:color w:val="0077CC"/>
            <w:position w:val="0"/>
            <w:sz w:val="20"/>
            <w:u w:val="single"/>
            <w:vertAlign w:val="baseline"/>
          </w:rPr>
          <w:t>Doe v. New York</w:t>
        </w:r>
      </w:hyperlink>
      <w:hyperlink r:id="rId47" w:history="1">
        <w:r>
          <w:rPr>
            <w:rFonts w:ascii="arial" w:eastAsia="arial" w:hAnsi="arial" w:cs="arial"/>
            <w:b w:val="0"/>
            <w:i/>
            <w:strike w:val="0"/>
            <w:noProof w:val="0"/>
            <w:color w:val="0077CC"/>
            <w:position w:val="0"/>
            <w:sz w:val="20"/>
            <w:u w:val="single"/>
            <w:vertAlign w:val="baseline"/>
          </w:rPr>
          <w:t>, No. 10-CV-1792 (RJD/VVP), 2012 U.S. Dist. LEXIS 140802, 2012 WL 4503409, at *7 (E.D.N.Y. Sept. 28, 2012)</w:t>
        </w:r>
      </w:hyperlink>
      <w:r>
        <w:rPr>
          <w:rFonts w:ascii="arial" w:eastAsia="arial" w:hAnsi="arial" w:cs="arial"/>
          <w:b w:val="0"/>
          <w:i w:val="0"/>
          <w:strike w:val="0"/>
          <w:noProof w:val="0"/>
          <w:color w:val="000000"/>
          <w:position w:val="0"/>
          <w:sz w:val="20"/>
          <w:u w:val="none"/>
          <w:vertAlign w:val="baseline"/>
        </w:rPr>
        <w:t xml:space="preserve">; </w:t>
      </w:r>
      <w:bookmarkStart w:id="45" w:name="Bookmark_I69C9GX72N1R5J0010000400"/>
      <w:bookmarkEnd w:id="45"/>
      <w:hyperlink r:id="rId48" w:history="1">
        <w:r>
          <w:rPr>
            <w:rFonts w:ascii="arial" w:eastAsia="arial" w:hAnsi="arial" w:cs="arial"/>
            <w:b w:val="0"/>
            <w:i/>
            <w:strike w:val="0"/>
            <w:noProof w:val="0"/>
            <w:color w:val="0077CC"/>
            <w:position w:val="0"/>
            <w:sz w:val="20"/>
            <w:u w:val="single"/>
            <w:vertAlign w:val="baseline"/>
          </w:rPr>
          <w:t>Muhammad v. Annucci</w:t>
        </w:r>
      </w:hyperlink>
      <w:hyperlink r:id="rId48" w:history="1">
        <w:r>
          <w:rPr>
            <w:rFonts w:ascii="arial" w:eastAsia="arial" w:hAnsi="arial" w:cs="arial"/>
            <w:b w:val="0"/>
            <w:i/>
            <w:strike w:val="0"/>
            <w:noProof w:val="0"/>
            <w:color w:val="0077CC"/>
            <w:position w:val="0"/>
            <w:sz w:val="20"/>
            <w:u w:val="single"/>
            <w:vertAlign w:val="baseline"/>
          </w:rPr>
          <w:t>, No. 19-CV-3258 (GBD/OTW), 2023 U.S. Dist. LEXIS 45505, 2023 WL 2557314, at *4, n.2 (S.D.N.Y. Mar. 17, 2023)</w:t>
        </w:r>
      </w:hyperlink>
      <w:r>
        <w:rPr>
          <w:rFonts w:ascii="arial" w:eastAsia="arial" w:hAnsi="arial" w:cs="arial"/>
          <w:b w:val="0"/>
          <w:i w:val="0"/>
          <w:strike w:val="0"/>
          <w:noProof w:val="0"/>
          <w:color w:val="000000"/>
          <w:position w:val="0"/>
          <w:sz w:val="20"/>
          <w:u w:val="none"/>
          <w:vertAlign w:val="baseline"/>
        </w:rPr>
        <w:t xml:space="preserve"> (dismissing IIED claim as barred by </w:t>
      </w:r>
      <w:hyperlink r:id="rId14" w:history="1">
        <w:r>
          <w:rPr>
            <w:rFonts w:ascii="arial" w:eastAsia="arial" w:hAnsi="arial" w:cs="arial"/>
            <w:b w:val="0"/>
            <w:i/>
            <w:strike w:val="0"/>
            <w:noProof w:val="0"/>
            <w:color w:val="0077CC"/>
            <w:position w:val="0"/>
            <w:sz w:val="20"/>
            <w:u w:val="single"/>
            <w:vertAlign w:val="baseline"/>
          </w:rPr>
          <w:t>N.Y. Correction Law section 24</w:t>
        </w:r>
      </w:hyperlink>
      <w:r>
        <w:rPr>
          <w:rFonts w:ascii="arial" w:eastAsia="arial" w:hAnsi="arial" w:cs="arial"/>
          <w:b w:val="0"/>
          <w:i w:val="0"/>
          <w:strike w:val="0"/>
          <w:noProof w:val="0"/>
          <w:color w:val="000000"/>
          <w:position w:val="0"/>
          <w:sz w:val="20"/>
          <w:u w:val="none"/>
          <w:vertAlign w:val="baseline"/>
        </w:rPr>
        <w:t xml:space="preserve"> but without conducting any analysis); </w:t>
      </w:r>
      <w:bookmarkStart w:id="46" w:name="Bookmark_I68R07202SF8GK0030000400"/>
      <w:bookmarkEnd w:id="46"/>
      <w:hyperlink r:id="rId49" w:history="1">
        <w:r>
          <w:rPr>
            <w:rFonts w:ascii="arial" w:eastAsia="arial" w:hAnsi="arial" w:cs="arial"/>
            <w:b w:val="0"/>
            <w:i/>
            <w:strike w:val="0"/>
            <w:noProof w:val="0"/>
            <w:color w:val="0077CC"/>
            <w:position w:val="0"/>
            <w:sz w:val="20"/>
            <w:u w:val="single"/>
            <w:vertAlign w:val="baseline"/>
          </w:rPr>
          <w:t>Ortiz v. Ledbetter</w:t>
        </w:r>
      </w:hyperlink>
      <w:hyperlink r:id="rId49" w:history="1">
        <w:r>
          <w:rPr>
            <w:rFonts w:ascii="arial" w:eastAsia="arial" w:hAnsi="arial" w:cs="arial"/>
            <w:b w:val="0"/>
            <w:i/>
            <w:strike w:val="0"/>
            <w:noProof w:val="0"/>
            <w:color w:val="0077CC"/>
            <w:position w:val="0"/>
            <w:sz w:val="20"/>
            <w:u w:val="single"/>
            <w:vertAlign w:val="baseline"/>
          </w:rPr>
          <w:t>, No. 19-CV-2493 (CS), 2020 U.S. Dist. LEXIS 90354, 2020 WL 2614771, at *9, n.8 (S.D.N.Y. May 22, 2020)</w:t>
        </w:r>
      </w:hyperlink>
      <w:r>
        <w:rPr>
          <w:rFonts w:ascii="arial" w:eastAsia="arial" w:hAnsi="arial" w:cs="arial"/>
          <w:b w:val="0"/>
          <w:i w:val="0"/>
          <w:strike w:val="0"/>
          <w:noProof w:val="0"/>
          <w:color w:val="000000"/>
          <w:position w:val="0"/>
          <w:sz w:val="20"/>
          <w:u w:val="none"/>
          <w:vertAlign w:val="baseline"/>
        </w:rPr>
        <w:t xml:space="preserve">; </w:t>
      </w:r>
      <w:bookmarkStart w:id="47" w:name="Bookmark_I69C9GX72N1R5J0030000400"/>
      <w:bookmarkEnd w:id="47"/>
      <w:hyperlink r:id="rId50" w:history="1">
        <w:r>
          <w:rPr>
            <w:rFonts w:ascii="arial" w:eastAsia="arial" w:hAnsi="arial" w:cs="arial"/>
            <w:b w:val="0"/>
            <w:i/>
            <w:strike w:val="0"/>
            <w:noProof w:val="0"/>
            <w:color w:val="0077CC"/>
            <w:position w:val="0"/>
            <w:sz w:val="20"/>
            <w:u w:val="single"/>
            <w:vertAlign w:val="baseline"/>
          </w:rPr>
          <w:t>Aghoghoubia v. Noel</w:t>
        </w:r>
      </w:hyperlink>
      <w:hyperlink r:id="rId50" w:history="1">
        <w:r>
          <w:rPr>
            <w:rFonts w:ascii="arial" w:eastAsia="arial" w:hAnsi="arial" w:cs="arial"/>
            <w:b w:val="0"/>
            <w:i/>
            <w:strike w:val="0"/>
            <w:noProof w:val="0"/>
            <w:color w:val="0077CC"/>
            <w:position w:val="0"/>
            <w:sz w:val="20"/>
            <w:u w:val="single"/>
            <w:vertAlign w:val="baseline"/>
          </w:rPr>
          <w:t>, No. 17-CV-1927 (NGG/SJB), 2019 U.S. Dist. LEXIS 5659, 2019 WL 181309, at *3-4 (E.D.N.Y. Jan. 11, 2019)</w:t>
        </w:r>
      </w:hyperlink>
      <w:r>
        <w:rPr>
          <w:rFonts w:ascii="arial" w:eastAsia="arial" w:hAnsi="arial" w:cs="arial"/>
          <w:b w:val="0"/>
          <w:i w:val="0"/>
          <w:strike w:val="0"/>
          <w:noProof w:val="0"/>
          <w:color w:val="000000"/>
          <w:position w:val="0"/>
          <w:sz w:val="20"/>
          <w:u w:val="none"/>
          <w:vertAlign w:val="baseline"/>
        </w:rPr>
        <w:t xml:space="preserve">; </w:t>
      </w:r>
      <w:bookmarkStart w:id="48" w:name="Bookmark_I68R07202N1PNK0020000400"/>
      <w:bookmarkEnd w:id="48"/>
      <w:hyperlink r:id="rId51" w:history="1">
        <w:r>
          <w:rPr>
            <w:rFonts w:ascii="arial" w:eastAsia="arial" w:hAnsi="arial" w:cs="arial"/>
            <w:b w:val="0"/>
            <w:i/>
            <w:strike w:val="0"/>
            <w:noProof w:val="0"/>
            <w:color w:val="0077CC"/>
            <w:position w:val="0"/>
            <w:sz w:val="20"/>
            <w:u w:val="single"/>
            <w:vertAlign w:val="baseline"/>
          </w:rPr>
          <w:t>Leckie v. City of New York</w:t>
        </w:r>
      </w:hyperlink>
      <w:hyperlink r:id="rId51" w:history="1">
        <w:r>
          <w:rPr>
            <w:rFonts w:ascii="arial" w:eastAsia="arial" w:hAnsi="arial" w:cs="arial"/>
            <w:b w:val="0"/>
            <w:i/>
            <w:strike w:val="0"/>
            <w:noProof w:val="0"/>
            <w:color w:val="0077CC"/>
            <w:position w:val="0"/>
            <w:sz w:val="20"/>
            <w:u w:val="single"/>
            <w:vertAlign w:val="baseline"/>
          </w:rPr>
          <w:t>, No. 19-CV-6719 (PGG/RWL), 2022 U.S. Dist. LEXIS 117054, 2022 WL 2442375, at *25 (S.D.N.Y. June 30,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 in part, rejected in part</w:t>
      </w:r>
      <w:r>
        <w:rPr>
          <w:rFonts w:ascii="arial" w:eastAsia="arial" w:hAnsi="arial" w:cs="arial"/>
          <w:b w:val="0"/>
          <w:i w:val="0"/>
          <w:strike w:val="0"/>
          <w:noProof w:val="0"/>
          <w:color w:val="000000"/>
          <w:position w:val="0"/>
          <w:sz w:val="20"/>
          <w:u w:val="none"/>
          <w:vertAlign w:val="baseline"/>
        </w:rPr>
        <w:t xml:space="preserve">, </w:t>
      </w:r>
      <w:bookmarkStart w:id="49" w:name="Bookmark_I69C9GX72N1R5J0050000400"/>
      <w:bookmarkEnd w:id="49"/>
      <w:hyperlink r:id="rId52" w:history="1">
        <w:r>
          <w:rPr>
            <w:rFonts w:ascii="arial" w:eastAsia="arial" w:hAnsi="arial" w:cs="arial"/>
            <w:b w:val="0"/>
            <w:i/>
            <w:strike w:val="0"/>
            <w:noProof w:val="0"/>
            <w:color w:val="0077CC"/>
            <w:position w:val="0"/>
            <w:sz w:val="20"/>
            <w:u w:val="single"/>
            <w:vertAlign w:val="baseline"/>
          </w:rPr>
          <w:t>2023 U.S. Dist. LEXIS 75566, 2023 WL 3168699 (S.D.N.Y. May 1, 2023)</w:t>
        </w:r>
      </w:hyperlink>
      <w:r>
        <w:rPr>
          <w:rFonts w:ascii="arial" w:eastAsia="arial" w:hAnsi="arial" w:cs="arial"/>
          <w:b w:val="0"/>
          <w:i w:val="0"/>
          <w:strike w:val="0"/>
          <w:noProof w:val="0"/>
          <w:color w:val="000000"/>
          <w:position w:val="0"/>
          <w:sz w:val="20"/>
          <w:u w:val="none"/>
          <w:vertAlign w:val="baseline"/>
        </w:rPr>
        <w:t xml:space="preserve">; </w:t>
      </w:r>
      <w:bookmarkStart w:id="50" w:name="Bookmark_I68R072128T4MW0010000400"/>
      <w:bookmarkEnd w:id="50"/>
      <w:hyperlink r:id="rId53" w:history="1">
        <w:r>
          <w:rPr>
            <w:rFonts w:ascii="arial" w:eastAsia="arial" w:hAnsi="arial" w:cs="arial"/>
            <w:b w:val="0"/>
            <w:i/>
            <w:strike w:val="0"/>
            <w:noProof w:val="0"/>
            <w:color w:val="0077CC"/>
            <w:position w:val="0"/>
            <w:sz w:val="20"/>
            <w:u w:val="single"/>
            <w:vertAlign w:val="baseline"/>
          </w:rPr>
          <w:t>Johnson v. Owens</w:t>
        </w:r>
      </w:hyperlink>
      <w:hyperlink r:id="rId53" w:history="1">
        <w:r>
          <w:rPr>
            <w:rFonts w:ascii="arial" w:eastAsia="arial" w:hAnsi="arial" w:cs="arial"/>
            <w:b w:val="0"/>
            <w:i/>
            <w:strike w:val="0"/>
            <w:noProof w:val="0"/>
            <w:color w:val="0077CC"/>
            <w:position w:val="0"/>
            <w:sz w:val="20"/>
            <w:u w:val="single"/>
            <w:vertAlign w:val="baseline"/>
          </w:rPr>
          <w:t>, No. 9:20-CV-0982 (LEK/CFH), 2022 U.S. Dist. LEXIS 58897, 2022 WL 958127, at *5, n.3 (N.D.N.Y. Mar. 30, 2022)</w:t>
        </w:r>
      </w:hyperlink>
      <w:r>
        <w:rPr>
          <w:rFonts w:ascii="arial" w:eastAsia="arial" w:hAnsi="arial" w:cs="arial"/>
          <w:b w:val="0"/>
          <w:i w:val="0"/>
          <w:strike w:val="0"/>
          <w:noProof w:val="0"/>
          <w:color w:val="000000"/>
          <w:position w:val="0"/>
          <w:sz w:val="20"/>
          <w:u w:val="none"/>
          <w:vertAlign w:val="baseline"/>
        </w:rPr>
        <w:t xml:space="preserve"> (noting in the alternative that even if the plaintiff had sufficiently pleaded an IIED claim, it would be barred under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without conducting an analysis on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scope of employment issue).</w:t>
      </w:r>
    </w:p>
    <w:p>
      <w:pPr>
        <w:keepNext w:val="0"/>
        <w:spacing w:before="200" w:after="0" w:line="260" w:lineRule="atLeast"/>
        <w:ind w:left="0" w:right="0" w:firstLine="0"/>
        <w:jc w:val="both"/>
      </w:pPr>
      <w:bookmarkStart w:id="51" w:name="Bookmark_para_15"/>
      <w:bookmarkEnd w:id="51"/>
      <w:bookmarkStart w:id="52" w:name="Bookmark_I69C9GX828T4H40030000400"/>
      <w:bookmarkEnd w:id="52"/>
      <w:r>
        <w:rPr>
          <w:rFonts w:ascii="arial" w:eastAsia="arial" w:hAnsi="arial" w:cs="arial"/>
          <w:b w:val="0"/>
          <w:i w:val="0"/>
          <w:strike w:val="0"/>
          <w:noProof w:val="0"/>
          <w:color w:val="000000"/>
          <w:position w:val="0"/>
          <w:sz w:val="20"/>
          <w:u w:val="none"/>
          <w:vertAlign w:val="baseline"/>
        </w:rPr>
        <w:t xml:space="preserve">However, other "[c]ourts that have considered the issue have held that personal harassment unrelated to an employee's assigned duties does not entitle a corrections department employee to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immunity." </w:t>
      </w:r>
      <w:bookmarkStart w:id="53" w:name="Bookmark_I69C9GX828T4H40020000400"/>
      <w:bookmarkEnd w:id="53"/>
      <w:hyperlink r:id="rId33" w:history="1">
        <w:r>
          <w:rPr>
            <w:rFonts w:ascii="arial" w:eastAsia="arial" w:hAnsi="arial" w:cs="arial"/>
            <w:b w:val="0"/>
            <w:i/>
            <w:strike w:val="0"/>
            <w:noProof w:val="0"/>
            <w:color w:val="0077CC"/>
            <w:position w:val="0"/>
            <w:sz w:val="20"/>
            <w:u w:val="single"/>
            <w:vertAlign w:val="baseline"/>
          </w:rPr>
          <w:t>Bernardi</w:t>
        </w:r>
      </w:hyperlink>
      <w:hyperlink r:id="rId33" w:history="1">
        <w:r>
          <w:rPr>
            <w:rFonts w:ascii="arial" w:eastAsia="arial" w:hAnsi="arial" w:cs="arial"/>
            <w:b w:val="0"/>
            <w:i/>
            <w:strike w:val="0"/>
            <w:noProof w:val="0"/>
            <w:color w:val="0077CC"/>
            <w:position w:val="0"/>
            <w:sz w:val="20"/>
            <w:u w:val="single"/>
            <w:vertAlign w:val="baseline"/>
          </w:rPr>
          <w:t>, 2021 U.S. Dist. LEXIS 95225, 2021 WL 1999159, at *6</w:t>
        </w:r>
      </w:hyperlink>
      <w:r>
        <w:rPr>
          <w:rFonts w:ascii="arial" w:eastAsia="arial" w:hAnsi="arial" w:cs="arial"/>
          <w:b w:val="0"/>
          <w:i w:val="0"/>
          <w:strike w:val="0"/>
          <w:noProof w:val="0"/>
          <w:color w:val="000000"/>
          <w:position w:val="0"/>
          <w:sz w:val="20"/>
          <w:u w:val="none"/>
          <w:vertAlign w:val="baseline"/>
        </w:rPr>
        <w:t xml:space="preserve"> (citing </w:t>
      </w:r>
      <w:bookmarkStart w:id="54" w:name="Bookmark_I68R072128T4MW0050000400"/>
      <w:bookmarkEnd w:id="54"/>
      <w:hyperlink r:id="rId54" w:history="1">
        <w:r>
          <w:rPr>
            <w:rFonts w:ascii="arial" w:eastAsia="arial" w:hAnsi="arial" w:cs="arial"/>
            <w:b w:val="0"/>
            <w:i/>
            <w:strike w:val="0"/>
            <w:noProof w:val="0"/>
            <w:color w:val="0077CC"/>
            <w:position w:val="0"/>
            <w:sz w:val="20"/>
            <w:u w:val="single"/>
            <w:vertAlign w:val="baseline"/>
          </w:rPr>
          <w:t>Martin v. N.Y. State Dep't of Corr. Servs.</w:t>
        </w:r>
      </w:hyperlink>
      <w:hyperlink r:id="rId54" w:history="1">
        <w:r>
          <w:rPr>
            <w:rFonts w:ascii="arial" w:eastAsia="arial" w:hAnsi="arial" w:cs="arial"/>
            <w:b w:val="0"/>
            <w:i/>
            <w:strike w:val="0"/>
            <w:noProof w:val="0"/>
            <w:color w:val="0077CC"/>
            <w:position w:val="0"/>
            <w:sz w:val="20"/>
            <w:u w:val="single"/>
            <w:vertAlign w:val="baseline"/>
          </w:rPr>
          <w:t>, 224 F. Supp. 2d 434 (N.D.N.Y. 2002)</w:t>
        </w:r>
      </w:hyperlink>
      <w:r>
        <w:rPr>
          <w:rFonts w:ascii="arial" w:eastAsia="arial" w:hAnsi="arial" w:cs="arial"/>
          <w:b w:val="0"/>
          <w:i w:val="0"/>
          <w:strike w:val="0"/>
          <w:noProof w:val="0"/>
          <w:color w:val="000000"/>
          <w:position w:val="0"/>
          <w:sz w:val="20"/>
          <w:u w:val="none"/>
          <w:vertAlign w:val="baseline"/>
        </w:rPr>
        <w:t xml:space="preserve"> (declining to extend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immunity to sexual harassment claim); </w:t>
      </w:r>
      <w:bookmarkStart w:id="55" w:name="Bookmark_I68R072128T4N10020000400"/>
      <w:bookmarkEnd w:id="55"/>
      <w:hyperlink r:id="rId38" w:history="1">
        <w:r>
          <w:rPr>
            <w:rFonts w:ascii="arial" w:eastAsia="arial" w:hAnsi="arial" w:cs="arial"/>
            <w:b w:val="0"/>
            <w:i/>
            <w:strike w:val="0"/>
            <w:noProof w:val="0"/>
            <w:color w:val="0077CC"/>
            <w:position w:val="0"/>
            <w:sz w:val="20"/>
            <w:u w:val="single"/>
            <w:vertAlign w:val="baseline"/>
          </w:rPr>
          <w:t>Ierardi</w:t>
        </w:r>
      </w:hyperlink>
      <w:hyperlink r:id="rId38" w:history="1">
        <w:r>
          <w:rPr>
            <w:rFonts w:ascii="arial" w:eastAsia="arial" w:hAnsi="arial" w:cs="arial"/>
            <w:b w:val="0"/>
            <w:i/>
            <w:strike w:val="0"/>
            <w:noProof w:val="0"/>
            <w:color w:val="0077CC"/>
            <w:position w:val="0"/>
            <w:sz w:val="20"/>
            <w:u w:val="single"/>
            <w:vertAlign w:val="baseline"/>
          </w:rPr>
          <w:t>, 119 F.3d at 186 (2d Cir. 1997)</w:t>
        </w:r>
      </w:hyperlink>
      <w:r>
        <w:rPr>
          <w:rFonts w:ascii="arial" w:eastAsia="arial" w:hAnsi="arial" w:cs="arial"/>
          <w:b w:val="0"/>
          <w:i w:val="0"/>
          <w:strike w:val="0"/>
          <w:noProof w:val="0"/>
          <w:color w:val="000000"/>
          <w:position w:val="0"/>
          <w:sz w:val="20"/>
          <w:u w:val="none"/>
          <w:vertAlign w:val="baseline"/>
        </w:rPr>
        <w:t xml:space="preserve"> (same)). The court in </w:t>
      </w:r>
      <w:r>
        <w:rPr>
          <w:rFonts w:ascii="arial" w:eastAsia="arial" w:hAnsi="arial" w:cs="arial"/>
          <w:b w:val="0"/>
          <w:i w:val="0"/>
          <w:strike w:val="0"/>
          <w:noProof w:val="0"/>
          <w:color w:val="000000"/>
          <w:position w:val="0"/>
          <w:sz w:val="20"/>
          <w:u w:val="single"/>
          <w:vertAlign w:val="baseline"/>
        </w:rPr>
        <w:t>Bernardi</w:t>
      </w:r>
      <w:r>
        <w:rPr>
          <w:rFonts w:ascii="arial" w:eastAsia="arial" w:hAnsi="arial" w:cs="arial"/>
          <w:b w:val="0"/>
          <w:i w:val="0"/>
          <w:strike w:val="0"/>
          <w:noProof w:val="0"/>
          <w:color w:val="000000"/>
          <w:position w:val="0"/>
          <w:sz w:val="20"/>
          <w:u w:val="none"/>
          <w:vertAlign w:val="baseline"/>
        </w:rPr>
        <w:t xml:space="preserve"> concluded that the defendant was not immune from suit under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because the defendant "told [the p]laintiff[, a DOCCS electrician,] to 'go back to [his] own country,' and used Italian slurs when talking to him. None of these comments related to [the defendant's] job functions."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56" w:name="Bookmark_para_16"/>
      <w:bookmarkEnd w:id="56"/>
      <w:r>
        <w:rPr>
          <w:rFonts w:ascii="arial" w:eastAsia="arial" w:hAnsi="arial" w:cs="arial"/>
          <w:b w:val="0"/>
          <w:i w:val="0"/>
          <w:strike w:val="0"/>
          <w:noProof w:val="0"/>
          <w:color w:val="000000"/>
          <w:position w:val="0"/>
          <w:sz w:val="20"/>
          <w:u w:val="none"/>
          <w:vertAlign w:val="baseline"/>
        </w:rPr>
        <w:t xml:space="preserve">This Court has also declined to extend immunity under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where the "last three </w:t>
      </w:r>
      <w:hyperlink r:id="rId38" w:history="1">
        <w:r>
          <w:rPr>
            <w:rFonts w:ascii="arial" w:eastAsia="arial" w:hAnsi="arial" w:cs="arial"/>
            <w:b w:val="0"/>
            <w:i/>
            <w:strike w:val="0"/>
            <w:noProof w:val="0"/>
            <w:color w:val="0077CC"/>
            <w:position w:val="0"/>
            <w:sz w:val="20"/>
            <w:u w:val="single"/>
            <w:vertAlign w:val="baseline"/>
          </w:rPr>
          <w:t>Ierardi</w:t>
        </w:r>
      </w:hyperlink>
      <w:r>
        <w:rPr>
          <w:rFonts w:ascii="arial" w:eastAsia="arial" w:hAnsi="arial" w:cs="arial"/>
          <w:b w:val="0"/>
          <w:i w:val="0"/>
          <w:strike w:val="0"/>
          <w:noProof w:val="0"/>
          <w:color w:val="000000"/>
          <w:position w:val="0"/>
          <w:sz w:val="20"/>
          <w:u w:val="none"/>
          <w:vertAlign w:val="baseline"/>
        </w:rPr>
        <w:t xml:space="preserve"> factors weigh in [the p]laintiff's favor" despite the defendants, as DOCCS' employee, engaging in the allegedly unlawful conduct while working in the prison. </w:t>
      </w:r>
      <w:hyperlink r:id="rId55" w:history="1">
        <w:r>
          <w:rPr>
            <w:rFonts w:ascii="arial" w:eastAsia="arial" w:hAnsi="arial" w:cs="arial"/>
            <w:b w:val="0"/>
            <w:i/>
            <w:strike w:val="0"/>
            <w:noProof w:val="0"/>
            <w:color w:val="0077CC"/>
            <w:position w:val="0"/>
            <w:sz w:val="20"/>
            <w:u w:val="single"/>
            <w:vertAlign w:val="baseline"/>
          </w:rPr>
          <w:t>Tranchina v. McGrath</w:t>
        </w:r>
      </w:hyperlink>
      <w:hyperlink r:id="rId55" w:history="1">
        <w:r>
          <w:rPr>
            <w:rFonts w:ascii="arial" w:eastAsia="arial" w:hAnsi="arial" w:cs="arial"/>
            <w:b w:val="0"/>
            <w:i/>
            <w:strike w:val="0"/>
            <w:noProof w:val="0"/>
            <w:color w:val="0077CC"/>
            <w:position w:val="0"/>
            <w:sz w:val="20"/>
            <w:u w:val="single"/>
            <w:vertAlign w:val="baseline"/>
          </w:rPr>
          <w:t>, No. 9:17-CV-1256 (MAD/DEP), 2018 U.S. Dist. LEXIS 101783, 2018 WL 3037377, at *3 (N.D.N.Y. June 19, 2018)</w:t>
        </w:r>
      </w:hyperlink>
      <w:r>
        <w:rPr>
          <w:rFonts w:ascii="arial" w:eastAsia="arial" w:hAnsi="arial" w:cs="arial"/>
          <w:b w:val="0"/>
          <w:i w:val="0"/>
          <w:strike w:val="0"/>
          <w:noProof w:val="0"/>
          <w:color w:val="000000"/>
          <w:position w:val="0"/>
          <w:sz w:val="20"/>
          <w:u w:val="none"/>
          <w:vertAlign w:val="baseline"/>
        </w:rPr>
        <w:t xml:space="preserve"> (citations omitted) ("The last three </w:t>
      </w:r>
      <w:hyperlink r:id="rId38" w:history="1">
        <w:r>
          <w:rPr>
            <w:rFonts w:ascii="arial" w:eastAsia="arial" w:hAnsi="arial" w:cs="arial"/>
            <w:b w:val="0"/>
            <w:i/>
            <w:strike w:val="0"/>
            <w:noProof w:val="0"/>
            <w:color w:val="0077CC"/>
            <w:position w:val="0"/>
            <w:sz w:val="20"/>
            <w:u w:val="single"/>
            <w:vertAlign w:val="baseline"/>
          </w:rPr>
          <w:t>Ierardi</w:t>
        </w:r>
      </w:hyperlink>
      <w:bookmarkStart w:id="57" w:name="Bookmark_I68R07212D6MVW0010000400"/>
      <w:bookmarkEnd w:id="57"/>
      <w:r>
        <w:rPr>
          <w:rFonts w:ascii="arial" w:eastAsia="arial" w:hAnsi="arial" w:cs="arial"/>
          <w:b w:val="0"/>
          <w:i w:val="0"/>
          <w:strike w:val="0"/>
          <w:noProof w:val="0"/>
          <w:color w:val="000000"/>
          <w:position w:val="0"/>
          <w:sz w:val="20"/>
          <w:u w:val="none"/>
          <w:vertAlign w:val="baseline"/>
        </w:rPr>
        <w:t xml:space="preserve"> factors weigh in [the p]laintiff's favor. First, assaulting an inmate without cause and then submitting a false misbehavior is not the ordinary conduct of a DOCCS employee. Second, such conduct is a substantial departure from a prison guard's 'normal methods of performance.' Third, it is not reasonably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foreseeable that a guard, whose duties include maintaining order and protecting inmates from harm, would assault an inmate without provocation and then submit a false misbehavior report [T]he attack was motivated by a desire to settle a personal vendetta outside of the interests of DOCCS."); </w:t>
      </w:r>
      <w:bookmarkStart w:id="58" w:name="Bookmark_I68R07212D6MVT0050000400"/>
      <w:bookmarkEnd w:id="58"/>
      <w:hyperlink r:id="rId56" w:history="1">
        <w:r>
          <w:rPr>
            <w:rFonts w:ascii="arial" w:eastAsia="arial" w:hAnsi="arial" w:cs="arial"/>
            <w:b w:val="0"/>
            <w:i/>
            <w:strike w:val="0"/>
            <w:noProof w:val="0"/>
            <w:color w:val="0077CC"/>
            <w:position w:val="0"/>
            <w:sz w:val="20"/>
            <w:u w:val="single"/>
            <w:vertAlign w:val="baseline"/>
          </w:rPr>
          <w:t>Brown v. New York</w:t>
        </w:r>
      </w:hyperlink>
      <w:hyperlink r:id="rId56" w:history="1">
        <w:r>
          <w:rPr>
            <w:rFonts w:ascii="arial" w:eastAsia="arial" w:hAnsi="arial" w:cs="arial"/>
            <w:b w:val="0"/>
            <w:i/>
            <w:strike w:val="0"/>
            <w:noProof w:val="0"/>
            <w:color w:val="0077CC"/>
            <w:position w:val="0"/>
            <w:sz w:val="20"/>
            <w:u w:val="single"/>
            <w:vertAlign w:val="baseline"/>
          </w:rPr>
          <w:t>, No. 9:17-CV-1036 (MAD/ATB), 2018 U.S. Dist. LEXIS 106347, 2018 WL 3130593, at *5 (N.D.N.Y. June 26, 2018)</w:t>
        </w:r>
      </w:hyperlink>
      <w:r>
        <w:rPr>
          <w:rFonts w:ascii="arial" w:eastAsia="arial" w:hAnsi="arial" w:cs="arial"/>
          <w:b w:val="0"/>
          <w:i w:val="0"/>
          <w:strike w:val="0"/>
          <w:noProof w:val="0"/>
          <w:color w:val="000000"/>
          <w:position w:val="0"/>
          <w:sz w:val="20"/>
          <w:u w:val="none"/>
          <w:vertAlign w:val="baseline"/>
        </w:rPr>
        <w:t xml:space="preserve"> (citation omitted) ("The allegations regarding false arrest and imprisonment . . . fall outside the scope of [the d]efendant['s] employment [T]the issue here is not that [the d]efendant [] searched [the p]laintiff, but instead that [the d]efendant []intentionally planted a weapon on him. The complaint alleges that [the d]efendant['s] actions against [the p]laintiff were motivated by his desire to settle a dispute between the two. This desire to settle a personal vendetta was a motivation outside of the interests of DOCCS."); </w:t>
      </w:r>
      <w:bookmarkStart w:id="59" w:name="Bookmark_I69C9GX828T4H40040000400"/>
      <w:bookmarkEnd w:id="59"/>
      <w:hyperlink r:id="rId57" w:history="1">
        <w:r>
          <w:rPr>
            <w:rFonts w:ascii="arial" w:eastAsia="arial" w:hAnsi="arial" w:cs="arial"/>
            <w:b w:val="0"/>
            <w:i/>
            <w:strike w:val="0"/>
            <w:noProof w:val="0"/>
            <w:color w:val="0077CC"/>
            <w:position w:val="0"/>
            <w:sz w:val="20"/>
            <w:u w:val="single"/>
            <w:vertAlign w:val="baseline"/>
          </w:rPr>
          <w:t>Ozzborn v. New York</w:t>
        </w:r>
      </w:hyperlink>
      <w:hyperlink r:id="rId57" w:history="1">
        <w:r>
          <w:rPr>
            <w:rFonts w:ascii="arial" w:eastAsia="arial" w:hAnsi="arial" w:cs="arial"/>
            <w:b w:val="0"/>
            <w:i/>
            <w:strike w:val="0"/>
            <w:noProof w:val="0"/>
            <w:color w:val="0077CC"/>
            <w:position w:val="0"/>
            <w:sz w:val="20"/>
            <w:u w:val="single"/>
            <w:vertAlign w:val="baseline"/>
          </w:rPr>
          <w:t>, No. 9:17-CV-1039 (MAD/ATB), 2018 U.S. Dist. LEXIS 104425, 2018 WL 3104448, at *5 (N.D.N.Y. June 22, 2018)</w:t>
        </w:r>
      </w:hyperlink>
      <w:r>
        <w:rPr>
          <w:rFonts w:ascii="arial" w:eastAsia="arial" w:hAnsi="arial" w:cs="arial"/>
          <w:b w:val="0"/>
          <w:i w:val="0"/>
          <w:strike w:val="0"/>
          <w:noProof w:val="0"/>
          <w:color w:val="000000"/>
          <w:position w:val="0"/>
          <w:sz w:val="20"/>
          <w:u w:val="none"/>
          <w:vertAlign w:val="baseline"/>
        </w:rPr>
        <w:t xml:space="preserve"> (citation omitted) ("First, planting a weapon on an inmate is not an act commonly performed by a prison guard, or any state official for that matter. Second, such conduct is clearly a radical departure from a prison guard's 'normal methods of performance.' Third, it is not reasonably foreseeable that a guard, whose duties include keeping contraband out of the hands of inmates,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would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weapon into the prison for the purpose of planting it on an inmate.").</w:t>
      </w:r>
    </w:p>
    <w:p>
      <w:pPr>
        <w:keepNext w:val="0"/>
        <w:spacing w:before="240" w:after="0" w:line="260" w:lineRule="atLeast"/>
        <w:ind w:left="0" w:right="0" w:firstLine="0"/>
        <w:jc w:val="both"/>
      </w:pPr>
      <w:bookmarkStart w:id="60" w:name="Bookmark_para_17"/>
      <w:bookmarkEnd w:id="60"/>
      <w:bookmarkStart w:id="61" w:name="Bookmark_I68R07212D6MVW0050000400"/>
      <w:bookmarkEnd w:id="61"/>
      <w:r>
        <w:rPr>
          <w:rFonts w:ascii="arial" w:eastAsia="arial" w:hAnsi="arial" w:cs="arial"/>
          <w:b w:val="0"/>
          <w:i w:val="0"/>
          <w:strike w:val="0"/>
          <w:noProof w:val="0"/>
          <w:color w:val="000000"/>
          <w:position w:val="0"/>
          <w:sz w:val="20"/>
          <w:u w:val="none"/>
          <w:vertAlign w:val="baseline"/>
        </w:rPr>
        <w:t xml:space="preserve">Defendant Brown cites four cases as examples of this Court dismissing state law claims on immunity ground under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where the defendant was determined to be acting within the scope of his or her employment.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26-1 at 5-6 (citing </w:t>
      </w:r>
      <w:bookmarkStart w:id="62" w:name="Bookmark_I68R07212D6MVW0040000400"/>
      <w:bookmarkEnd w:id="62"/>
      <w:hyperlink r:id="rId58" w:history="1">
        <w:r>
          <w:rPr>
            <w:rFonts w:ascii="arial" w:eastAsia="arial" w:hAnsi="arial" w:cs="arial"/>
            <w:b w:val="0"/>
            <w:i/>
            <w:strike w:val="0"/>
            <w:noProof w:val="0"/>
            <w:color w:val="0077CC"/>
            <w:position w:val="0"/>
            <w:sz w:val="20"/>
            <w:u w:val="single"/>
            <w:vertAlign w:val="baseline"/>
          </w:rPr>
          <w:t>Livingston v. Hoffnagle</w:t>
        </w:r>
      </w:hyperlink>
      <w:hyperlink r:id="rId58" w:history="1">
        <w:r>
          <w:rPr>
            <w:rFonts w:ascii="arial" w:eastAsia="arial" w:hAnsi="arial" w:cs="arial"/>
            <w:b w:val="0"/>
            <w:i/>
            <w:strike w:val="0"/>
            <w:noProof w:val="0"/>
            <w:color w:val="0077CC"/>
            <w:position w:val="0"/>
            <w:sz w:val="20"/>
            <w:u w:val="single"/>
            <w:vertAlign w:val="baseline"/>
          </w:rPr>
          <w:t>, No. 17-CV-1158 (MAD/DEP), 2019 U.S. Dist. LEXIS 16303, 2019 WL 409366, at *7 (N.D.N.Y. Feb. 1, 2019)</w:t>
        </w:r>
      </w:hyperlink>
      <w:r>
        <w:rPr>
          <w:rFonts w:ascii="arial" w:eastAsia="arial" w:hAnsi="arial" w:cs="arial"/>
          <w:b w:val="0"/>
          <w:i w:val="0"/>
          <w:strike w:val="0"/>
          <w:noProof w:val="0"/>
          <w:color w:val="000000"/>
          <w:position w:val="0"/>
          <w:sz w:val="20"/>
          <w:u w:val="none"/>
          <w:vertAlign w:val="baseline"/>
        </w:rPr>
        <w:t xml:space="preserve">; </w:t>
      </w:r>
      <w:bookmarkStart w:id="63" w:name="Bookmark_I69C9GX82SF8SF0010000400"/>
      <w:bookmarkEnd w:id="63"/>
      <w:hyperlink r:id="rId59" w:history="1">
        <w:r>
          <w:rPr>
            <w:rFonts w:ascii="arial" w:eastAsia="arial" w:hAnsi="arial" w:cs="arial"/>
            <w:b w:val="0"/>
            <w:i/>
            <w:strike w:val="0"/>
            <w:noProof w:val="0"/>
            <w:color w:val="0077CC"/>
            <w:position w:val="0"/>
            <w:sz w:val="20"/>
            <w:u w:val="single"/>
            <w:vertAlign w:val="baseline"/>
          </w:rPr>
          <w:t>Alke v. DOCCS</w:t>
        </w:r>
      </w:hyperlink>
      <w:hyperlink r:id="rId59" w:history="1">
        <w:r>
          <w:rPr>
            <w:rFonts w:ascii="arial" w:eastAsia="arial" w:hAnsi="arial" w:cs="arial"/>
            <w:b w:val="0"/>
            <w:i/>
            <w:strike w:val="0"/>
            <w:noProof w:val="0"/>
            <w:color w:val="0077CC"/>
            <w:position w:val="0"/>
            <w:sz w:val="20"/>
            <w:u w:val="single"/>
            <w:vertAlign w:val="baseline"/>
          </w:rPr>
          <w:t>, No. 9:16-CV-845 (DNH/ATB), 2018 U.S. Dist. LEXIS 182845, 2018 WL 5297809, at *8 (N.D.N.Y. Oct. 25,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826 F. App'x 4 (2d Cir. 2020)</w:t>
        </w:r>
      </w:hyperlink>
      <w:r>
        <w:rPr>
          <w:rFonts w:ascii="arial" w:eastAsia="arial" w:hAnsi="arial" w:cs="arial"/>
          <w:b w:val="0"/>
          <w:i w:val="0"/>
          <w:strike w:val="0"/>
          <w:noProof w:val="0"/>
          <w:color w:val="000000"/>
          <w:position w:val="0"/>
          <w:sz w:val="20"/>
          <w:u w:val="none"/>
          <w:vertAlign w:val="baseline"/>
        </w:rPr>
        <w:t xml:space="preserve"> (summary order); </w:t>
      </w:r>
      <w:bookmarkStart w:id="64" w:name="Bookmark_I69C9GX82SF8SF0030000400"/>
      <w:bookmarkEnd w:id="64"/>
      <w:hyperlink r:id="rId59" w:history="1">
        <w:r>
          <w:rPr>
            <w:rFonts w:ascii="arial" w:eastAsia="arial" w:hAnsi="arial" w:cs="arial"/>
            <w:b w:val="0"/>
            <w:i/>
            <w:strike w:val="0"/>
            <w:noProof w:val="0"/>
            <w:color w:val="0077CC"/>
            <w:position w:val="0"/>
            <w:sz w:val="20"/>
            <w:u w:val="single"/>
            <w:vertAlign w:val="baseline"/>
          </w:rPr>
          <w:t>Olutosin v. Lee</w:t>
        </w:r>
      </w:hyperlink>
      <w:hyperlink r:id="rId59" w:history="1">
        <w:r>
          <w:rPr>
            <w:rFonts w:ascii="arial" w:eastAsia="arial" w:hAnsi="arial" w:cs="arial"/>
            <w:b w:val="0"/>
            <w:i/>
            <w:strike w:val="0"/>
            <w:noProof w:val="0"/>
            <w:color w:val="0077CC"/>
            <w:position w:val="0"/>
            <w:sz w:val="20"/>
            <w:u w:val="single"/>
            <w:vertAlign w:val="baseline"/>
          </w:rPr>
          <w:t>, 2016 U.S. Dist. LEXIS 64661, 2016 WL 2899275, at *12 (S.D.N.Y. May 16, 2016)</w:t>
        </w:r>
      </w:hyperlink>
      <w:r>
        <w:rPr>
          <w:rFonts w:ascii="arial" w:eastAsia="arial" w:hAnsi="arial" w:cs="arial"/>
          <w:b w:val="0"/>
          <w:i w:val="0"/>
          <w:strike w:val="0"/>
          <w:noProof w:val="0"/>
          <w:color w:val="000000"/>
          <w:position w:val="0"/>
          <w:sz w:val="20"/>
          <w:u w:val="none"/>
          <w:vertAlign w:val="baseline"/>
        </w:rPr>
        <w:t xml:space="preserve">; </w:t>
      </w:r>
      <w:bookmarkStart w:id="65" w:name="Bookmark_I69C9GX82SF8SF0050000400"/>
      <w:bookmarkEnd w:id="65"/>
      <w:hyperlink r:id="rId61" w:history="1">
        <w:r>
          <w:rPr>
            <w:rFonts w:ascii="arial" w:eastAsia="arial" w:hAnsi="arial" w:cs="arial"/>
            <w:b w:val="0"/>
            <w:i/>
            <w:strike w:val="0"/>
            <w:noProof w:val="0"/>
            <w:color w:val="0077CC"/>
            <w:position w:val="0"/>
            <w:sz w:val="20"/>
            <w:u w:val="single"/>
            <w:vertAlign w:val="baseline"/>
          </w:rPr>
          <w:t>Hall v. NYS Dep't Corr. &amp; Cmty. Supervision</w:t>
        </w:r>
      </w:hyperlink>
      <w:hyperlink r:id="rId61" w:history="1">
        <w:r>
          <w:rPr>
            <w:rFonts w:ascii="arial" w:eastAsia="arial" w:hAnsi="arial" w:cs="arial"/>
            <w:b w:val="0"/>
            <w:i/>
            <w:strike w:val="0"/>
            <w:noProof w:val="0"/>
            <w:color w:val="0077CC"/>
            <w:position w:val="0"/>
            <w:sz w:val="20"/>
            <w:u w:val="single"/>
            <w:vertAlign w:val="baseline"/>
          </w:rPr>
          <w:t>, No. 9:12-CV-0377 (GTS/DEP), 2015 U.S. Dist. LEXIS 25749, 2015 WL 901010, *31 (N.D.N.Y. Mar. 3, 2015)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67" w:name="Bookmark_para_18"/>
      <w:bookmarkEnd w:id="67"/>
      <w:bookmarkStart w:id="68" w:name="Bookmark_I69C9GX828T4H50030000400"/>
      <w:bookmarkEnd w:id="68"/>
      <w:r>
        <w:rPr>
          <w:rFonts w:ascii="arial" w:eastAsia="arial" w:hAnsi="arial" w:cs="arial"/>
          <w:b w:val="0"/>
          <w:i w:val="0"/>
          <w:strike w:val="0"/>
          <w:noProof w:val="0"/>
          <w:color w:val="000000"/>
          <w:position w:val="0"/>
          <w:sz w:val="20"/>
          <w:u w:val="none"/>
          <w:vertAlign w:val="baseline"/>
        </w:rPr>
        <w:t xml:space="preserve">Each case is inapposite. First, three of the cases do not include an IIED claim. </w:t>
      </w:r>
      <w:bookmarkStart w:id="69" w:name="Bookmark_I69C9GX92HM62N0040000400"/>
      <w:bookmarkEnd w:id="69"/>
      <w:r>
        <w:rPr>
          <w:rFonts w:ascii="arial" w:eastAsia="arial" w:hAnsi="arial" w:cs="arial"/>
          <w:b w:val="0"/>
          <w:i w:val="0"/>
          <w:strike w:val="0"/>
          <w:noProof w:val="0"/>
          <w:color w:val="000000"/>
          <w:position w:val="0"/>
          <w:sz w:val="20"/>
          <w:u w:val="single"/>
          <w:vertAlign w:val="baseline"/>
        </w:rPr>
        <w:t xml:space="preserve">See </w:t>
      </w:r>
      <w:bookmarkStart w:id="70" w:name="Bookmark_I69C9GX828T4H50020000400"/>
      <w:bookmarkEnd w:id="70"/>
      <w:hyperlink r:id="rId61" w:history="1">
        <w:r>
          <w:rPr>
            <w:rFonts w:ascii="arial" w:eastAsia="arial" w:hAnsi="arial" w:cs="arial"/>
            <w:b w:val="0"/>
            <w:i/>
            <w:strike w:val="0"/>
            <w:noProof w:val="0"/>
            <w:color w:val="0077CC"/>
            <w:position w:val="0"/>
            <w:sz w:val="20"/>
            <w:u w:val="single"/>
            <w:vertAlign w:val="baseline"/>
          </w:rPr>
          <w:t>Hall</w:t>
        </w:r>
      </w:hyperlink>
      <w:hyperlink r:id="rId61" w:history="1">
        <w:r>
          <w:rPr>
            <w:rFonts w:ascii="arial" w:eastAsia="arial" w:hAnsi="arial" w:cs="arial"/>
            <w:b w:val="0"/>
            <w:i/>
            <w:strike w:val="0"/>
            <w:noProof w:val="0"/>
            <w:color w:val="0077CC"/>
            <w:position w:val="0"/>
            <w:sz w:val="20"/>
            <w:u w:val="single"/>
            <w:vertAlign w:val="baseline"/>
          </w:rPr>
          <w:t>, 2015 U.S. Dist. LEXIS 25749, 2015 WL 901010, *10-11, *31</w:t>
        </w:r>
      </w:hyperlink>
      <w:r>
        <w:rPr>
          <w:rFonts w:ascii="arial" w:eastAsia="arial" w:hAnsi="arial" w:cs="arial"/>
          <w:b w:val="0"/>
          <w:i w:val="0"/>
          <w:strike w:val="0"/>
          <w:noProof w:val="0"/>
          <w:color w:val="000000"/>
          <w:position w:val="0"/>
          <w:sz w:val="20"/>
          <w:u w:val="none"/>
          <w:vertAlign w:val="baseline"/>
        </w:rPr>
        <w:t xml:space="preserve">; </w:t>
      </w:r>
      <w:bookmarkStart w:id="71" w:name="Bookmark_I69C9GX828T4H50040000400"/>
      <w:bookmarkEnd w:id="71"/>
      <w:hyperlink r:id="rId59" w:history="1">
        <w:r>
          <w:rPr>
            <w:rFonts w:ascii="arial" w:eastAsia="arial" w:hAnsi="arial" w:cs="arial"/>
            <w:b w:val="0"/>
            <w:i/>
            <w:strike w:val="0"/>
            <w:noProof w:val="0"/>
            <w:color w:val="0077CC"/>
            <w:position w:val="0"/>
            <w:sz w:val="20"/>
            <w:u w:val="single"/>
            <w:vertAlign w:val="baseline"/>
          </w:rPr>
          <w:t>Alke</w:t>
        </w:r>
      </w:hyperlink>
      <w:hyperlink r:id="rId59" w:history="1">
        <w:r>
          <w:rPr>
            <w:rFonts w:ascii="arial" w:eastAsia="arial" w:hAnsi="arial" w:cs="arial"/>
            <w:b w:val="0"/>
            <w:i/>
            <w:strike w:val="0"/>
            <w:noProof w:val="0"/>
            <w:color w:val="0077CC"/>
            <w:position w:val="0"/>
            <w:sz w:val="20"/>
            <w:u w:val="single"/>
            <w:vertAlign w:val="baseline"/>
          </w:rPr>
          <w:t>, 2018 U.S. Dist. LEXIS 182845, 2018 WL 5297809, at *1-9</w:t>
        </w:r>
      </w:hyperlink>
      <w:r>
        <w:rPr>
          <w:rFonts w:ascii="arial" w:eastAsia="arial" w:hAnsi="arial" w:cs="arial"/>
          <w:b w:val="0"/>
          <w:i w:val="0"/>
          <w:strike w:val="0"/>
          <w:noProof w:val="0"/>
          <w:color w:val="000000"/>
          <w:position w:val="0"/>
          <w:sz w:val="20"/>
          <w:u w:val="none"/>
          <w:vertAlign w:val="baseline"/>
        </w:rPr>
        <w:t xml:space="preserve">; </w:t>
      </w:r>
      <w:bookmarkStart w:id="72" w:name="Bookmark_I69C9GX92HM62N0010000400"/>
      <w:bookmarkEnd w:id="72"/>
      <w:hyperlink r:id="rId61" w:history="1">
        <w:r>
          <w:rPr>
            <w:rFonts w:ascii="arial" w:eastAsia="arial" w:hAnsi="arial" w:cs="arial"/>
            <w:b w:val="0"/>
            <w:i/>
            <w:strike w:val="0"/>
            <w:noProof w:val="0"/>
            <w:color w:val="0077CC"/>
            <w:position w:val="0"/>
            <w:sz w:val="20"/>
            <w:u w:val="single"/>
            <w:vertAlign w:val="baseline"/>
          </w:rPr>
          <w:t>Olutosin</w:t>
        </w:r>
      </w:hyperlink>
      <w:hyperlink r:id="rId61" w:history="1">
        <w:r>
          <w:rPr>
            <w:rFonts w:ascii="arial" w:eastAsia="arial" w:hAnsi="arial" w:cs="arial"/>
            <w:b w:val="0"/>
            <w:i/>
            <w:strike w:val="0"/>
            <w:noProof w:val="0"/>
            <w:color w:val="0077CC"/>
            <w:position w:val="0"/>
            <w:sz w:val="20"/>
            <w:u w:val="single"/>
            <w:vertAlign w:val="baseline"/>
          </w:rPr>
          <w:t>, 2016 U.S. Dist. LEXIS 64661, 2016 WL 2899275, at *12</w:t>
        </w:r>
      </w:hyperlink>
      <w:r>
        <w:rPr>
          <w:rFonts w:ascii="arial" w:eastAsia="arial" w:hAnsi="arial" w:cs="arial"/>
          <w:b w:val="0"/>
          <w:i w:val="0"/>
          <w:strike w:val="0"/>
          <w:noProof w:val="0"/>
          <w:color w:val="000000"/>
          <w:position w:val="0"/>
          <w:sz w:val="20"/>
          <w:u w:val="none"/>
          <w:vertAlign w:val="baseline"/>
        </w:rPr>
        <w:t xml:space="preserve">. </w:t>
      </w:r>
      <w:bookmarkStart w:id="73" w:name="Bookmark_I69C9GX92HM62N0040000400_2"/>
      <w:bookmarkEnd w:id="73"/>
      <w:r>
        <w:rPr>
          <w:rFonts w:ascii="arial" w:eastAsia="arial" w:hAnsi="arial" w:cs="arial"/>
          <w:b w:val="0"/>
          <w:i w:val="0"/>
          <w:strike w:val="0"/>
          <w:noProof w:val="0"/>
          <w:color w:val="000000"/>
          <w:position w:val="0"/>
          <w:sz w:val="20"/>
          <w:u w:val="none"/>
          <w:vertAlign w:val="baseline"/>
        </w:rPr>
        <w:t xml:space="preserve">Second, </w:t>
      </w:r>
      <w:r>
        <w:rPr>
          <w:rFonts w:ascii="arial" w:eastAsia="arial" w:hAnsi="arial" w:cs="arial"/>
          <w:b w:val="0"/>
          <w:i w:val="0"/>
          <w:strike w:val="0"/>
          <w:noProof w:val="0"/>
          <w:color w:val="000000"/>
          <w:position w:val="0"/>
          <w:sz w:val="20"/>
          <w:u w:val="single"/>
          <w:vertAlign w:val="baseline"/>
        </w:rPr>
        <w:t>Alke</w:t>
      </w:r>
      <w:r>
        <w:rPr>
          <w:rFonts w:ascii="arial" w:eastAsia="arial" w:hAnsi="arial" w:cs="arial"/>
          <w:b w:val="0"/>
          <w:i w:val="0"/>
          <w:strike w:val="0"/>
          <w:noProof w:val="0"/>
          <w:color w:val="000000"/>
          <w:position w:val="0"/>
          <w:sz w:val="20"/>
          <w:u w:val="none"/>
          <w:vertAlign w:val="baseline"/>
        </w:rPr>
        <w:t xml:space="preserve"> did not discuss </w:t>
      </w:r>
      <w:hyperlink r:id="rId14" w:history="1">
        <w:r>
          <w:rPr>
            <w:rFonts w:ascii="arial" w:eastAsia="arial" w:hAnsi="arial" w:cs="arial"/>
            <w:b w:val="0"/>
            <w:i/>
            <w:strike w:val="0"/>
            <w:noProof w:val="0"/>
            <w:color w:val="0077CC"/>
            <w:position w:val="0"/>
            <w:sz w:val="20"/>
            <w:u w:val="single"/>
            <w:vertAlign w:val="baseline"/>
          </w:rPr>
          <w:t>N.Y. Correction Law section 24</w:t>
        </w:r>
      </w:hyperlink>
      <w:r>
        <w:rPr>
          <w:rFonts w:ascii="arial" w:eastAsia="arial" w:hAnsi="arial" w:cs="arial"/>
          <w:b w:val="0"/>
          <w:i w:val="0"/>
          <w:strike w:val="0"/>
          <w:noProof w:val="0"/>
          <w:color w:val="000000"/>
          <w:position w:val="0"/>
          <w:sz w:val="20"/>
          <w:u w:val="none"/>
          <w:vertAlign w:val="baseline"/>
        </w:rPr>
        <w:t xml:space="preserve">. </w:t>
      </w:r>
      <w:bookmarkStart w:id="74" w:name="Bookmark_I69C9GX92D6NC70010000400"/>
      <w:bookmarkEnd w:id="74"/>
      <w:r>
        <w:rPr>
          <w:rFonts w:ascii="arial" w:eastAsia="arial" w:hAnsi="arial" w:cs="arial"/>
          <w:b w:val="0"/>
          <w:i w:val="0"/>
          <w:strike w:val="0"/>
          <w:noProof w:val="0"/>
          <w:color w:val="000000"/>
          <w:position w:val="0"/>
          <w:sz w:val="20"/>
          <w:u w:val="single"/>
          <w:vertAlign w:val="baseline"/>
        </w:rPr>
        <w:t xml:space="preserve">See </w:t>
      </w:r>
      <w:bookmarkStart w:id="75" w:name="Bookmark_I69C9GX92HM62N0030000400"/>
      <w:bookmarkEnd w:id="75"/>
      <w:hyperlink r:id="rId59" w:history="1">
        <w:r>
          <w:rPr>
            <w:rFonts w:ascii="arial" w:eastAsia="arial" w:hAnsi="arial" w:cs="arial"/>
            <w:b w:val="0"/>
            <w:i/>
            <w:strike w:val="0"/>
            <w:noProof w:val="0"/>
            <w:color w:val="0077CC"/>
            <w:position w:val="0"/>
            <w:sz w:val="20"/>
            <w:u w:val="single"/>
            <w:vertAlign w:val="baseline"/>
          </w:rPr>
          <w:t>Alke</w:t>
        </w:r>
      </w:hyperlink>
      <w:hyperlink r:id="rId59" w:history="1">
        <w:r>
          <w:rPr>
            <w:rFonts w:ascii="arial" w:eastAsia="arial" w:hAnsi="arial" w:cs="arial"/>
            <w:b w:val="0"/>
            <w:i/>
            <w:strike w:val="0"/>
            <w:noProof w:val="0"/>
            <w:color w:val="0077CC"/>
            <w:position w:val="0"/>
            <w:sz w:val="20"/>
            <w:u w:val="single"/>
            <w:vertAlign w:val="baseline"/>
          </w:rPr>
          <w:t>, 2018 U.S. Dist. LEXIS 182845, 2018 WL 5297809, at *1-9</w:t>
        </w:r>
      </w:hyperlink>
      <w:r>
        <w:rPr>
          <w:rFonts w:ascii="arial" w:eastAsia="arial" w:hAnsi="arial" w:cs="arial"/>
          <w:b w:val="0"/>
          <w:i w:val="0"/>
          <w:strike w:val="0"/>
          <w:noProof w:val="0"/>
          <w:color w:val="000000"/>
          <w:position w:val="0"/>
          <w:sz w:val="20"/>
          <w:u w:val="none"/>
          <w:vertAlign w:val="baseline"/>
        </w:rPr>
        <w:t xml:space="preserve">. </w:t>
      </w:r>
      <w:bookmarkStart w:id="76" w:name="Bookmark_I69C9GX92D6NC70010000400_2"/>
      <w:bookmarkEnd w:id="76"/>
      <w:bookmarkStart w:id="77" w:name="Bookmark_I69C9GX92D6NC70030000400"/>
      <w:bookmarkEnd w:id="77"/>
      <w:r>
        <w:rPr>
          <w:rFonts w:ascii="arial" w:eastAsia="arial" w:hAnsi="arial" w:cs="arial"/>
          <w:b w:val="0"/>
          <w:i w:val="0"/>
          <w:strike w:val="0"/>
          <w:noProof w:val="0"/>
          <w:color w:val="000000"/>
          <w:position w:val="0"/>
          <w:sz w:val="20"/>
          <w:u w:val="none"/>
          <w:vertAlign w:val="baseline"/>
        </w:rPr>
        <w:t xml:space="preserve">Third, insofar as </w:t>
      </w:r>
      <w:r>
        <w:rPr>
          <w:rFonts w:ascii="arial" w:eastAsia="arial" w:hAnsi="arial" w:cs="arial"/>
          <w:b w:val="0"/>
          <w:i w:val="0"/>
          <w:strike w:val="0"/>
          <w:noProof w:val="0"/>
          <w:color w:val="000000"/>
          <w:position w:val="0"/>
          <w:sz w:val="20"/>
          <w:u w:val="single"/>
          <w:vertAlign w:val="baseline"/>
        </w:rPr>
        <w:t>Hoffnagle</w:t>
      </w:r>
      <w:r>
        <w:rPr>
          <w:rFonts w:ascii="arial" w:eastAsia="arial" w:hAnsi="arial" w:cs="arial"/>
          <w:b w:val="0"/>
          <w:i w:val="0"/>
          <w:strike w:val="0"/>
          <w:noProof w:val="0"/>
          <w:color w:val="000000"/>
          <w:position w:val="0"/>
          <w:sz w:val="20"/>
          <w:u w:val="none"/>
          <w:vertAlign w:val="baseline"/>
        </w:rPr>
        <w:t xml:space="preserve"> included an IIED claim, the facts are distinguishable. </w:t>
      </w:r>
      <w:bookmarkStart w:id="78" w:name="Bookmark_I69C9GX92D6NC70050000400"/>
      <w:bookmarkEnd w:id="78"/>
      <w:r>
        <w:rPr>
          <w:rFonts w:ascii="arial" w:eastAsia="arial" w:hAnsi="arial" w:cs="arial"/>
          <w:b w:val="0"/>
          <w:i w:val="0"/>
          <w:strike w:val="0"/>
          <w:noProof w:val="0"/>
          <w:color w:val="000000"/>
          <w:position w:val="0"/>
          <w:sz w:val="20"/>
          <w:u w:val="none"/>
          <w:vertAlign w:val="baseline"/>
        </w:rPr>
        <w:t xml:space="preserve">There, the plaintiff claimed emotional distress after being denied protective custody despite being in in fear for his safety; being placed in a holding cell, deprived of food, water, and the use of the bathroom for five hours; and then being placed "in a cell with 'a violent gang banger.'" </w:t>
      </w:r>
      <w:bookmarkStart w:id="79" w:name="Bookmark_I69C9GX92HM62N0050000400"/>
      <w:bookmarkEnd w:id="79"/>
      <w:hyperlink r:id="rId58" w:history="1">
        <w:r>
          <w:rPr>
            <w:rFonts w:ascii="arial" w:eastAsia="arial" w:hAnsi="arial" w:cs="arial"/>
            <w:b w:val="0"/>
            <w:i/>
            <w:strike w:val="0"/>
            <w:noProof w:val="0"/>
            <w:color w:val="0077CC"/>
            <w:position w:val="0"/>
            <w:sz w:val="20"/>
            <w:u w:val="single"/>
            <w:vertAlign w:val="baseline"/>
          </w:rPr>
          <w:t>2019 U.S. Dist. LEXIS 16303, 2019 WL 409366, at *1</w:t>
        </w:r>
      </w:hyperlink>
      <w:r>
        <w:rPr>
          <w:rFonts w:ascii="arial" w:eastAsia="arial" w:hAnsi="arial" w:cs="arial"/>
          <w:b w:val="0"/>
          <w:i w:val="0"/>
          <w:strike w:val="0"/>
          <w:noProof w:val="0"/>
          <w:color w:val="000000"/>
          <w:position w:val="0"/>
          <w:sz w:val="20"/>
          <w:u w:val="none"/>
          <w:vertAlign w:val="baseline"/>
        </w:rPr>
        <w:t xml:space="preserve">. </w:t>
      </w:r>
      <w:bookmarkStart w:id="80" w:name="Bookmark_I69C9GX92D6NC70050000400_2"/>
      <w:bookmarkEnd w:id="80"/>
      <w:bookmarkStart w:id="81" w:name="Bookmark_I69C9GX92D6NC70030000400_2"/>
      <w:bookmarkEnd w:id="81"/>
      <w:r>
        <w:rPr>
          <w:rFonts w:ascii="arial" w:eastAsia="arial" w:hAnsi="arial" w:cs="arial"/>
          <w:b w:val="0"/>
          <w:i w:val="0"/>
          <w:strike w:val="0"/>
          <w:noProof w:val="0"/>
          <w:color w:val="000000"/>
          <w:position w:val="0"/>
          <w:sz w:val="20"/>
          <w:u w:val="none"/>
          <w:vertAlign w:val="baseline"/>
        </w:rPr>
        <w:t xml:space="preserve">The Court dismissed the claim as barred by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because "the alleged conduct occurred while [the d]efendants were at work performing their job duties." </w:t>
      </w:r>
      <w:bookmarkStart w:id="82" w:name="Bookmark_I69C9GX92D6NC70020000400"/>
      <w:bookmarkEnd w:id="82"/>
      <w:hyperlink r:id="rId58" w:history="1">
        <w:r>
          <w:rPr>
            <w:rFonts w:ascii="arial" w:eastAsia="arial" w:hAnsi="arial" w:cs="arial"/>
            <w:b w:val="0"/>
            <w:i/>
            <w:strike w:val="0"/>
            <w:noProof w:val="0"/>
            <w:color w:val="0077CC"/>
            <w:position w:val="0"/>
            <w:sz w:val="20"/>
            <w:u w:val="single"/>
            <w:vertAlign w:val="baseline"/>
          </w:rPr>
          <w:t>2019 U.S. Dist. LEXIS 16303, [WL] at *7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Hoffnagle</w:t>
      </w:r>
      <w:r>
        <w:rPr>
          <w:rFonts w:ascii="arial" w:eastAsia="arial" w:hAnsi="arial" w:cs="arial"/>
          <w:b w:val="0"/>
          <w:i w:val="0"/>
          <w:strike w:val="0"/>
          <w:noProof w:val="0"/>
          <w:color w:val="000000"/>
          <w:position w:val="0"/>
          <w:sz w:val="20"/>
          <w:u w:val="none"/>
          <w:vertAlign w:val="baseline"/>
        </w:rPr>
        <w:t xml:space="preserve"> is distinguishable because placing plaintiff in a cell is a job typically performed by DOCCS correctional officers, there were no allegations that the "violent gang banger" harmed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or threatened to harm the plaintiff prior to being placed in the cell together, and there were no allegations that the defendants deprived him of food or water because of a personal vendetta. </w:t>
      </w:r>
      <w:bookmarkStart w:id="83" w:name="Bookmark_I69C9GX92D6NC70040000400"/>
      <w:bookmarkEnd w:id="83"/>
      <w:hyperlink r:id="rId58" w:history="1">
        <w:r>
          <w:rPr>
            <w:rFonts w:ascii="arial" w:eastAsia="arial" w:hAnsi="arial" w:cs="arial"/>
            <w:b w:val="0"/>
            <w:i/>
            <w:strike w:val="0"/>
            <w:noProof w:val="0"/>
            <w:color w:val="0077CC"/>
            <w:position w:val="0"/>
            <w:sz w:val="20"/>
            <w:u w:val="single"/>
            <w:vertAlign w:val="baseline"/>
          </w:rPr>
          <w:t>2019 U.S. Dist. LEXIS 16303, [WL] at *1</w:t>
        </w:r>
      </w:hyperlink>
      <w:r>
        <w:rPr>
          <w:rFonts w:ascii="arial" w:eastAsia="arial" w:hAnsi="arial" w:cs="arial"/>
          <w:b w:val="0"/>
          <w:i w:val="0"/>
          <w:strike w:val="0"/>
          <w:noProof w:val="0"/>
          <w:color w:val="000000"/>
          <w:position w:val="0"/>
          <w:sz w:val="20"/>
          <w:u w:val="none"/>
          <w:vertAlign w:val="baseline"/>
        </w:rPr>
        <w:t xml:space="preserve">. Insofar as </w:t>
      </w:r>
      <w:r>
        <w:rPr>
          <w:rFonts w:ascii="arial" w:eastAsia="arial" w:hAnsi="arial" w:cs="arial"/>
          <w:b w:val="0"/>
          <w:i w:val="0"/>
          <w:strike w:val="0"/>
          <w:noProof w:val="0"/>
          <w:color w:val="000000"/>
          <w:position w:val="0"/>
          <w:sz w:val="20"/>
          <w:u w:val="single"/>
          <w:vertAlign w:val="baseline"/>
        </w:rPr>
        <w:t>Hoffnagle</w:t>
      </w:r>
      <w:r>
        <w:rPr>
          <w:rFonts w:ascii="arial" w:eastAsia="arial" w:hAnsi="arial" w:cs="arial"/>
          <w:b w:val="0"/>
          <w:i w:val="0"/>
          <w:strike w:val="0"/>
          <w:noProof w:val="0"/>
          <w:color w:val="000000"/>
          <w:position w:val="0"/>
          <w:sz w:val="20"/>
          <w:u w:val="none"/>
          <w:vertAlign w:val="baseline"/>
        </w:rPr>
        <w:t xml:space="preserve"> and the case at hand are similar because they concern conduct that was allegedly done in "retaliation," </w:t>
      </w:r>
      <w:hyperlink r:id="rId62" w:history="1">
        <w:r>
          <w:rPr>
            <w:rFonts w:ascii="arial" w:eastAsia="arial" w:hAnsi="arial" w:cs="arial"/>
            <w:b w:val="0"/>
            <w:i/>
            <w:strike w:val="0"/>
            <w:noProof w:val="0"/>
            <w:color w:val="0077CC"/>
            <w:position w:val="0"/>
            <w:sz w:val="20"/>
            <w:u w:val="single"/>
            <w:vertAlign w:val="baseline"/>
          </w:rPr>
          <w:t>Livingston v. Hoffnagle</w:t>
        </w:r>
      </w:hyperlink>
      <w:hyperlink r:id="rId62" w:history="1">
        <w:r>
          <w:rPr>
            <w:rFonts w:ascii="arial" w:eastAsia="arial" w:hAnsi="arial" w:cs="arial"/>
            <w:b w:val="0"/>
            <w:i/>
            <w:strike w:val="0"/>
            <w:noProof w:val="0"/>
            <w:color w:val="0077CC"/>
            <w:position w:val="0"/>
            <w:sz w:val="20"/>
            <w:u w:val="single"/>
            <w:vertAlign w:val="baseline"/>
          </w:rPr>
          <w:t>, No. 9:17-CV-1158 (MAD/DEP), 2018 U.S. Dist. LEXIS 188998, 2018 WL 7917922, at *2 (N.D.N.Y. Nov. 2, 2018)</w:t>
        </w:r>
      </w:hyperlink>
      <w:r>
        <w:rPr>
          <w:rFonts w:ascii="arial" w:eastAsia="arial" w:hAnsi="arial" w:cs="arial"/>
          <w:b w:val="0"/>
          <w:i w:val="0"/>
          <w:strike w:val="0"/>
          <w:noProof w:val="0"/>
          <w:color w:val="000000"/>
          <w:position w:val="0"/>
          <w:sz w:val="20"/>
          <w:u w:val="none"/>
          <w:vertAlign w:val="baseline"/>
        </w:rPr>
        <w:t xml:space="preserve">, or with an intent to cause harm because of dislike for plaintiff,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Am. Compl. at 3, ¶¶ 22, 27; 5, ¶¶ 38-39, the Court comes to a different conclusion than in </w:t>
      </w:r>
      <w:r>
        <w:rPr>
          <w:rFonts w:ascii="arial" w:eastAsia="arial" w:hAnsi="arial" w:cs="arial"/>
          <w:b w:val="0"/>
          <w:i w:val="0"/>
          <w:strike w:val="0"/>
          <w:noProof w:val="0"/>
          <w:color w:val="000000"/>
          <w:position w:val="0"/>
          <w:sz w:val="20"/>
          <w:u w:val="single"/>
          <w:vertAlign w:val="baseline"/>
        </w:rPr>
        <w:t>Hoffnagle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19"/>
      <w:bookmarkEnd w:id="84"/>
      <w:r>
        <w:rPr>
          <w:rFonts w:ascii="arial" w:eastAsia="arial" w:hAnsi="arial" w:cs="arial"/>
          <w:b w:val="0"/>
          <w:i w:val="0"/>
          <w:strike w:val="0"/>
          <w:noProof w:val="0"/>
          <w:color w:val="000000"/>
          <w:position w:val="0"/>
          <w:sz w:val="20"/>
          <w:u w:val="none"/>
          <w:vertAlign w:val="baseline"/>
        </w:rPr>
        <w:t xml:space="preserve">Defendant Brown argues that plaintiff's allegations relate to "conduct [that] occurred while Defendant Brown was at work performing his job duties. As alleged by [p]laintiff in his complaint, Defendant Brown made these alleged statements while performing 'the count' in [p]laintiff's housing unit." Dkt. No. 26-1 at 5 (citing Am. Compl. at 5, ¶ 39). The Court agrees that plaintiff's allegations against defendant Brown relate to statements defendant Brown made while he was performing a count of the incarcerated individuals—which is a part of his job.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Am. Compl. at 5, ¶ 39; </w:t>
      </w:r>
      <w:r>
        <w:rPr>
          <w:rFonts w:ascii="arial" w:eastAsia="arial" w:hAnsi="arial" w:cs="arial"/>
          <w:b w:val="0"/>
          <w:i w:val="0"/>
          <w:strike w:val="0"/>
          <w:noProof w:val="0"/>
          <w:color w:val="000000"/>
          <w:position w:val="0"/>
          <w:sz w:val="20"/>
          <w:u w:val="single"/>
          <w:vertAlign w:val="baseline"/>
        </w:rPr>
        <w:t xml:space="preserve">see also </w:t>
      </w:r>
      <w:hyperlink r:id="rId38" w:history="1">
        <w:r>
          <w:rPr>
            <w:rFonts w:ascii="arial" w:eastAsia="arial" w:hAnsi="arial" w:cs="arial"/>
            <w:b w:val="0"/>
            <w:i/>
            <w:strike w:val="0"/>
            <w:noProof w:val="0"/>
            <w:color w:val="0077CC"/>
            <w:position w:val="0"/>
            <w:sz w:val="20"/>
            <w:u w:val="single"/>
            <w:vertAlign w:val="baseline"/>
          </w:rPr>
          <w:t>Ierardi</w:t>
        </w:r>
      </w:hyperlink>
      <w:hyperlink r:id="rId38" w:history="1">
        <w:r>
          <w:rPr>
            <w:rFonts w:ascii="arial" w:eastAsia="arial" w:hAnsi="arial" w:cs="arial"/>
            <w:b w:val="0"/>
            <w:i/>
            <w:strike w:val="0"/>
            <w:noProof w:val="0"/>
            <w:color w:val="0077CC"/>
            <w:position w:val="0"/>
            <w:sz w:val="20"/>
            <w:u w:val="single"/>
            <w:vertAlign w:val="baseline"/>
          </w:rPr>
          <w:t>, 119 F.3d at 187</w:t>
        </w:r>
      </w:hyperlink>
      <w:r>
        <w:rPr>
          <w:rFonts w:ascii="arial" w:eastAsia="arial" w:hAnsi="arial" w:cs="arial"/>
          <w:b w:val="0"/>
          <w:i w:val="0"/>
          <w:strike w:val="0"/>
          <w:noProof w:val="0"/>
          <w:color w:val="000000"/>
          <w:position w:val="0"/>
          <w:sz w:val="20"/>
          <w:u w:val="none"/>
          <w:vertAlign w:val="baseline"/>
        </w:rPr>
        <w:t xml:space="preserve"> (nothing "the connection between the time, place[,] and occasion for the act" and "the history of the relationship between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employer and employee as spelled out in actual practice"). However, the comments fall outside defendant Brown's scope of employment as the last three </w:t>
      </w:r>
      <w:hyperlink r:id="rId38" w:history="1">
        <w:r>
          <w:rPr>
            <w:rFonts w:ascii="arial" w:eastAsia="arial" w:hAnsi="arial" w:cs="arial"/>
            <w:b w:val="0"/>
            <w:i/>
            <w:strike w:val="0"/>
            <w:noProof w:val="0"/>
            <w:color w:val="0077CC"/>
            <w:position w:val="0"/>
            <w:sz w:val="20"/>
            <w:u w:val="single"/>
            <w:vertAlign w:val="baseline"/>
          </w:rPr>
          <w:t>Ierardi</w:t>
        </w:r>
      </w:hyperlink>
      <w:r>
        <w:rPr>
          <w:rFonts w:ascii="arial" w:eastAsia="arial" w:hAnsi="arial" w:cs="arial"/>
          <w:b w:val="0"/>
          <w:i w:val="0"/>
          <w:strike w:val="0"/>
          <w:noProof w:val="0"/>
          <w:color w:val="000000"/>
          <w:position w:val="0"/>
          <w:sz w:val="20"/>
          <w:u w:val="none"/>
          <w:vertAlign w:val="baseline"/>
        </w:rPr>
        <w:t xml:space="preserve"> factor weigh in plaintiff's favor.</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86" w:name="Bookmark_para_20"/>
      <w:bookmarkEnd w:id="86"/>
      <w:r>
        <w:rPr>
          <w:rFonts w:ascii="arial" w:eastAsia="arial" w:hAnsi="arial" w:cs="arial"/>
          <w:b w:val="0"/>
          <w:i w:val="0"/>
          <w:strike w:val="0"/>
          <w:noProof w:val="0"/>
          <w:color w:val="000000"/>
          <w:position w:val="0"/>
          <w:sz w:val="20"/>
          <w:u w:val="none"/>
          <w:vertAlign w:val="baseline"/>
        </w:rPr>
        <w:t xml:space="preserve">Calling plaintiff, a "friend," to encourage other incarcerated individuals to target him is not an act that is commonly done and departs from the normal procedures of counting the incarcerated individuals and from one of the primary job functions of a correctional officer: keeping inmates safe from harm. </w:t>
      </w:r>
      <w:r>
        <w:rPr>
          <w:rFonts w:ascii="arial" w:eastAsia="arial" w:hAnsi="arial" w:cs="arial"/>
          <w:b w:val="0"/>
          <w:i w:val="0"/>
          <w:strike w:val="0"/>
          <w:noProof w:val="0"/>
          <w:color w:val="000000"/>
          <w:position w:val="0"/>
          <w:sz w:val="20"/>
          <w:u w:val="single"/>
          <w:vertAlign w:val="baseline"/>
        </w:rPr>
        <w:t xml:space="preserve">See </w:t>
      </w:r>
      <w:hyperlink r:id="rId63" w:history="1">
        <w:r>
          <w:rPr>
            <w:rFonts w:ascii="arial" w:eastAsia="arial" w:hAnsi="arial" w:cs="arial"/>
            <w:b w:val="0"/>
            <w:i/>
            <w:strike w:val="0"/>
            <w:noProof w:val="0"/>
            <w:color w:val="0077CC"/>
            <w:position w:val="0"/>
            <w:sz w:val="20"/>
            <w:u w:val="single"/>
            <w:vertAlign w:val="baseline"/>
          </w:rPr>
          <w:t>Hartry v. Cnty. of Suffolk</w:t>
        </w:r>
      </w:hyperlink>
      <w:hyperlink r:id="rId63" w:history="1">
        <w:r>
          <w:rPr>
            <w:rFonts w:ascii="arial" w:eastAsia="arial" w:hAnsi="arial" w:cs="arial"/>
            <w:b w:val="0"/>
            <w:i/>
            <w:strike w:val="0"/>
            <w:noProof w:val="0"/>
            <w:color w:val="0077CC"/>
            <w:position w:val="0"/>
            <w:sz w:val="20"/>
            <w:u w:val="single"/>
            <w:vertAlign w:val="baseline"/>
          </w:rPr>
          <w:t>, 755 F. Supp. 2d 422, 440 (E.D.N.Y. 2010)</w:t>
        </w:r>
      </w:hyperlink>
      <w:r>
        <w:rPr>
          <w:rFonts w:ascii="arial" w:eastAsia="arial" w:hAnsi="arial" w:cs="arial"/>
          <w:b w:val="0"/>
          <w:i w:val="0"/>
          <w:strike w:val="0"/>
          <w:noProof w:val="0"/>
          <w:color w:val="000000"/>
          <w:position w:val="0"/>
          <w:sz w:val="20"/>
          <w:u w:val="none"/>
          <w:vertAlign w:val="baseline"/>
        </w:rPr>
        <w:t xml:space="preserve"> (quoting </w:t>
      </w:r>
      <w:hyperlink r:id="rId64" w:history="1">
        <w:r>
          <w:rPr>
            <w:rFonts w:ascii="arial" w:eastAsia="arial" w:hAnsi="arial" w:cs="arial"/>
            <w:b w:val="0"/>
            <w:i/>
            <w:strike w:val="0"/>
            <w:noProof w:val="0"/>
            <w:color w:val="0077CC"/>
            <w:position w:val="0"/>
            <w:sz w:val="20"/>
            <w:u w:val="single"/>
            <w:vertAlign w:val="baseline"/>
          </w:rPr>
          <w:t>Sanchez v. State of New York</w:t>
        </w:r>
      </w:hyperlink>
      <w:hyperlink r:id="rId64" w:history="1">
        <w:r>
          <w:rPr>
            <w:rFonts w:ascii="arial" w:eastAsia="arial" w:hAnsi="arial" w:cs="arial"/>
            <w:b w:val="0"/>
            <w:i/>
            <w:strike w:val="0"/>
            <w:noProof w:val="0"/>
            <w:color w:val="0077CC"/>
            <w:position w:val="0"/>
            <w:sz w:val="20"/>
            <w:u w:val="single"/>
            <w:vertAlign w:val="baseline"/>
          </w:rPr>
          <w:t>, 99 N.Y.2d 247, 253, 784 N.E.2d 675, 754 N.Y.S.2d 621 (2002)</w:t>
        </w:r>
      </w:hyperlink>
      <w:r>
        <w:rPr>
          <w:rFonts w:ascii="arial" w:eastAsia="arial" w:hAnsi="arial" w:cs="arial"/>
          <w:b w:val="0"/>
          <w:i w:val="0"/>
          <w:strike w:val="0"/>
          <w:noProof w:val="0"/>
          <w:color w:val="000000"/>
          <w:position w:val="0"/>
          <w:sz w:val="20"/>
          <w:u w:val="none"/>
          <w:vertAlign w:val="baseline"/>
        </w:rPr>
        <w:t xml:space="preserve">) ("Having assumed physical custody of inmates, who cannot protect and defend themselves in the same way as those at liberty can, the State owes a duty of care to safeguard inmates, even from attacks by fellow inmates."). </w:t>
      </w:r>
      <w:bookmarkStart w:id="87" w:name="Bookmark_I69C9GX92N1R5K0020000400"/>
      <w:bookmarkEnd w:id="87"/>
      <w:r>
        <w:rPr>
          <w:rFonts w:ascii="arial" w:eastAsia="arial" w:hAnsi="arial" w:cs="arial"/>
          <w:b w:val="0"/>
          <w:i w:val="0"/>
          <w:strike w:val="0"/>
          <w:noProof w:val="0"/>
          <w:color w:val="000000"/>
          <w:position w:val="0"/>
          <w:sz w:val="20"/>
          <w:u w:val="none"/>
          <w:vertAlign w:val="baseline"/>
        </w:rPr>
        <w:t xml:space="preserve">Plaintiff alleges that defendant Brown's comments were made to have plaintiff harmed by other incarcerated individuals because he was a "Rapo." Am. Compl. at 3, ¶¶ 21-22, 27; 5, ¶¶ 39-40. This motivation is unrelated to the interests of DOCCS. </w:t>
      </w:r>
      <w:r>
        <w:rPr>
          <w:rFonts w:ascii="arial" w:eastAsia="arial" w:hAnsi="arial" w:cs="arial"/>
          <w:b w:val="0"/>
          <w:i w:val="0"/>
          <w:strike w:val="0"/>
          <w:noProof w:val="0"/>
          <w:color w:val="000000"/>
          <w:position w:val="0"/>
          <w:sz w:val="20"/>
          <w:u w:val="single"/>
          <w:vertAlign w:val="baseline"/>
        </w:rPr>
        <w:t xml:space="preserve">See </w:t>
      </w:r>
      <w:bookmarkStart w:id="88" w:name="Bookmark_I69C9GX92N1R5K0010000400"/>
      <w:bookmarkEnd w:id="88"/>
      <w:hyperlink r:id="rId36" w:history="1">
        <w:r>
          <w:rPr>
            <w:rFonts w:ascii="arial" w:eastAsia="arial" w:hAnsi="arial" w:cs="arial"/>
            <w:b w:val="0"/>
            <w:i/>
            <w:strike w:val="0"/>
            <w:noProof w:val="0"/>
            <w:color w:val="0077CC"/>
            <w:position w:val="0"/>
            <w:sz w:val="20"/>
            <w:u w:val="single"/>
            <w:vertAlign w:val="baseline"/>
          </w:rPr>
          <w:t>Griffin</w:t>
        </w:r>
      </w:hyperlink>
      <w:hyperlink r:id="rId36" w:history="1">
        <w:r>
          <w:rPr>
            <w:rFonts w:ascii="arial" w:eastAsia="arial" w:hAnsi="arial" w:cs="arial"/>
            <w:b w:val="0"/>
            <w:i/>
            <w:strike w:val="0"/>
            <w:noProof w:val="0"/>
            <w:color w:val="0077CC"/>
            <w:position w:val="0"/>
            <w:sz w:val="20"/>
            <w:u w:val="single"/>
            <w:vertAlign w:val="baseline"/>
          </w:rPr>
          <w:t>, 2007 U.S. Dist. LEXIS 61642, 2007 WL 2437433, at *3</w:t>
        </w:r>
      </w:hyperlink>
      <w:r>
        <w:rPr>
          <w:rFonts w:ascii="arial" w:eastAsia="arial" w:hAnsi="arial" w:cs="arial"/>
          <w:b w:val="0"/>
          <w:i w:val="0"/>
          <w:strike w:val="0"/>
          <w:noProof w:val="0"/>
          <w:color w:val="000000"/>
          <w:position w:val="0"/>
          <w:sz w:val="20"/>
          <w:u w:val="none"/>
          <w:vertAlign w:val="baseline"/>
        </w:rPr>
        <w:t xml:space="preserve"> ("While the Court agrees with [the d]efendants that the service of food itself would clearly fall within the parameters of </w:t>
      </w:r>
      <w:hyperlink r:id="rId14" w:history="1">
        <w:r>
          <w:rPr>
            <w:rFonts w:ascii="arial" w:eastAsia="arial" w:hAnsi="arial" w:cs="arial"/>
            <w:b w:val="0"/>
            <w:i/>
            <w:strike w:val="0"/>
            <w:noProof w:val="0"/>
            <w:color w:val="0077CC"/>
            <w:position w:val="0"/>
            <w:sz w:val="20"/>
            <w:u w:val="single"/>
            <w:vertAlign w:val="baseline"/>
          </w:rPr>
          <w:t>§ 24</w:t>
        </w:r>
      </w:hyperlink>
      <w:r>
        <w:rPr>
          <w:rFonts w:ascii="arial" w:eastAsia="arial" w:hAnsi="arial" w:cs="arial"/>
          <w:b w:val="0"/>
          <w:i w:val="0"/>
          <w:strike w:val="0"/>
          <w:noProof w:val="0"/>
          <w:color w:val="000000"/>
          <w:position w:val="0"/>
          <w:sz w:val="20"/>
          <w:u w:val="none"/>
          <w:vertAlign w:val="baseline"/>
        </w:rPr>
        <w:t>, that is not the true issue. The true issue is whether the knowing, deliberate and intentional service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food adulterated with drugs falls within the parameters of </w:t>
      </w:r>
      <w:hyperlink r:id="rId14" w:history="1">
        <w:r>
          <w:rPr>
            <w:rFonts w:ascii="arial" w:eastAsia="arial" w:hAnsi="arial" w:cs="arial"/>
            <w:b w:val="0"/>
            <w:i/>
            <w:strike w:val="0"/>
            <w:noProof w:val="0"/>
            <w:color w:val="0077CC"/>
            <w:position w:val="0"/>
            <w:sz w:val="20"/>
            <w:u w:val="single"/>
            <w:vertAlign w:val="baseline"/>
          </w:rPr>
          <w:t>§ 24</w:t>
        </w:r>
      </w:hyperlink>
      <w:r>
        <w:rPr>
          <w:rFonts w:ascii="arial" w:eastAsia="arial" w:hAnsi="arial" w:cs="arial"/>
          <w:b w:val="0"/>
          <w:i w:val="0"/>
          <w:strike w:val="0"/>
          <w:noProof w:val="0"/>
          <w:color w:val="000000"/>
          <w:position w:val="0"/>
          <w:sz w:val="20"/>
          <w:u w:val="none"/>
          <w:vertAlign w:val="baseline"/>
        </w:rPr>
        <w:t xml:space="preserve">. </w:t>
      </w:r>
      <w:bookmarkStart w:id="89" w:name="Bookmark_I69C9GX92N1R5K0040000400"/>
      <w:bookmarkEnd w:id="89"/>
      <w:r>
        <w:rPr>
          <w:rFonts w:ascii="arial" w:eastAsia="arial" w:hAnsi="arial" w:cs="arial"/>
          <w:b w:val="0"/>
          <w:i w:val="0"/>
          <w:strike w:val="0"/>
          <w:noProof w:val="0"/>
          <w:color w:val="000000"/>
          <w:position w:val="0"/>
          <w:sz w:val="20"/>
          <w:u w:val="none"/>
          <w:vertAlign w:val="baseline"/>
        </w:rPr>
        <w:t xml:space="preserve">The Court thinks not. This [is] not a case of negligence, which would fall within the scope of </w:t>
      </w:r>
      <w:hyperlink r:id="rId14" w:history="1">
        <w:r>
          <w:rPr>
            <w:rFonts w:ascii="arial" w:eastAsia="arial" w:hAnsi="arial" w:cs="arial"/>
            <w:b w:val="0"/>
            <w:i/>
            <w:strike w:val="0"/>
            <w:noProof w:val="0"/>
            <w:color w:val="0077CC"/>
            <w:position w:val="0"/>
            <w:sz w:val="20"/>
            <w:u w:val="single"/>
            <w:vertAlign w:val="baseline"/>
          </w:rPr>
          <w:t>§ 24</w:t>
        </w:r>
      </w:hyperlink>
      <w:r>
        <w:rPr>
          <w:rFonts w:ascii="arial" w:eastAsia="arial" w:hAnsi="arial" w:cs="arial"/>
          <w:b w:val="0"/>
          <w:i w:val="0"/>
          <w:strike w:val="0"/>
          <w:noProof w:val="0"/>
          <w:color w:val="000000"/>
          <w:position w:val="0"/>
          <w:sz w:val="20"/>
          <w:u w:val="none"/>
          <w:vertAlign w:val="baseline"/>
        </w:rPr>
        <w:t xml:space="preserve">, but a case in which it is alleged the acts were done knowingly, deliberately and intentionally."). Further, DOCCS likely could not have reasonably anticipated that defendant Brown would make such comments towards plaintiff in an effort to have him harmed by other inmates. </w:t>
      </w:r>
      <w:r>
        <w:rPr>
          <w:rFonts w:ascii="arial" w:eastAsia="arial" w:hAnsi="arial" w:cs="arial"/>
          <w:b w:val="0"/>
          <w:i w:val="0"/>
          <w:strike w:val="0"/>
          <w:noProof w:val="0"/>
          <w:color w:val="000000"/>
          <w:position w:val="0"/>
          <w:sz w:val="20"/>
          <w:u w:val="single"/>
          <w:vertAlign w:val="baseline"/>
        </w:rPr>
        <w:t xml:space="preserve">See </w:t>
      </w:r>
      <w:bookmarkStart w:id="90" w:name="Bookmark_I69C9GX92N1R5K0030000400"/>
      <w:bookmarkEnd w:id="90"/>
      <w:hyperlink r:id="rId55" w:history="1">
        <w:r>
          <w:rPr>
            <w:rFonts w:ascii="arial" w:eastAsia="arial" w:hAnsi="arial" w:cs="arial"/>
            <w:b w:val="0"/>
            <w:i/>
            <w:strike w:val="0"/>
            <w:noProof w:val="0"/>
            <w:color w:val="0077CC"/>
            <w:position w:val="0"/>
            <w:sz w:val="20"/>
            <w:u w:val="single"/>
            <w:vertAlign w:val="baseline"/>
          </w:rPr>
          <w:t>Tranchina</w:t>
        </w:r>
      </w:hyperlink>
      <w:hyperlink r:id="rId55" w:history="1">
        <w:r>
          <w:rPr>
            <w:rFonts w:ascii="arial" w:eastAsia="arial" w:hAnsi="arial" w:cs="arial"/>
            <w:b w:val="0"/>
            <w:i/>
            <w:strike w:val="0"/>
            <w:noProof w:val="0"/>
            <w:color w:val="0077CC"/>
            <w:position w:val="0"/>
            <w:sz w:val="20"/>
            <w:u w:val="single"/>
            <w:vertAlign w:val="baseline"/>
          </w:rPr>
          <w:t>, 2018 U.S. Dist. LEXIS 101783, 2018 WL 3037377, at *3</w:t>
        </w:r>
      </w:hyperlink>
      <w:r>
        <w:rPr>
          <w:rFonts w:ascii="arial" w:eastAsia="arial" w:hAnsi="arial" w:cs="arial"/>
          <w:b w:val="0"/>
          <w:i w:val="0"/>
          <w:strike w:val="0"/>
          <w:noProof w:val="0"/>
          <w:color w:val="000000"/>
          <w:position w:val="0"/>
          <w:sz w:val="20"/>
          <w:u w:val="none"/>
          <w:vertAlign w:val="baseline"/>
        </w:rPr>
        <w:t xml:space="preserve"> ("[I]t is not reasonably foreseeable that a guard, whose duties include maintaining order and protecting inmates from harm, would assault an inmate without provocation and then submit a false misbehavior report."). Defendant Brown does not argue otherwise.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26-1 at 5-6.</w:t>
      </w:r>
    </w:p>
    <w:p>
      <w:pPr>
        <w:keepNext w:val="0"/>
        <w:spacing w:before="240" w:after="0" w:line="260" w:lineRule="atLeast"/>
        <w:ind w:left="0" w:right="0" w:firstLine="0"/>
        <w:jc w:val="both"/>
      </w:pPr>
      <w:bookmarkStart w:id="91" w:name="Bookmark_para_21"/>
      <w:bookmarkEnd w:id="91"/>
      <w:bookmarkStart w:id="92" w:name="Bookmark_I68R07232N1PPV0030000400"/>
      <w:bookmarkEnd w:id="92"/>
      <w:r>
        <w:rPr>
          <w:rFonts w:ascii="arial" w:eastAsia="arial" w:hAnsi="arial" w:cs="arial"/>
          <w:b w:val="0"/>
          <w:i w:val="0"/>
          <w:strike w:val="0"/>
          <w:noProof w:val="0"/>
          <w:color w:val="000000"/>
          <w:position w:val="0"/>
          <w:sz w:val="20"/>
          <w:u w:val="none"/>
          <w:vertAlign w:val="baseline"/>
        </w:rPr>
        <w:t xml:space="preserve">Many of the cases which have held that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bars a plaintiff's IIED claim relate to uses of physical force by correctional officers during an allegedly provoked attack and/or concern the medical care that the plaintiff received. </w:t>
      </w:r>
      <w:r>
        <w:rPr>
          <w:rFonts w:ascii="arial" w:eastAsia="arial" w:hAnsi="arial" w:cs="arial"/>
          <w:b w:val="0"/>
          <w:i w:val="0"/>
          <w:strike w:val="0"/>
          <w:noProof w:val="0"/>
          <w:color w:val="000000"/>
          <w:position w:val="0"/>
          <w:sz w:val="20"/>
          <w:u w:val="single"/>
          <w:vertAlign w:val="baseline"/>
        </w:rPr>
        <w:t xml:space="preserve">See, e.g., </w:t>
      </w:r>
      <w:bookmarkStart w:id="93" w:name="Bookmark_I68R07232N1PPV0020000400"/>
      <w:bookmarkEnd w:id="93"/>
      <w:hyperlink r:id="rId43" w:history="1">
        <w:r>
          <w:rPr>
            <w:rFonts w:ascii="arial" w:eastAsia="arial" w:hAnsi="arial" w:cs="arial"/>
            <w:b w:val="0"/>
            <w:i/>
            <w:strike w:val="0"/>
            <w:noProof w:val="0"/>
            <w:color w:val="0077CC"/>
            <w:position w:val="0"/>
            <w:sz w:val="20"/>
            <w:u w:val="single"/>
            <w:vertAlign w:val="baseline"/>
          </w:rPr>
          <w:t>Ficklin</w:t>
        </w:r>
      </w:hyperlink>
      <w:hyperlink r:id="rId43" w:history="1">
        <w:r>
          <w:rPr>
            <w:rFonts w:ascii="arial" w:eastAsia="arial" w:hAnsi="arial" w:cs="arial"/>
            <w:b w:val="0"/>
            <w:i/>
            <w:strike w:val="0"/>
            <w:noProof w:val="0"/>
            <w:color w:val="0077CC"/>
            <w:position w:val="0"/>
            <w:sz w:val="20"/>
            <w:u w:val="single"/>
            <w:vertAlign w:val="baseline"/>
          </w:rPr>
          <w:t>, 351 F. Supp. 3d at 441</w:t>
        </w:r>
      </w:hyperlink>
      <w:r>
        <w:rPr>
          <w:rFonts w:ascii="arial" w:eastAsia="arial" w:hAnsi="arial" w:cs="arial"/>
          <w:b w:val="0"/>
          <w:i w:val="0"/>
          <w:strike w:val="0"/>
          <w:noProof w:val="0"/>
          <w:color w:val="000000"/>
          <w:position w:val="0"/>
          <w:sz w:val="20"/>
          <w:u w:val="none"/>
          <w:vertAlign w:val="baseline"/>
        </w:rPr>
        <w:t xml:space="preserve">; </w:t>
      </w:r>
      <w:bookmarkStart w:id="94" w:name="Bookmark_I68R07232N1PPV0040000400"/>
      <w:bookmarkEnd w:id="94"/>
      <w:hyperlink r:id="rId44" w:history="1">
        <w:r>
          <w:rPr>
            <w:rFonts w:ascii="arial" w:eastAsia="arial" w:hAnsi="arial" w:cs="arial"/>
            <w:b w:val="0"/>
            <w:i/>
            <w:strike w:val="0"/>
            <w:noProof w:val="0"/>
            <w:color w:val="0077CC"/>
            <w:position w:val="0"/>
            <w:sz w:val="20"/>
            <w:u w:val="single"/>
            <w:vertAlign w:val="baseline"/>
          </w:rPr>
          <w:t>Flint</w:t>
        </w:r>
      </w:hyperlink>
      <w:hyperlink r:id="rId44" w:history="1">
        <w:r>
          <w:rPr>
            <w:rFonts w:ascii="arial" w:eastAsia="arial" w:hAnsi="arial" w:cs="arial"/>
            <w:b w:val="0"/>
            <w:i/>
            <w:strike w:val="0"/>
            <w:noProof w:val="0"/>
            <w:color w:val="0077CC"/>
            <w:position w:val="0"/>
            <w:sz w:val="20"/>
            <w:u w:val="single"/>
            <w:vertAlign w:val="baseline"/>
          </w:rPr>
          <w:t>, 541 F. Supp. 3d at 285</w:t>
        </w:r>
      </w:hyperlink>
      <w:r>
        <w:rPr>
          <w:rFonts w:ascii="arial" w:eastAsia="arial" w:hAnsi="arial" w:cs="arial"/>
          <w:b w:val="0"/>
          <w:i w:val="0"/>
          <w:strike w:val="0"/>
          <w:noProof w:val="0"/>
          <w:color w:val="000000"/>
          <w:position w:val="0"/>
          <w:sz w:val="20"/>
          <w:u w:val="none"/>
          <w:vertAlign w:val="baseline"/>
        </w:rPr>
        <w:t xml:space="preserve">; </w:t>
      </w:r>
      <w:bookmarkStart w:id="95" w:name="Bookmark_I69C9GX92N1R5K0050000400"/>
      <w:bookmarkEnd w:id="95"/>
      <w:hyperlink r:id="rId46" w:history="1">
        <w:r>
          <w:rPr>
            <w:rFonts w:ascii="arial" w:eastAsia="arial" w:hAnsi="arial" w:cs="arial"/>
            <w:b w:val="0"/>
            <w:i/>
            <w:strike w:val="0"/>
            <w:noProof w:val="0"/>
            <w:color w:val="0077CC"/>
            <w:position w:val="0"/>
            <w:sz w:val="20"/>
            <w:u w:val="single"/>
            <w:vertAlign w:val="baseline"/>
          </w:rPr>
          <w:t>Robinson</w:t>
        </w:r>
      </w:hyperlink>
      <w:hyperlink r:id="rId46" w:history="1">
        <w:r>
          <w:rPr>
            <w:rFonts w:ascii="arial" w:eastAsia="arial" w:hAnsi="arial" w:cs="arial"/>
            <w:b w:val="0"/>
            <w:i/>
            <w:strike w:val="0"/>
            <w:noProof w:val="0"/>
            <w:color w:val="0077CC"/>
            <w:position w:val="0"/>
            <w:sz w:val="20"/>
            <w:u w:val="single"/>
            <w:vertAlign w:val="baseline"/>
          </w:rPr>
          <w:t>, 2018 U.S. Dist. LEXIS 167036, 2018 WL 4682226, at *8</w:t>
        </w:r>
      </w:hyperlink>
      <w:r>
        <w:rPr>
          <w:rFonts w:ascii="arial" w:eastAsia="arial" w:hAnsi="arial" w:cs="arial"/>
          <w:b w:val="0"/>
          <w:i w:val="0"/>
          <w:strike w:val="0"/>
          <w:noProof w:val="0"/>
          <w:color w:val="000000"/>
          <w:position w:val="0"/>
          <w:sz w:val="20"/>
          <w:u w:val="none"/>
          <w:vertAlign w:val="baseline"/>
        </w:rPr>
        <w:t xml:space="preserve">; </w:t>
      </w:r>
      <w:bookmarkStart w:id="96" w:name="Bookmark_I69C9GX928T4H60020000400"/>
      <w:bookmarkEnd w:id="96"/>
      <w:hyperlink r:id="rId47" w:history="1">
        <w:r>
          <w:rPr>
            <w:rFonts w:ascii="arial" w:eastAsia="arial" w:hAnsi="arial" w:cs="arial"/>
            <w:b w:val="0"/>
            <w:i/>
            <w:strike w:val="0"/>
            <w:noProof w:val="0"/>
            <w:color w:val="0077CC"/>
            <w:position w:val="0"/>
            <w:sz w:val="20"/>
            <w:u w:val="single"/>
            <w:vertAlign w:val="baseline"/>
          </w:rPr>
          <w:t>Doe</w:t>
        </w:r>
      </w:hyperlink>
      <w:hyperlink r:id="rId47" w:history="1">
        <w:r>
          <w:rPr>
            <w:rFonts w:ascii="arial" w:eastAsia="arial" w:hAnsi="arial" w:cs="arial"/>
            <w:b w:val="0"/>
            <w:i/>
            <w:strike w:val="0"/>
            <w:noProof w:val="0"/>
            <w:color w:val="0077CC"/>
            <w:position w:val="0"/>
            <w:sz w:val="20"/>
            <w:u w:val="single"/>
            <w:vertAlign w:val="baseline"/>
          </w:rPr>
          <w:t>, 2012 U.S. Dist. LEXIS 140802, 2012 WL 4503409, at *7</w:t>
        </w:r>
      </w:hyperlink>
      <w:r>
        <w:rPr>
          <w:rFonts w:ascii="arial" w:eastAsia="arial" w:hAnsi="arial" w:cs="arial"/>
          <w:b w:val="0"/>
          <w:i w:val="0"/>
          <w:strike w:val="0"/>
          <w:noProof w:val="0"/>
          <w:color w:val="000000"/>
          <w:position w:val="0"/>
          <w:sz w:val="20"/>
          <w:u w:val="none"/>
          <w:vertAlign w:val="baseline"/>
        </w:rPr>
        <w:t xml:space="preserve">; </w:t>
      </w:r>
      <w:bookmarkStart w:id="97" w:name="Bookmark_I69C9GX928T4H60040000400"/>
      <w:bookmarkEnd w:id="97"/>
      <w:hyperlink r:id="rId48" w:history="1">
        <w:r>
          <w:rPr>
            <w:rFonts w:ascii="arial" w:eastAsia="arial" w:hAnsi="arial" w:cs="arial"/>
            <w:b w:val="0"/>
            <w:i/>
            <w:strike w:val="0"/>
            <w:noProof w:val="0"/>
            <w:color w:val="0077CC"/>
            <w:position w:val="0"/>
            <w:sz w:val="20"/>
            <w:u w:val="single"/>
            <w:vertAlign w:val="baseline"/>
          </w:rPr>
          <w:t>Muhammad</w:t>
        </w:r>
      </w:hyperlink>
      <w:hyperlink r:id="rId48" w:history="1">
        <w:r>
          <w:rPr>
            <w:rFonts w:ascii="arial" w:eastAsia="arial" w:hAnsi="arial" w:cs="arial"/>
            <w:b w:val="0"/>
            <w:i/>
            <w:strike w:val="0"/>
            <w:noProof w:val="0"/>
            <w:color w:val="0077CC"/>
            <w:position w:val="0"/>
            <w:sz w:val="20"/>
            <w:u w:val="single"/>
            <w:vertAlign w:val="baseline"/>
          </w:rPr>
          <w:t>, 2023 U.S. Dist. LEXIS 45505, 2023 WL 2557314, at *4, n.2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22"/>
      <w:bookmarkEnd w:id="98"/>
      <w:bookmarkStart w:id="99" w:name="Bookmark_I69C9GX92SF8SG0020000400"/>
      <w:bookmarkEnd w:id="99"/>
      <w:bookmarkStart w:id="100" w:name="Bookmark_I69C9GX92HM62P0010000400"/>
      <w:bookmarkEnd w:id="100"/>
      <w:bookmarkStart w:id="101" w:name="Bookmark_I69C9GX92SF8SG0010000400"/>
      <w:bookmarkEnd w:id="101"/>
      <w:hyperlink r:id="rId50" w:history="1">
        <w:r>
          <w:rPr>
            <w:rFonts w:ascii="arial" w:eastAsia="arial" w:hAnsi="arial" w:cs="arial"/>
            <w:b w:val="0"/>
            <w:i/>
            <w:strike w:val="0"/>
            <w:color w:val="0077CC"/>
            <w:sz w:val="20"/>
            <w:u w:val="single"/>
            <w:vertAlign w:val="baseline"/>
          </w:rPr>
          <w:t>Aghoghoubia</w:t>
        </w:r>
      </w:hyperlink>
      <w:hyperlink r:id="rId50" w:history="1">
        <w:r>
          <w:rPr>
            <w:rFonts w:ascii="arial" w:eastAsia="arial" w:hAnsi="arial" w:cs="arial"/>
            <w:b w:val="0"/>
            <w:i/>
            <w:strike w:val="0"/>
            <w:color w:val="0077CC"/>
            <w:sz w:val="20"/>
            <w:u w:val="single"/>
            <w:vertAlign w:val="baseline"/>
          </w:rPr>
          <w:t>, 2019 U.S. Dist. LEXIS 5659, 2019 WL 181309, at *3</w:t>
        </w:r>
      </w:hyperlink>
      <w:r>
        <w:rPr>
          <w:rFonts w:ascii="arial" w:eastAsia="arial" w:hAnsi="arial" w:cs="arial"/>
          <w:b w:val="0"/>
          <w:i w:val="0"/>
          <w:strike w:val="0"/>
          <w:noProof w:val="0"/>
          <w:color w:val="000000"/>
          <w:position w:val="0"/>
          <w:sz w:val="20"/>
          <w:u w:val="none"/>
          <w:vertAlign w:val="baseline"/>
        </w:rPr>
        <w:t xml:space="preserve">; </w:t>
      </w:r>
      <w:bookmarkStart w:id="102" w:name="Bookmark_I69C9GX92SF8SG0030000400"/>
      <w:bookmarkEnd w:id="102"/>
      <w:hyperlink r:id="rId51" w:history="1">
        <w:r>
          <w:rPr>
            <w:rFonts w:ascii="arial" w:eastAsia="arial" w:hAnsi="arial" w:cs="arial"/>
            <w:b w:val="0"/>
            <w:i/>
            <w:strike w:val="0"/>
            <w:noProof w:val="0"/>
            <w:color w:val="0077CC"/>
            <w:position w:val="0"/>
            <w:sz w:val="20"/>
            <w:u w:val="single"/>
            <w:vertAlign w:val="baseline"/>
          </w:rPr>
          <w:t>Leckie</w:t>
        </w:r>
      </w:hyperlink>
      <w:hyperlink r:id="rId51" w:history="1">
        <w:r>
          <w:rPr>
            <w:rFonts w:ascii="arial" w:eastAsia="arial" w:hAnsi="arial" w:cs="arial"/>
            <w:b w:val="0"/>
            <w:i/>
            <w:strike w:val="0"/>
            <w:noProof w:val="0"/>
            <w:color w:val="0077CC"/>
            <w:position w:val="0"/>
            <w:sz w:val="20"/>
            <w:u w:val="single"/>
            <w:vertAlign w:val="baseline"/>
          </w:rPr>
          <w:t>, 2022 U.S. Dist. LEXIS 117054, 2022 WL 2442375, at *25</w:t>
        </w:r>
      </w:hyperlink>
      <w:r>
        <w:rPr>
          <w:rFonts w:ascii="arial" w:eastAsia="arial" w:hAnsi="arial" w:cs="arial"/>
          <w:b w:val="0"/>
          <w:i w:val="0"/>
          <w:strike w:val="0"/>
          <w:noProof w:val="0"/>
          <w:color w:val="000000"/>
          <w:position w:val="0"/>
          <w:sz w:val="20"/>
          <w:u w:val="none"/>
          <w:vertAlign w:val="baseline"/>
        </w:rPr>
        <w:t xml:space="preserve">. Contrarily, in this case, as in </w:t>
      </w:r>
      <w:r>
        <w:rPr>
          <w:rFonts w:ascii="arial" w:eastAsia="arial" w:hAnsi="arial" w:cs="arial"/>
          <w:b w:val="0"/>
          <w:i w:val="0"/>
          <w:strike w:val="0"/>
          <w:noProof w:val="0"/>
          <w:color w:val="000000"/>
          <w:position w:val="0"/>
          <w:sz w:val="20"/>
          <w:u w:val="single"/>
          <w:vertAlign w:val="baseline"/>
        </w:rPr>
        <w:t>Bernardi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Tranchina</w:t>
      </w:r>
      <w:r>
        <w:rPr>
          <w:rFonts w:ascii="arial" w:eastAsia="arial" w:hAnsi="arial" w:cs="arial"/>
          <w:b w:val="0"/>
          <w:i w:val="0"/>
          <w:strike w:val="0"/>
          <w:noProof w:val="0"/>
          <w:color w:val="000000"/>
          <w:position w:val="0"/>
          <w:sz w:val="20"/>
          <w:u w:val="none"/>
          <w:vertAlign w:val="baseline"/>
        </w:rPr>
        <w:t xml:space="preserve">, defendant Brown's conduct was unprovoked and did not have any relation to the act of performing the Count. </w:t>
      </w:r>
      <w:bookmarkStart w:id="103" w:name="Bookmark_I68R07242N1PR60030000400"/>
      <w:bookmarkEnd w:id="103"/>
      <w:r>
        <w:rPr>
          <w:rFonts w:ascii="arial" w:eastAsia="arial" w:hAnsi="arial" w:cs="arial"/>
          <w:b w:val="0"/>
          <w:i w:val="0"/>
          <w:strike w:val="0"/>
          <w:noProof w:val="0"/>
          <w:color w:val="000000"/>
          <w:position w:val="0"/>
          <w:sz w:val="20"/>
          <w:u w:val="single"/>
          <w:vertAlign w:val="baseline"/>
        </w:rPr>
        <w:t xml:space="preserve">See </w:t>
      </w:r>
      <w:bookmarkStart w:id="104" w:name="Bookmark_I69C9GX92SF8SG0050000400"/>
      <w:bookmarkEnd w:id="104"/>
      <w:hyperlink r:id="rId55" w:history="1">
        <w:r>
          <w:rPr>
            <w:rFonts w:ascii="arial" w:eastAsia="arial" w:hAnsi="arial" w:cs="arial"/>
            <w:b w:val="0"/>
            <w:i/>
            <w:strike w:val="0"/>
            <w:noProof w:val="0"/>
            <w:color w:val="0077CC"/>
            <w:position w:val="0"/>
            <w:sz w:val="20"/>
            <w:u w:val="single"/>
            <w:vertAlign w:val="baseline"/>
          </w:rPr>
          <w:t>Tranchina</w:t>
        </w:r>
      </w:hyperlink>
      <w:hyperlink r:id="rId55" w:history="1">
        <w:r>
          <w:rPr>
            <w:rFonts w:ascii="arial" w:eastAsia="arial" w:hAnsi="arial" w:cs="arial"/>
            <w:b w:val="0"/>
            <w:i/>
            <w:strike w:val="0"/>
            <w:noProof w:val="0"/>
            <w:color w:val="0077CC"/>
            <w:position w:val="0"/>
            <w:sz w:val="20"/>
            <w:u w:val="single"/>
            <w:vertAlign w:val="baseline"/>
          </w:rPr>
          <w:t>, 2018 U.S. Dist. LEXIS 101783, 2018 WL 3037377, at *3</w:t>
        </w:r>
      </w:hyperlink>
      <w:r>
        <w:rPr>
          <w:rFonts w:ascii="arial" w:eastAsia="arial" w:hAnsi="arial" w:cs="arial"/>
          <w:b w:val="0"/>
          <w:i w:val="0"/>
          <w:strike w:val="0"/>
          <w:noProof w:val="0"/>
          <w:color w:val="000000"/>
          <w:position w:val="0"/>
          <w:sz w:val="20"/>
          <w:u w:val="none"/>
          <w:vertAlign w:val="baseline"/>
        </w:rPr>
        <w:t xml:space="preserve">; </w:t>
      </w:r>
      <w:bookmarkStart w:id="105" w:name="Bookmark_I69C9GX92HM62P0020000400"/>
      <w:bookmarkEnd w:id="105"/>
      <w:hyperlink r:id="rId33" w:history="1">
        <w:r>
          <w:rPr>
            <w:rFonts w:ascii="arial" w:eastAsia="arial" w:hAnsi="arial" w:cs="arial"/>
            <w:b w:val="0"/>
            <w:i/>
            <w:strike w:val="0"/>
            <w:noProof w:val="0"/>
            <w:color w:val="0077CC"/>
            <w:position w:val="0"/>
            <w:sz w:val="20"/>
            <w:u w:val="single"/>
            <w:vertAlign w:val="baseline"/>
          </w:rPr>
          <w:t>Bernardi</w:t>
        </w:r>
      </w:hyperlink>
      <w:hyperlink r:id="rId33" w:history="1">
        <w:r>
          <w:rPr>
            <w:rFonts w:ascii="arial" w:eastAsia="arial" w:hAnsi="arial" w:cs="arial"/>
            <w:b w:val="0"/>
            <w:i/>
            <w:strike w:val="0"/>
            <w:noProof w:val="0"/>
            <w:color w:val="0077CC"/>
            <w:position w:val="0"/>
            <w:sz w:val="20"/>
            <w:u w:val="single"/>
            <w:vertAlign w:val="baseline"/>
          </w:rPr>
          <w:t>, 2021 U.S. Dist. LEXIS 95225, 2021 WL 1999159, at *6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6" w:name="Bookmark_I68R07242D6MX00050000400"/>
      <w:bookmarkEnd w:id="106"/>
      <w:hyperlink r:id="rId65" w:history="1">
        <w:r>
          <w:rPr>
            <w:rFonts w:ascii="arial" w:eastAsia="arial" w:hAnsi="arial" w:cs="arial"/>
            <w:b w:val="0"/>
            <w:i/>
            <w:strike w:val="0"/>
            <w:noProof w:val="0"/>
            <w:color w:val="0077CC"/>
            <w:position w:val="0"/>
            <w:sz w:val="20"/>
            <w:u w:val="single"/>
            <w:vertAlign w:val="baseline"/>
          </w:rPr>
          <w:t>Murray v. Reif</w:t>
        </w:r>
      </w:hyperlink>
      <w:hyperlink r:id="rId65" w:history="1">
        <w:r>
          <w:rPr>
            <w:rFonts w:ascii="arial" w:eastAsia="arial" w:hAnsi="arial" w:cs="arial"/>
            <w:b w:val="0"/>
            <w:i/>
            <w:strike w:val="0"/>
            <w:noProof w:val="0"/>
            <w:color w:val="0077CC"/>
            <w:position w:val="0"/>
            <w:sz w:val="20"/>
            <w:u w:val="single"/>
            <w:vertAlign w:val="baseline"/>
          </w:rPr>
          <w:t>, 36 A.D.3d 1167, 828 N.Y.S.2d 669, 670 (App. Div. 2007)</w:t>
        </w:r>
      </w:hyperlink>
      <w:r>
        <w:rPr>
          <w:rFonts w:ascii="arial" w:eastAsia="arial" w:hAnsi="arial" w:cs="arial"/>
          <w:b w:val="0"/>
          <w:i w:val="0"/>
          <w:strike w:val="0"/>
          <w:noProof w:val="0"/>
          <w:color w:val="000000"/>
          <w:position w:val="0"/>
          <w:sz w:val="20"/>
          <w:u w:val="none"/>
          <w:vertAlign w:val="baseline"/>
        </w:rPr>
        <w:t xml:space="preserve"> ("Given its required liberal construction, the complaint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alleges that defendant assaulted plaintiff, threatened him, read his legal mail without permission, and importuned others not to feed plaintiff while he was in special housing. </w:t>
      </w:r>
      <w:bookmarkStart w:id="107" w:name="Bookmark_I68R07242N1PR60030000400_2"/>
      <w:bookmarkEnd w:id="107"/>
      <w:r>
        <w:rPr>
          <w:rFonts w:ascii="arial" w:eastAsia="arial" w:hAnsi="arial" w:cs="arial"/>
          <w:b w:val="0"/>
          <w:i w:val="0"/>
          <w:strike w:val="0"/>
          <w:noProof w:val="0"/>
          <w:color w:val="000000"/>
          <w:position w:val="0"/>
          <w:sz w:val="20"/>
          <w:u w:val="none"/>
          <w:vertAlign w:val="baseline"/>
        </w:rPr>
        <w:t xml:space="preserve">If true, it cannot be concluded that defendant was acting within the scope of his employment and </w:t>
      </w:r>
      <w:hyperlink r:id="rId14" w:history="1">
        <w:r>
          <w:rPr>
            <w:rFonts w:ascii="arial" w:eastAsia="arial" w:hAnsi="arial" w:cs="arial"/>
            <w:b w:val="0"/>
            <w:i/>
            <w:strike w:val="0"/>
            <w:noProof w:val="0"/>
            <w:color w:val="0077CC"/>
            <w:position w:val="0"/>
            <w:sz w:val="20"/>
            <w:u w:val="single"/>
            <w:vertAlign w:val="baseline"/>
          </w:rPr>
          <w:t>Correction Law § 24</w:t>
        </w:r>
      </w:hyperlink>
      <w:r>
        <w:rPr>
          <w:rFonts w:ascii="arial" w:eastAsia="arial" w:hAnsi="arial" w:cs="arial"/>
          <w:b w:val="0"/>
          <w:i w:val="0"/>
          <w:strike w:val="0"/>
          <w:noProof w:val="0"/>
          <w:color w:val="000000"/>
          <w:position w:val="0"/>
          <w:sz w:val="20"/>
          <w:u w:val="none"/>
          <w:vertAlign w:val="baseline"/>
        </w:rPr>
        <w:t xml:space="preserve"> would not divest Supreme Court of jurisdiction of these claims."). </w:t>
      </w:r>
      <w:r>
        <w:rPr>
          <w:rFonts w:ascii="arial" w:eastAsia="arial" w:hAnsi="arial" w:cs="arial"/>
          <w:b w:val="0"/>
          <w:i w:val="0"/>
          <w:strike w:val="0"/>
          <w:noProof w:val="0"/>
          <w:color w:val="000000"/>
          <w:position w:val="0"/>
          <w:sz w:val="20"/>
          <w:u w:val="single"/>
          <w:vertAlign w:val="baseline"/>
        </w:rPr>
        <w:t xml:space="preserve">But see </w:t>
      </w:r>
      <w:bookmarkStart w:id="108" w:name="Bookmark_I68R07242N1PR60020000400"/>
      <w:bookmarkEnd w:id="108"/>
      <w:hyperlink r:id="rId66" w:history="1">
        <w:r>
          <w:rPr>
            <w:rFonts w:ascii="arial" w:eastAsia="arial" w:hAnsi="arial" w:cs="arial"/>
            <w:b w:val="0"/>
            <w:i/>
            <w:strike w:val="0"/>
            <w:noProof w:val="0"/>
            <w:color w:val="0077CC"/>
            <w:position w:val="0"/>
            <w:sz w:val="20"/>
            <w:u w:val="single"/>
            <w:vertAlign w:val="baseline"/>
          </w:rPr>
          <w:t>Turner v. White</w:t>
        </w:r>
      </w:hyperlink>
      <w:hyperlink r:id="rId66" w:history="1">
        <w:r>
          <w:rPr>
            <w:rFonts w:ascii="arial" w:eastAsia="arial" w:hAnsi="arial" w:cs="arial"/>
            <w:b w:val="0"/>
            <w:i/>
            <w:strike w:val="0"/>
            <w:noProof w:val="0"/>
            <w:color w:val="0077CC"/>
            <w:position w:val="0"/>
            <w:sz w:val="20"/>
            <w:u w:val="single"/>
            <w:vertAlign w:val="baseline"/>
          </w:rPr>
          <w:t>, 443 F. Supp. 2d 288, 298 (E.D.N.Y. 2005)</w:t>
        </w:r>
      </w:hyperlink>
      <w:r>
        <w:rPr>
          <w:rFonts w:ascii="arial" w:eastAsia="arial" w:hAnsi="arial" w:cs="arial"/>
          <w:b w:val="0"/>
          <w:i w:val="0"/>
          <w:strike w:val="0"/>
          <w:noProof w:val="0"/>
          <w:color w:val="000000"/>
          <w:position w:val="0"/>
          <w:sz w:val="20"/>
          <w:u w:val="none"/>
          <w:vertAlign w:val="baseline"/>
        </w:rPr>
        <w:t xml:space="preserve"> (extending immunity under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for IIED claim alleging unprovoked attack by parole officers); </w:t>
      </w:r>
      <w:bookmarkStart w:id="109" w:name="Bookmark_I69C9GX92HM62P0040000400"/>
      <w:bookmarkEnd w:id="109"/>
      <w:hyperlink r:id="rId46" w:history="1">
        <w:r>
          <w:rPr>
            <w:rFonts w:ascii="arial" w:eastAsia="arial" w:hAnsi="arial" w:cs="arial"/>
            <w:b w:val="0"/>
            <w:i/>
            <w:strike w:val="0"/>
            <w:noProof w:val="0"/>
            <w:color w:val="0077CC"/>
            <w:position w:val="0"/>
            <w:sz w:val="20"/>
            <w:u w:val="single"/>
            <w:vertAlign w:val="baseline"/>
          </w:rPr>
          <w:t>Robinson</w:t>
        </w:r>
      </w:hyperlink>
      <w:hyperlink r:id="rId46" w:history="1">
        <w:r>
          <w:rPr>
            <w:rFonts w:ascii="arial" w:eastAsia="arial" w:hAnsi="arial" w:cs="arial"/>
            <w:b w:val="0"/>
            <w:i/>
            <w:strike w:val="0"/>
            <w:noProof w:val="0"/>
            <w:color w:val="0077CC"/>
            <w:position w:val="0"/>
            <w:sz w:val="20"/>
            <w:u w:val="single"/>
            <w:vertAlign w:val="baseline"/>
          </w:rPr>
          <w:t>, 2018 U.S. Dist. LEXIS 167036, 2018 WL 4682226, at *1, *8</w:t>
        </w:r>
      </w:hyperlink>
      <w:r>
        <w:rPr>
          <w:rFonts w:ascii="arial" w:eastAsia="arial" w:hAnsi="arial" w:cs="arial"/>
          <w:b w:val="0"/>
          <w:i w:val="0"/>
          <w:strike w:val="0"/>
          <w:noProof w:val="0"/>
          <w:color w:val="000000"/>
          <w:position w:val="0"/>
          <w:sz w:val="20"/>
          <w:u w:val="none"/>
          <w:vertAlign w:val="baseline"/>
        </w:rPr>
        <w:t xml:space="preserve"> (extending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immunity to an IIED claim alleging that during a pat frisk before entering a suicide watch program and while complying with orders for the pat frisk, a correctional officer began to physically assault the plaintiff); </w:t>
      </w:r>
      <w:bookmarkStart w:id="110" w:name="Bookmark_I69C9GX92D6NC80010000400"/>
      <w:bookmarkEnd w:id="110"/>
      <w:hyperlink r:id="rId50" w:history="1">
        <w:r>
          <w:rPr>
            <w:rFonts w:ascii="arial" w:eastAsia="arial" w:hAnsi="arial" w:cs="arial"/>
            <w:b w:val="0"/>
            <w:i/>
            <w:strike w:val="0"/>
            <w:noProof w:val="0"/>
            <w:color w:val="0077CC"/>
            <w:position w:val="0"/>
            <w:sz w:val="20"/>
            <w:u w:val="single"/>
            <w:vertAlign w:val="baseline"/>
          </w:rPr>
          <w:t>Aghoghoubia</w:t>
        </w:r>
      </w:hyperlink>
      <w:hyperlink r:id="rId50" w:history="1">
        <w:r>
          <w:rPr>
            <w:rFonts w:ascii="arial" w:eastAsia="arial" w:hAnsi="arial" w:cs="arial"/>
            <w:b w:val="0"/>
            <w:i/>
            <w:strike w:val="0"/>
            <w:noProof w:val="0"/>
            <w:color w:val="0077CC"/>
            <w:position w:val="0"/>
            <w:sz w:val="20"/>
            <w:u w:val="single"/>
            <w:vertAlign w:val="baseline"/>
          </w:rPr>
          <w:t>, 2019 U.S. Dist. LEXIS 5659, 2019 WL 181309, at *1, *3-4</w:t>
        </w:r>
      </w:hyperlink>
      <w:r>
        <w:rPr>
          <w:rFonts w:ascii="arial" w:eastAsia="arial" w:hAnsi="arial" w:cs="arial"/>
          <w:b w:val="0"/>
          <w:i w:val="0"/>
          <w:strike w:val="0"/>
          <w:noProof w:val="0"/>
          <w:color w:val="000000"/>
          <w:position w:val="0"/>
          <w:sz w:val="20"/>
          <w:u w:val="none"/>
          <w:vertAlign w:val="baseline"/>
        </w:rPr>
        <w:t xml:space="preserve"> (extending immunity to an IIED claim alleging that while waiting in the parole office and after complying with an order to remove his hat, the defendant parole officers physically assaulted the plaintiff).</w:t>
      </w:r>
    </w:p>
    <w:p>
      <w:pPr>
        <w:keepNext w:val="0"/>
        <w:spacing w:before="240" w:after="0" w:line="260" w:lineRule="atLeast"/>
        <w:ind w:left="0" w:right="0" w:firstLine="0"/>
        <w:jc w:val="both"/>
      </w:pPr>
      <w:bookmarkStart w:id="111" w:name="Bookmark_para_23"/>
      <w:bookmarkEnd w:id="111"/>
      <w:bookmarkStart w:id="112" w:name="Bookmark_I68R072528T4PF0040000400"/>
      <w:bookmarkEnd w:id="112"/>
      <w:r>
        <w:rPr>
          <w:rFonts w:ascii="arial" w:eastAsia="arial" w:hAnsi="arial" w:cs="arial"/>
          <w:b w:val="0"/>
          <w:i w:val="0"/>
          <w:strike w:val="0"/>
          <w:noProof w:val="0"/>
          <w:color w:val="000000"/>
          <w:position w:val="0"/>
          <w:sz w:val="20"/>
          <w:u w:val="none"/>
          <w:vertAlign w:val="baseline"/>
        </w:rPr>
        <w:t>Here, defendant Brown's statements were not related to his safety or the safety of the institution. Accepting all facts as true, plaintiff has pleaded enough facts to demonstrate that defendant Brown was acting outside the scope of his employment when he made comments during the Count that caused plaintiff to fear being physically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harmed by other incarcerated individuals. </w:t>
      </w:r>
      <w:r>
        <w:rPr>
          <w:rFonts w:ascii="arial" w:eastAsia="arial" w:hAnsi="arial" w:cs="arial"/>
          <w:b w:val="0"/>
          <w:i w:val="0"/>
          <w:strike w:val="0"/>
          <w:noProof w:val="0"/>
          <w:color w:val="000000"/>
          <w:position w:val="0"/>
          <w:sz w:val="20"/>
          <w:u w:val="single"/>
          <w:vertAlign w:val="baseline"/>
        </w:rPr>
        <w:t xml:space="preserve">See </w:t>
      </w:r>
      <w:bookmarkStart w:id="113" w:name="Bookmark_I68R072528T4PF0030000400"/>
      <w:bookmarkEnd w:id="113"/>
      <w:hyperlink r:id="rId67" w:history="1">
        <w:r>
          <w:rPr>
            <w:rFonts w:ascii="arial" w:eastAsia="arial" w:hAnsi="arial" w:cs="arial"/>
            <w:b w:val="0"/>
            <w:i/>
            <w:strike w:val="0"/>
            <w:noProof w:val="0"/>
            <w:color w:val="0077CC"/>
            <w:position w:val="0"/>
            <w:sz w:val="20"/>
            <w:u w:val="single"/>
            <w:vertAlign w:val="baseline"/>
          </w:rPr>
          <w:t>Turley v. ISG Lackawanna, Inc.</w:t>
        </w:r>
      </w:hyperlink>
      <w:hyperlink r:id="rId67" w:history="1">
        <w:r>
          <w:rPr>
            <w:rFonts w:ascii="arial" w:eastAsia="arial" w:hAnsi="arial" w:cs="arial"/>
            <w:b w:val="0"/>
            <w:i/>
            <w:strike w:val="0"/>
            <w:noProof w:val="0"/>
            <w:color w:val="0077CC"/>
            <w:position w:val="0"/>
            <w:sz w:val="20"/>
            <w:u w:val="single"/>
            <w:vertAlign w:val="baseline"/>
          </w:rPr>
          <w:t>, 774 F.3d 140, 161 (2d Cir. 2014)</w:t>
        </w:r>
      </w:hyperlink>
      <w:r>
        <w:rPr>
          <w:rFonts w:ascii="arial" w:eastAsia="arial" w:hAnsi="arial" w:cs="arial"/>
          <w:b w:val="0"/>
          <w:i w:val="0"/>
          <w:strike w:val="0"/>
          <w:noProof w:val="0"/>
          <w:color w:val="000000"/>
          <w:position w:val="0"/>
          <w:sz w:val="20"/>
          <w:u w:val="none"/>
          <w:vertAlign w:val="baseline"/>
        </w:rPr>
        <w:t xml:space="preserve"> ("Because it is usually motivated by something personal, harassment, however egregious, ordinarily does not fall within the scope of employment."); </w:t>
      </w:r>
      <w:bookmarkStart w:id="114" w:name="Bookmark_I69C9GX92D6NC80030000400"/>
      <w:bookmarkEnd w:id="114"/>
      <w:hyperlink r:id="rId68" w:history="1">
        <w:r>
          <w:rPr>
            <w:rFonts w:ascii="arial" w:eastAsia="arial" w:hAnsi="arial" w:cs="arial"/>
            <w:b w:val="0"/>
            <w:i/>
            <w:strike w:val="0"/>
            <w:noProof w:val="0"/>
            <w:color w:val="0077CC"/>
            <w:position w:val="0"/>
            <w:sz w:val="20"/>
            <w:u w:val="single"/>
            <w:vertAlign w:val="baseline"/>
          </w:rPr>
          <w:t>George v. New York City Transit Auth.</w:t>
        </w:r>
      </w:hyperlink>
      <w:hyperlink r:id="rId68" w:history="1">
        <w:r>
          <w:rPr>
            <w:rFonts w:ascii="arial" w:eastAsia="arial" w:hAnsi="arial" w:cs="arial"/>
            <w:b w:val="0"/>
            <w:i/>
            <w:strike w:val="0"/>
            <w:noProof w:val="0"/>
            <w:color w:val="0077CC"/>
            <w:position w:val="0"/>
            <w:sz w:val="20"/>
            <w:u w:val="single"/>
            <w:vertAlign w:val="baseline"/>
          </w:rPr>
          <w:t>, No. 04-CV-3263 (RJD/MDG), 2008 U.S. Dist. LEXIS 76288, 2008 WL 4274362, at *3 (E.D.N.Y. Sept. 17, 2008)</w:t>
        </w:r>
      </w:hyperlink>
      <w:r>
        <w:rPr>
          <w:rFonts w:ascii="arial" w:eastAsia="arial" w:hAnsi="arial" w:cs="arial"/>
          <w:b w:val="0"/>
          <w:i w:val="0"/>
          <w:strike w:val="0"/>
          <w:noProof w:val="0"/>
          <w:color w:val="000000"/>
          <w:position w:val="0"/>
          <w:sz w:val="20"/>
          <w:u w:val="none"/>
          <w:vertAlign w:val="baseline"/>
        </w:rPr>
        <w:t xml:space="preserve"> (citations omitted) ("[The plaintiff alleges that [the defendant] harassed him with constant racial and ethnic slurs and assaulted him. Such alleged intentional conduct manifest [the defendant's] personal animus toward [the] plaintiff, rather than any intent to benefit his employer."). As defendant Brown was not acting within the scope of his employment, he is not immune from liability under </w:t>
      </w:r>
      <w:hyperlink r:id="rId14"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and the undersigned recommends denying defendant Brown's partial 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15" w:name="Bookmark_para_24"/>
      <w:bookmarkEnd w:id="115"/>
      <w:r>
        <w:rPr>
          <w:rFonts w:ascii="arial" w:eastAsia="arial" w:hAnsi="arial" w:cs="arial"/>
          <w:b/>
          <w:i w:val="0"/>
          <w:strike w:val="0"/>
          <w:noProof w:val="0"/>
          <w:color w:val="000000"/>
          <w:position w:val="0"/>
          <w:sz w:val="20"/>
          <w:u w:val="none"/>
          <w:vertAlign w:val="baseline"/>
        </w:rPr>
        <w:t>WHEREFORE</w:t>
      </w:r>
      <w:r>
        <w:rPr>
          <w:rFonts w:ascii="arial" w:eastAsia="arial" w:hAnsi="arial" w:cs="arial"/>
          <w:b w:val="0"/>
          <w:i w:val="0"/>
          <w:strike w:val="0"/>
          <w:noProof w:val="0"/>
          <w:color w:val="000000"/>
          <w:position w:val="0"/>
          <w:sz w:val="20"/>
          <w:u w:val="none"/>
          <w:vertAlign w:val="baseline"/>
        </w:rPr>
        <w:t>, for the reasons set forth above, it is hereby:</w:t>
      </w:r>
    </w:p>
    <w:p>
      <w:pPr>
        <w:keepNext w:val="0"/>
        <w:spacing w:before="200" w:after="0" w:line="260" w:lineRule="atLeast"/>
        <w:ind w:left="0" w:right="0" w:firstLine="0"/>
        <w:jc w:val="both"/>
      </w:pPr>
      <w:bookmarkStart w:id="116" w:name="Bookmark_para_25"/>
      <w:bookmarkEnd w:id="116"/>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defendant's motion to dismiss (Dkt. No. 26)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and it is</w:t>
      </w:r>
    </w:p>
    <w:p>
      <w:pPr>
        <w:keepNext w:val="0"/>
        <w:spacing w:before="200" w:after="0" w:line="260" w:lineRule="atLeast"/>
        <w:ind w:left="0" w:right="0" w:firstLine="0"/>
        <w:jc w:val="both"/>
      </w:pPr>
      <w:bookmarkStart w:id="117" w:name="Bookmark_para_26"/>
      <w:bookmarkEnd w:id="11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that the Clerk of the Court serve a copy of this Report-Recommendation and Order on all parties in accordance with Local Rules.</w:t>
      </w:r>
    </w:p>
    <w:p>
      <w:pPr>
        <w:keepNext w:val="0"/>
        <w:spacing w:before="200" w:after="0" w:line="260" w:lineRule="atLeast"/>
        <w:ind w:left="0" w:right="0" w:firstLine="0"/>
        <w:jc w:val="both"/>
      </w:pPr>
      <w:bookmarkStart w:id="118" w:name="Bookmark_para_27"/>
      <w:bookmarkEnd w:id="118"/>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28"/>
      <w:bookmarkEnd w:id="119"/>
      <w:r>
        <w:rPr>
          <w:rFonts w:ascii="arial" w:eastAsia="arial" w:hAnsi="arial" w:cs="arial"/>
          <w:b w:val="0"/>
          <w:i w:val="0"/>
          <w:strike w:val="0"/>
          <w:noProof w:val="0"/>
          <w:color w:val="000000"/>
          <w:position w:val="0"/>
          <w:sz w:val="20"/>
          <w:u w:val="none"/>
          <w:vertAlign w:val="baseline"/>
        </w:rPr>
        <w:t xml:space="preserve">Pursuant to </w:t>
      </w:r>
      <w:hyperlink r:id="rId69"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and Local Rule 72.1(c), the parties have fourteen days within which to file written objections to the foregoing report. Such objections shall be filed with the Clerk of the Court. </w:t>
      </w:r>
      <w:hyperlink r:id="rId70" w:history="1">
        <w:r>
          <w:rPr>
            <w:rFonts w:ascii="arial" w:eastAsia="arial" w:hAnsi="arial" w:cs="arial"/>
            <w:b/>
            <w:i/>
            <w:strike w:val="0"/>
            <w:noProof w:val="0"/>
            <w:color w:val="0077CC"/>
            <w:position w:val="0"/>
            <w:sz w:val="20"/>
            <w:u w:val="single"/>
            <w:vertAlign w:val="baseline"/>
          </w:rPr>
          <w:t>FAILURE TO OBJECT TO THIS REPORT WITHIN FOURTEEN (14) DAYS WILL PRECLUDE APPELLATE REVIEW</w:t>
        </w:r>
      </w:hyperlink>
      <w:hyperlink r:id="rId70" w:history="1">
        <w:r>
          <w:rPr>
            <w:rFonts w:ascii="arial" w:eastAsia="arial" w:hAnsi="arial" w:cs="arial"/>
            <w:b w:val="0"/>
            <w:i/>
            <w:strike w:val="0"/>
            <w:noProof w:val="0"/>
            <w:color w:val="0077CC"/>
            <w:position w:val="0"/>
            <w:sz w:val="20"/>
            <w:u w:val="single"/>
            <w:vertAlign w:val="baseline"/>
          </w:rPr>
          <w:t xml:space="preserve">. </w:t>
        </w:r>
      </w:hyperlink>
      <w:hyperlink r:id="rId70" w:history="1">
        <w:r>
          <w:rPr>
            <w:rFonts w:ascii="arial" w:eastAsia="arial" w:hAnsi="arial" w:cs="arial"/>
            <w:b w:val="0"/>
            <w:i/>
            <w:strike w:val="0"/>
            <w:noProof w:val="0"/>
            <w:color w:val="0077CC"/>
            <w:position w:val="0"/>
            <w:sz w:val="20"/>
            <w:u w:val="single"/>
            <w:vertAlign w:val="baseline"/>
          </w:rPr>
          <w:t>Roldan v. Racette</w:t>
        </w:r>
      </w:hyperlink>
      <w:hyperlink r:id="rId70" w:history="1">
        <w:r>
          <w:rPr>
            <w:rFonts w:ascii="arial" w:eastAsia="arial" w:hAnsi="arial" w:cs="arial"/>
            <w:b w:val="0"/>
            <w:i/>
            <w:strike w:val="0"/>
            <w:noProof w:val="0"/>
            <w:color w:val="0077CC"/>
            <w:position w:val="0"/>
            <w:sz w:val="20"/>
            <w:u w:val="single"/>
            <w:vertAlign w:val="baseline"/>
          </w:rPr>
          <w:t>, 984 F.2d 85, 89 (2d Cir. 1993)</w:t>
        </w:r>
      </w:hyperlink>
      <w:r>
        <w:rPr>
          <w:rFonts w:ascii="arial" w:eastAsia="arial" w:hAnsi="arial" w:cs="arial"/>
          <w:b w:val="0"/>
          <w:i w:val="0"/>
          <w:strike w:val="0"/>
          <w:noProof w:val="0"/>
          <w:color w:val="000000"/>
          <w:position w:val="0"/>
          <w:sz w:val="20"/>
          <w:u w:val="none"/>
          <w:vertAlign w:val="baseline"/>
        </w:rPr>
        <w:t xml:space="preserve"> (citing </w:t>
      </w:r>
      <w:hyperlink r:id="rId71" w:history="1">
        <w:r>
          <w:rPr>
            <w:rFonts w:ascii="arial" w:eastAsia="arial" w:hAnsi="arial" w:cs="arial"/>
            <w:b w:val="0"/>
            <w:i/>
            <w:strike w:val="0"/>
            <w:noProof w:val="0"/>
            <w:color w:val="0077CC"/>
            <w:position w:val="0"/>
            <w:sz w:val="20"/>
            <w:u w:val="single"/>
            <w:vertAlign w:val="baseline"/>
          </w:rPr>
          <w:t xml:space="preserve">Small v. Secretary of Health and </w:t>
        </w:r>
      </w:hyperlink>
      <w:hyperlink r:id="rId71" w:history="1">
        <w:r>
          <w:rPr>
            <w:rFonts w:ascii="arial" w:eastAsia="arial" w:hAnsi="arial" w:cs="arial"/>
            <w:b/>
            <w:i/>
            <w:strike w:val="0"/>
            <w:noProof w:val="0"/>
            <w:color w:val="0077CC"/>
            <w:position w:val="0"/>
            <w:sz w:val="20"/>
            <w:u w:val="single"/>
            <w:vertAlign w:val="baseline"/>
          </w:rPr>
          <w:t>Human</w:t>
        </w:r>
      </w:hyperlink>
      <w:hyperlink r:id="rId71" w:history="1">
        <w:r>
          <w:rPr>
            <w:rFonts w:ascii="arial" w:eastAsia="arial" w:hAnsi="arial" w:cs="arial"/>
            <w:b w:val="0"/>
            <w:i/>
            <w:strike w:val="0"/>
            <w:noProof w:val="0"/>
            <w:color w:val="0077CC"/>
            <w:position w:val="0"/>
            <w:sz w:val="20"/>
            <w:u w:val="single"/>
            <w:vertAlign w:val="baseline"/>
          </w:rPr>
          <w:t xml:space="preserve"> Servs.</w:t>
        </w:r>
      </w:hyperlink>
      <w:hyperlink r:id="rId71" w:history="1">
        <w:r>
          <w:rPr>
            <w:rFonts w:ascii="arial" w:eastAsia="arial" w:hAnsi="arial" w:cs="arial"/>
            <w:b w:val="0"/>
            <w:i/>
            <w:strike w:val="0"/>
            <w:noProof w:val="0"/>
            <w:color w:val="0077CC"/>
            <w:position w:val="0"/>
            <w:sz w:val="20"/>
            <w:u w:val="single"/>
            <w:vertAlign w:val="baseline"/>
          </w:rPr>
          <w:t>, 892 F.2d 15 (2d Cir. 1989)</w:t>
        </w:r>
      </w:hyperlink>
      <w:r>
        <w:rPr>
          <w:rFonts w:ascii="arial" w:eastAsia="arial" w:hAnsi="arial" w:cs="arial"/>
          <w:b w:val="0"/>
          <w:i w:val="0"/>
          <w:strike w:val="0"/>
          <w:noProof w:val="0"/>
          <w:color w:val="000000"/>
          <w:position w:val="0"/>
          <w:sz w:val="20"/>
          <w:u w:val="none"/>
          <w:vertAlign w:val="baseline"/>
        </w:rPr>
        <w:t xml:space="preserve">); </w:t>
      </w:r>
      <w:hyperlink r:id="rId69"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Fed R. Civ. P. 6(a)</w:t>
        </w:r>
      </w:hyperlink>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6(e)</w:t>
        </w:r>
      </w:hyperlink>
      <w:r>
        <w:rPr>
          <w:rFonts w:ascii="arial" w:eastAsia="arial" w:hAnsi="arial" w:cs="arial"/>
          <w:b w:val="0"/>
          <w:i w:val="0"/>
          <w:strike w:val="0"/>
          <w:noProof w:val="0"/>
          <w:color w:val="000000"/>
          <w:position w:val="0"/>
          <w:sz w:val="20"/>
          <w:u w:val="none"/>
          <w:vertAlign w:val="baseline"/>
        </w:rPr>
        <w:t>, 72.</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21" w:name="Bookmark_para_29"/>
      <w:bookmarkEnd w:id="121"/>
      <w:r>
        <w:rPr>
          <w:rFonts w:ascii="arial" w:eastAsia="arial" w:hAnsi="arial" w:cs="arial"/>
          <w:b w:val="0"/>
          <w:i w:val="0"/>
          <w:strike w:val="0"/>
          <w:noProof w:val="0"/>
          <w:color w:val="000000"/>
          <w:position w:val="0"/>
          <w:sz w:val="20"/>
          <w:u w:val="none"/>
          <w:vertAlign w:val="baseline"/>
        </w:rPr>
        <w:t>Dated: July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11, 2023</w:t>
      </w:r>
    </w:p>
    <w:p>
      <w:pPr>
        <w:keepNext w:val="0"/>
        <w:spacing w:before="200" w:after="0" w:line="260" w:lineRule="atLeast"/>
        <w:ind w:left="0" w:right="0" w:firstLine="0"/>
        <w:jc w:val="both"/>
      </w:pPr>
      <w:bookmarkStart w:id="122" w:name="Bookmark_para_30"/>
      <w:bookmarkEnd w:id="122"/>
      <w:r>
        <w:rPr>
          <w:rFonts w:ascii="arial" w:eastAsia="arial" w:hAnsi="arial" w:cs="arial"/>
          <w:b w:val="0"/>
          <w:i w:val="0"/>
          <w:strike w:val="0"/>
          <w:noProof w:val="0"/>
          <w:color w:val="000000"/>
          <w:position w:val="0"/>
          <w:sz w:val="20"/>
          <w:u w:val="none"/>
          <w:vertAlign w:val="baseline"/>
        </w:rPr>
        <w:t>Albany, New York</w:t>
      </w:r>
    </w:p>
    <w:p>
      <w:pPr>
        <w:keepNext w:val="0"/>
        <w:spacing w:before="200" w:after="0" w:line="260" w:lineRule="atLeast"/>
        <w:ind w:left="0" w:right="0" w:firstLine="0"/>
        <w:jc w:val="both"/>
      </w:pPr>
      <w:bookmarkStart w:id="123" w:name="Bookmark_para_31"/>
      <w:bookmarkEnd w:id="123"/>
      <w:r>
        <w:rPr>
          <w:rFonts w:ascii="arial" w:eastAsia="arial" w:hAnsi="arial" w:cs="arial"/>
          <w:b w:val="0"/>
          <w:i w:val="0"/>
          <w:strike w:val="0"/>
          <w:noProof w:val="0"/>
          <w:color w:val="000000"/>
          <w:position w:val="0"/>
          <w:sz w:val="20"/>
          <w:u w:val="none"/>
          <w:vertAlign w:val="baseline"/>
        </w:rPr>
        <w:t>/s/ Christian F. Hummel</w:t>
      </w:r>
    </w:p>
    <w:p>
      <w:pPr>
        <w:keepNext w:val="0"/>
        <w:spacing w:before="200" w:after="0" w:line="260" w:lineRule="atLeast"/>
        <w:ind w:left="0" w:right="0" w:firstLine="0"/>
        <w:jc w:val="both"/>
      </w:pPr>
      <w:bookmarkStart w:id="124" w:name="Bookmark_para_32"/>
      <w:bookmarkEnd w:id="124"/>
      <w:r>
        <w:rPr>
          <w:rFonts w:ascii="arial" w:eastAsia="arial" w:hAnsi="arial" w:cs="arial"/>
          <w:b w:val="0"/>
          <w:i w:val="0"/>
          <w:strike w:val="0"/>
          <w:noProof w:val="0"/>
          <w:color w:val="000000"/>
          <w:position w:val="0"/>
          <w:sz w:val="20"/>
          <w:u w:val="none"/>
          <w:vertAlign w:val="baseline"/>
        </w:rPr>
        <w:t>Christian F. Hummel</w:t>
      </w:r>
    </w:p>
    <w:p>
      <w:pPr>
        <w:keepNext w:val="0"/>
        <w:spacing w:before="200" w:after="0" w:line="260" w:lineRule="atLeast"/>
        <w:ind w:left="0" w:right="0" w:firstLine="0"/>
        <w:jc w:val="both"/>
      </w:pPr>
      <w:bookmarkStart w:id="125" w:name="Bookmark_para_33"/>
      <w:bookmarkEnd w:id="125"/>
      <w:r>
        <w:rPr>
          <w:rFonts w:ascii="arial" w:eastAsia="arial" w:hAnsi="arial" w:cs="arial"/>
          <w:b w:val="0"/>
          <w:i w:val="0"/>
          <w:strike w:val="0"/>
          <w:noProof w:val="0"/>
          <w:color w:val="000000"/>
          <w:position w:val="0"/>
          <w:sz w:val="20"/>
          <w:u w:val="none"/>
          <w:vertAlign w:val="baseline"/>
        </w:rPr>
        <w:t>U.S.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This matter was referred to the undersigned for Report-Recommendation and Order pursuant to </w:t>
      </w:r>
      <w:hyperlink r:id="rId1" w:history="1">
        <w:r>
          <w:rPr>
            <w:rFonts w:ascii="arial" w:eastAsia="arial" w:hAnsi="arial" w:cs="arial"/>
            <w:b w:val="0"/>
            <w:i/>
            <w:strike w:val="0"/>
            <w:noProof w:val="0"/>
            <w:color w:val="0077CC"/>
            <w:position w:val="0"/>
            <w:sz w:val="18"/>
            <w:u w:val="single"/>
            <w:vertAlign w:val="baseline"/>
          </w:rPr>
          <w:t>28 U.S.C. § 636(b)</w:t>
        </w:r>
      </w:hyperlink>
      <w:r>
        <w:rPr>
          <w:rFonts w:ascii="arial" w:eastAsia="arial" w:hAnsi="arial" w:cs="arial"/>
          <w:b w:val="0"/>
          <w:i w:val="0"/>
          <w:strike w:val="0"/>
          <w:noProof w:val="0"/>
          <w:color w:val="000000"/>
          <w:position w:val="0"/>
          <w:sz w:val="18"/>
          <w:u w:val="none"/>
          <w:vertAlign w:val="baseline"/>
        </w:rPr>
        <w:t xml:space="preserve"> and N.D.N.Y.L.R. 72.3(c).</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Citations to filings on the docket are to the pagination generated by CM/ECF in the header of each page.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The undersigned relays only those facts from plaintiff's Amended Complaint that are relevant to defendant Brown's partial motion to dismiss.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 w:name="Bookmark_fnpara_4"/>
      <w:bookmarkEnd w:id="16"/>
      <w:r>
        <w:rPr>
          <w:rFonts w:ascii="arial" w:eastAsia="arial" w:hAnsi="arial" w:cs="arial"/>
          <w:b w:val="0"/>
          <w:i w:val="0"/>
          <w:strike w:val="0"/>
          <w:noProof w:val="0"/>
          <w:color w:val="000000"/>
          <w:position w:val="0"/>
          <w:sz w:val="18"/>
          <w:u w:val="none"/>
          <w:vertAlign w:val="baseline"/>
        </w:rPr>
        <w:t>All unpublished decisions cited in this Report-Recommendation and Order, unless otherwise noted, have been provided to plaintiff.</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6" w:name="Bookmark_fnpara_5"/>
      <w:bookmarkEnd w:id="66"/>
      <w:r>
        <w:rPr>
          <w:rFonts w:ascii="arial" w:eastAsia="arial" w:hAnsi="arial" w:cs="arial"/>
          <w:b w:val="0"/>
          <w:i w:val="0"/>
          <w:strike w:val="0"/>
          <w:noProof w:val="0"/>
          <w:color w:val="000000"/>
          <w:position w:val="0"/>
          <w:sz w:val="18"/>
          <w:u w:val="none"/>
          <w:vertAlign w:val="baseline"/>
        </w:rPr>
        <w:t xml:space="preserve">Defendant Brown's counsel declared that the unpublished cases cited in the motion to dismiss were provided to plaintiff.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26-2. Therefore, the undersigned has not provided a copy of those cases to plaintiff.</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5" w:name="Bookmark_fnpara_6"/>
      <w:bookmarkEnd w:id="85"/>
      <w:r>
        <w:rPr>
          <w:rFonts w:ascii="arial" w:eastAsia="arial" w:hAnsi="arial" w:cs="arial"/>
          <w:b w:val="0"/>
          <w:i w:val="0"/>
          <w:strike w:val="0"/>
          <w:noProof w:val="0"/>
          <w:color w:val="000000"/>
          <w:position w:val="0"/>
          <w:sz w:val="18"/>
          <w:u w:val="none"/>
          <w:vertAlign w:val="baseline"/>
        </w:rPr>
        <w:t xml:space="preserve">Defendant Brown did not discuss the </w:t>
      </w:r>
      <w:hyperlink r:id="rId2" w:history="1">
        <w:r>
          <w:rPr>
            <w:rFonts w:ascii="arial" w:eastAsia="arial" w:hAnsi="arial" w:cs="arial"/>
            <w:b w:val="0"/>
            <w:i/>
            <w:strike w:val="0"/>
            <w:noProof w:val="0"/>
            <w:color w:val="0077CC"/>
            <w:position w:val="0"/>
            <w:sz w:val="18"/>
            <w:u w:val="single"/>
            <w:vertAlign w:val="baseline"/>
          </w:rPr>
          <w:t>Ierardi</w:t>
        </w:r>
      </w:hyperlink>
      <w:r>
        <w:rPr>
          <w:rFonts w:ascii="arial" w:eastAsia="arial" w:hAnsi="arial" w:cs="arial"/>
          <w:b w:val="0"/>
          <w:i w:val="0"/>
          <w:strike w:val="0"/>
          <w:noProof w:val="0"/>
          <w:color w:val="000000"/>
          <w:position w:val="0"/>
          <w:sz w:val="18"/>
          <w:u w:val="none"/>
          <w:vertAlign w:val="baseline"/>
        </w:rPr>
        <w:t xml:space="preserve"> factors.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26-1 at 5-6.</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0" w:name="Bookmark_fnpara_7"/>
      <w:bookmarkEnd w:id="120"/>
      <w:r>
        <w:rPr>
          <w:rFonts w:ascii="arial" w:eastAsia="arial" w:hAnsi="arial" w:cs="arial"/>
          <w:b w:val="0"/>
          <w:i w:val="0"/>
          <w:strike w:val="0"/>
          <w:noProof w:val="0"/>
          <w:color w:val="000000"/>
          <w:position w:val="0"/>
          <w:sz w:val="18"/>
          <w:u w:val="none"/>
          <w:vertAlign w:val="baseline"/>
        </w:rPr>
        <w:t xml:space="preserve">If you are proceeding </w:t>
      </w:r>
      <w:r>
        <w:rPr>
          <w:rFonts w:ascii="arial" w:eastAsia="arial" w:hAnsi="arial" w:cs="arial"/>
          <w:b w:val="0"/>
          <w:i w:val="0"/>
          <w:strike w:val="0"/>
          <w:noProof w:val="0"/>
          <w:color w:val="000000"/>
          <w:position w:val="0"/>
          <w:sz w:val="18"/>
          <w:u w:val="single"/>
          <w:vertAlign w:val="baseline"/>
        </w:rPr>
        <w:t>pro se</w:t>
      </w:r>
      <w:r>
        <w:rPr>
          <w:rFonts w:ascii="arial" w:eastAsia="arial" w:hAnsi="arial" w:cs="arial"/>
          <w:b w:val="0"/>
          <w:i w:val="0"/>
          <w:strike w:val="0"/>
          <w:noProof w:val="0"/>
          <w:color w:val="000000"/>
          <w:position w:val="0"/>
          <w:sz w:val="18"/>
          <w:u w:val="none"/>
          <w:vertAlign w:val="baseline"/>
        </w:rPr>
        <w:t xml:space="preserve"> and are served with this Order by mail, three additional days will be added to the fourteen-day period, meaning that you have seventeen days from the date the Report-Recommendation &amp; Order was mailed to you to serve and file objections.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Fed. R. Civ. P. 6(d)</w:t>
        </w:r>
      </w:hyperlink>
      <w:r>
        <w:rPr>
          <w:rFonts w:ascii="arial" w:eastAsia="arial" w:hAnsi="arial" w:cs="arial"/>
          <w:b w:val="0"/>
          <w:i w:val="0"/>
          <w:strike w:val="0"/>
          <w:noProof w:val="0"/>
          <w:color w:val="000000"/>
          <w:position w:val="0"/>
          <w:sz w:val="18"/>
          <w:u w:val="none"/>
          <w:vertAlign w:val="baseline"/>
        </w:rPr>
        <w:t xml:space="preserve">. If the last day of that prescribed period falls on a Saturday, Sunday, or legal holiday, then the deadline is extended until the end of the next day that is not a Saturday, Sunday, or legal holiday.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 6(a)(1)(C)</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Balentine v. Anzalone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V8-HNR1-F27X-64KV-00000-00&amp;context=1519360" TargetMode="External" /><Relationship Id="rId11" Type="http://schemas.openxmlformats.org/officeDocument/2006/relationships/hyperlink" Target="https://advance.lexis.com/api/document?collection=cases&amp;id=urn:contentItem:65MN-FYM1-F016-S2MJ-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statutes-legislation&amp;id=urn:contentItem:5CT2-YM91-6RDJ-84B3-00000-00&amp;context=1519360" TargetMode="External" /><Relationship Id="rId15" Type="http://schemas.openxmlformats.org/officeDocument/2006/relationships/hyperlink" Target="https://advance.lexis.com/api/document?collection=cases&amp;id=urn:contentItem:63VR-4HF1-F57G-S0VJ-00000-00&amp;context=1519360" TargetMode="External" /><Relationship Id="rId16" Type="http://schemas.openxmlformats.org/officeDocument/2006/relationships/hyperlink" Target="https://advance.lexis.com/api/document?collection=cases&amp;id=urn:contentItem:6439-59S1-JGHR-M396-00000-00&amp;context=1519360" TargetMode="External" /><Relationship Id="rId17" Type="http://schemas.openxmlformats.org/officeDocument/2006/relationships/hyperlink" Target="https://advance.lexis.com/api/document?collection=cases&amp;id=urn:contentItem:5NX1-74X1-F04F-04YN-00000-00&amp;context=1519360" TargetMode="External" /><Relationship Id="rId18" Type="http://schemas.openxmlformats.org/officeDocument/2006/relationships/hyperlink" Target="https://advance.lexis.com/api/document?collection=cases&amp;id=urn:contentItem:5JRG-F1Y1-F04K-J19X-00000-00&amp;context=1519360" TargetMode="External" /><Relationship Id="rId19" Type="http://schemas.openxmlformats.org/officeDocument/2006/relationships/hyperlink" Target="https://advance.lexis.com/api/document?collection=cases&amp;id=urn:contentItem:5MKJ-C9J1-F04F-03C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40S-T3D1-JW09-M119-00000-00&amp;context=1519360" TargetMode="External" /><Relationship Id="rId21" Type="http://schemas.openxmlformats.org/officeDocument/2006/relationships/hyperlink" Target="https://advance.lexis.com/api/document?collection=cases&amp;id=urn:contentItem:6480-HC01-JTGH-B2GN-00000-00&amp;context=1519360" TargetMode="External" /><Relationship Id="rId22" Type="http://schemas.openxmlformats.org/officeDocument/2006/relationships/hyperlink" Target="https://advance.lexis.com/api/document?collection=cases&amp;id=urn:contentItem:41P0-NDW0-0038-X35D-00000-00&amp;context=1519360" TargetMode="External" /><Relationship Id="rId23" Type="http://schemas.openxmlformats.org/officeDocument/2006/relationships/hyperlink" Target="https://advance.lexis.com/api/document?collection=cases&amp;id=urn:contentItem:7Y2V-NV20-YB0V-D04S-00000-00&amp;context=1519360" TargetMode="External" /><Relationship Id="rId24" Type="http://schemas.openxmlformats.org/officeDocument/2006/relationships/hyperlink" Target="https://advance.lexis.com/api/document?collection=cases&amp;id=urn:contentItem:5X6B-9461-F016-S4K1-00000-00&amp;context=1519360" TargetMode="External" /><Relationship Id="rId25" Type="http://schemas.openxmlformats.org/officeDocument/2006/relationships/hyperlink" Target="https://advance.lexis.com/api/document?collection=cases&amp;id=urn:contentItem:5T99-BXP1-JB2B-S3GF-00000-00&amp;context=1519360" TargetMode="External" /><Relationship Id="rId26" Type="http://schemas.openxmlformats.org/officeDocument/2006/relationships/hyperlink" Target="https://advance.lexis.com/api/document?collection=cases&amp;id=urn:contentItem:63MC-9T21-JC0G-635J-00000-00&amp;context=1519360" TargetMode="External" /><Relationship Id="rId27" Type="http://schemas.openxmlformats.org/officeDocument/2006/relationships/hyperlink" Target="https://advance.lexis.com/api/document?collection=cases&amp;id=urn:contentItem:4W9Y-4KS0-TXFX-1325-00000-00&amp;context=1519360" TargetMode="External" /><Relationship Id="rId28" Type="http://schemas.openxmlformats.org/officeDocument/2006/relationships/hyperlink" Target="https://advance.lexis.com/api/document?collection=cases&amp;id=urn:contentItem:3S4X-7W30-003B-P3GP-00000-00&amp;context=1519360" TargetMode="External" /><Relationship Id="rId29" Type="http://schemas.openxmlformats.org/officeDocument/2006/relationships/hyperlink" Target="https://advance.lexis.com/api/document?collection=cases&amp;id=urn:contentItem:4WR2-9J90-TXFX-42S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6FH-3BX1-JPGX-S2W3-00000-00&amp;context=1519360" TargetMode="External" /><Relationship Id="rId31" Type="http://schemas.openxmlformats.org/officeDocument/2006/relationships/hyperlink" Target="https://advance.lexis.com/api/document?collection=cases&amp;id=urn:contentItem:5YD6-C121-F57G-S1V2-00000-00&amp;context=1519360" TargetMode="External" /><Relationship Id="rId32" Type="http://schemas.openxmlformats.org/officeDocument/2006/relationships/hyperlink" Target="https://advance.lexis.com/api/document?collection=cases&amp;id=urn:contentItem:5YJD-P571-JXG3-X00C-00000-00&amp;context=1519360" TargetMode="External" /><Relationship Id="rId33" Type="http://schemas.openxmlformats.org/officeDocument/2006/relationships/hyperlink" Target="https://advance.lexis.com/api/document?collection=cases&amp;id=urn:contentItem:62PT-BVH1-FBFS-S1G8-00000-00&amp;context=1519360" TargetMode="External" /><Relationship Id="rId34" Type="http://schemas.openxmlformats.org/officeDocument/2006/relationships/hyperlink" Target="https://advance.lexis.com/api/document?collection=cases&amp;id=urn:contentItem:3S3K-0HK0-003D-G4B1-00000-00&amp;context=1519360" TargetMode="External" /><Relationship Id="rId35" Type="http://schemas.openxmlformats.org/officeDocument/2006/relationships/hyperlink" Target="https://advance.lexis.com/api/document?collection=cases&amp;id=urn:contentItem:603W-92B1-JJSF-22PH-00000-00&amp;context=1519360" TargetMode="External" /><Relationship Id="rId36" Type="http://schemas.openxmlformats.org/officeDocument/2006/relationships/hyperlink" Target="https://advance.lexis.com/api/document?collection=cases&amp;id=urn:contentItem:4PGR-TY10-TXFR-J2SX-00000-00&amp;context=1519360" TargetMode="External" /><Relationship Id="rId37" Type="http://schemas.openxmlformats.org/officeDocument/2006/relationships/hyperlink" Target="https://advance.lexis.com/api/document?collection=cases&amp;id=urn:contentItem:5K28-67F1-F04F-02WP-00000-00&amp;context=1519360" TargetMode="External" /><Relationship Id="rId38" Type="http://schemas.openxmlformats.org/officeDocument/2006/relationships/hyperlink" Target="https://advance.lexis.com/api/document?collection=cases&amp;id=urn:contentItem:3RJG-J390-00B1-D0TP-00000-00&amp;context=1519360" TargetMode="External" /><Relationship Id="rId39" Type="http://schemas.openxmlformats.org/officeDocument/2006/relationships/hyperlink" Target="https://advance.lexis.com/api/document?collection=cases&amp;id=urn:contentItem:5RKG-G1C1-JX3N-B0G1-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RTB-56P1-F7G6-620Y-00000-00&amp;context=1519360" TargetMode="External" /><Relationship Id="rId41" Type="http://schemas.openxmlformats.org/officeDocument/2006/relationships/hyperlink" Target="https://advance.lexis.com/api/document?collection=cases&amp;id=urn:contentItem:60YR-2FB1-F4NT-X00C-00000-00&amp;context=1519360" TargetMode="External" /><Relationship Id="rId42" Type="http://schemas.openxmlformats.org/officeDocument/2006/relationships/hyperlink" Target="https://advance.lexis.com/api/document?collection=cases&amp;id=urn:contentItem:6174-5W61-FC1F-M413-00000-00&amp;context=1519360" TargetMode="External" /><Relationship Id="rId43" Type="http://schemas.openxmlformats.org/officeDocument/2006/relationships/hyperlink" Target="https://advance.lexis.com/api/document?collection=cases&amp;id=urn:contentItem:5V50-PSK1-JKPJ-G0N4-00000-00&amp;context=1519360" TargetMode="External" /><Relationship Id="rId44" Type="http://schemas.openxmlformats.org/officeDocument/2006/relationships/hyperlink" Target="https://advance.lexis.com/api/document?collection=cases&amp;id=urn:contentItem:62S2-XV01-JFKM-62WX-00000-00&amp;context=1519360" TargetMode="External" /><Relationship Id="rId45" Type="http://schemas.openxmlformats.org/officeDocument/2006/relationships/hyperlink" Target="https://advance.lexis.com/api/document?collection=cases&amp;id=urn:contentItem:5H54-RC41-F04F-001Y-00000-00&amp;context=1519360" TargetMode="External" /><Relationship Id="rId46" Type="http://schemas.openxmlformats.org/officeDocument/2006/relationships/hyperlink" Target="https://advance.lexis.com/api/document?collection=cases&amp;id=urn:contentItem:5TC5-T711-FJM6-61WH-00000-00&amp;context=1519360" TargetMode="External" /><Relationship Id="rId47" Type="http://schemas.openxmlformats.org/officeDocument/2006/relationships/hyperlink" Target="https://advance.lexis.com/api/document?collection=cases&amp;id=urn:contentItem:56P4-Y431-F04F-03BF-00000-00&amp;context=1519360" TargetMode="External" /><Relationship Id="rId48" Type="http://schemas.openxmlformats.org/officeDocument/2006/relationships/hyperlink" Target="https://advance.lexis.com/api/document?collection=cases&amp;id=urn:contentItem:67T5-85H1-F06F-23MG-00000-00&amp;context=1519360" TargetMode="External" /><Relationship Id="rId49" Type="http://schemas.openxmlformats.org/officeDocument/2006/relationships/hyperlink" Target="https://advance.lexis.com/api/document?collection=cases&amp;id=urn:contentItem:5YYM-8NT1-F016-S4R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V5N-2K21-F873-B2GT-00000-00&amp;context=1519360" TargetMode="External" /><Relationship Id="rId51" Type="http://schemas.openxmlformats.org/officeDocument/2006/relationships/hyperlink" Target="https://advance.lexis.com/api/document?collection=cases&amp;id=urn:contentItem:65TY-D3Y1-F956-S38X-00000-00&amp;context=1519360" TargetMode="External" /><Relationship Id="rId52" Type="http://schemas.openxmlformats.org/officeDocument/2006/relationships/hyperlink" Target="https://advance.lexis.com/api/document?collection=cases&amp;id=urn:contentItem:684R-SGX1-JX8W-M0K0-00000-00&amp;context=1519360" TargetMode="External" /><Relationship Id="rId53" Type="http://schemas.openxmlformats.org/officeDocument/2006/relationships/hyperlink" Target="https://advance.lexis.com/api/document?collection=cases&amp;id=urn:contentItem:6544-ST91-JKHB-62GB-00000-00&amp;context=1519360" TargetMode="External" /><Relationship Id="rId54" Type="http://schemas.openxmlformats.org/officeDocument/2006/relationships/hyperlink" Target="https://advance.lexis.com/api/document?collection=cases&amp;id=urn:contentItem:46VV-K8M0-0038-Y3R1-00000-00&amp;context=1519360" TargetMode="External" /><Relationship Id="rId55" Type="http://schemas.openxmlformats.org/officeDocument/2006/relationships/hyperlink" Target="https://advance.lexis.com/api/document?collection=cases&amp;id=urn:contentItem:5SKP-53M1-FBFS-S17R-00000-00&amp;context=1519360" TargetMode="External" /><Relationship Id="rId56" Type="http://schemas.openxmlformats.org/officeDocument/2006/relationships/hyperlink" Target="https://advance.lexis.com/api/document?collection=cases&amp;id=urn:contentItem:5SN6-R6F1-JJ1H-X40G-00000-00&amp;context=1519360" TargetMode="External" /><Relationship Id="rId57" Type="http://schemas.openxmlformats.org/officeDocument/2006/relationships/hyperlink" Target="https://advance.lexis.com/api/document?collection=cases&amp;id=urn:contentItem:5SMB-2N01-JX8W-M4CC-00000-00&amp;context=1519360" TargetMode="External" /><Relationship Id="rId58" Type="http://schemas.openxmlformats.org/officeDocument/2006/relationships/hyperlink" Target="https://advance.lexis.com/api/document?collection=cases&amp;id=urn:contentItem:5VB4-GHH1-JWR6-S1TH-00000-00&amp;context=1519360" TargetMode="External" /><Relationship Id="rId59" Type="http://schemas.openxmlformats.org/officeDocument/2006/relationships/hyperlink" Target="https://advance.lexis.com/api/document?collection=cases&amp;id=urn:contentItem:5TK0-DM51-FC1F-M31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0S0-5911-FJTD-G20G-00000-00&amp;context=1519360" TargetMode="External" /><Relationship Id="rId61" Type="http://schemas.openxmlformats.org/officeDocument/2006/relationships/hyperlink" Target="https://advance.lexis.com/api/document?collection=cases&amp;id=urn:contentItem:5FF0-6CP1-F04F-01NX-00000-00&amp;context=1519360" TargetMode="External" /><Relationship Id="rId62" Type="http://schemas.openxmlformats.org/officeDocument/2006/relationships/hyperlink" Target="https://advance.lexis.com/api/document?collection=cases&amp;id=urn:contentItem:5TNF-W6J1-FCSB-S06M-00000-00&amp;context=1519360" TargetMode="External" /><Relationship Id="rId63" Type="http://schemas.openxmlformats.org/officeDocument/2006/relationships/hyperlink" Target="https://advance.lexis.com/api/document?collection=cases&amp;id=urn:contentItem:51PY-P9Y1-652J-D001-00000-00&amp;context=1519360" TargetMode="External" /><Relationship Id="rId64" Type="http://schemas.openxmlformats.org/officeDocument/2006/relationships/hyperlink" Target="https://advance.lexis.com/api/document?collection=cases&amp;id=urn:contentItem:478K-2DW0-0039-43Y7-00000-00&amp;context=1519360" TargetMode="External" /><Relationship Id="rId65" Type="http://schemas.openxmlformats.org/officeDocument/2006/relationships/hyperlink" Target="https://advance.lexis.com/api/document?collection=cases&amp;id=urn:contentItem:4MX0-JYR0-0039-41BY-00000-00&amp;context=1519360" TargetMode="External" /><Relationship Id="rId66" Type="http://schemas.openxmlformats.org/officeDocument/2006/relationships/hyperlink" Target="https://advance.lexis.com/api/document?collection=cases&amp;id=urn:contentItem:4PXG-11N0-TXFR-J2PB-00000-00&amp;context=1519360" TargetMode="External" /><Relationship Id="rId67" Type="http://schemas.openxmlformats.org/officeDocument/2006/relationships/hyperlink" Target="https://advance.lexis.com/api/document?collection=cases&amp;id=urn:contentItem:5DVR-G171-F04K-J0Y1-00000-00&amp;context=1519360" TargetMode="External" /><Relationship Id="rId68" Type="http://schemas.openxmlformats.org/officeDocument/2006/relationships/hyperlink" Target="https://advance.lexis.com/api/document?collection=cases&amp;id=urn:contentItem:4TK9-S8S0-TXFR-J2YY-00000-00&amp;context=1519360" TargetMode="External" /><Relationship Id="rId69" Type="http://schemas.openxmlformats.org/officeDocument/2006/relationships/hyperlink" Target="https://advance.lexis.com/api/document?collection=statutes-legislation&amp;id=urn:contentItem:8SG9-5HW2-D6RV-H0B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J180-003B-P0D7-00000-00&amp;context=1519360" TargetMode="External" /><Relationship Id="rId71" Type="http://schemas.openxmlformats.org/officeDocument/2006/relationships/hyperlink" Target="https://advance.lexis.com/api/document?collection=cases&amp;id=urn:contentItem:3S4X-8TC0-003B-53Y0-00000-00&amp;context=1519360" TargetMode="External" /><Relationship Id="rId72" Type="http://schemas.openxmlformats.org/officeDocument/2006/relationships/hyperlink" Target="https://advance.lexis.com/api/document?collection=statutes-legislation&amp;id=urn:contentItem:69J2-Y0B3-RT0R-B2NX-00000-00&amp;context=1519360"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P4-JM11-JJ6S-600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 Id="rId2" Type="http://schemas.openxmlformats.org/officeDocument/2006/relationships/hyperlink" Target="https://advance.lexis.com/api/document?collection=cases&amp;id=urn:contentItem:3RJG-J390-00B1-D0TP-00000-00&amp;context=1519360" TargetMode="External" /><Relationship Id="rId3" Type="http://schemas.openxmlformats.org/officeDocument/2006/relationships/hyperlink" Target="https://advance.lexis.com/api/document?collection=statutes-legislation&amp;id=urn:contentItem:69J2-Y0B3-RT0R-B2N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Balentine v. Anzalone, 2023 U.S. Dist. LEXIS 119832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Doc::urn:hlct:5|contextualFeaturePermID::1519360</vt:lpwstr>
  </property>
  <property fmtid="{D5CDD505-2E9C-101B-9397-08002B2CF9AE}" pid="5" name="UserPermID">
    <vt:lpwstr>urn:user:PA186186280</vt:lpwstr>
  </property>
</Properties>
</file>