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Crowell v. Obion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Tennessee,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Decided; September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1:23-cv-01071-STA-jay</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195677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HAILEY CROWELL, Plaintiff, v. OBION COUNTY, TENNESSEE; SHERIFF KARL JACKSON, individually; and TERRELL CLINIC, LLC,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clinic, jail, Sheriff, friendship, allegations, intimate association, motion to dismiss, detainee, rational basis review, constitutional right, reasons, fails, retaliated, detention, rational basis, alleged facts, county jail, contractor, discovery, personnel, responded, married, survive, negate, color</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Obion County, Tennessee, Karl Jackson, Defendants: Nathan Daniel Tilly, LEAD ATTORNEY, Haynes T. Russell, PENTECOST, GLENN &amp; MAULDIN, PLLC, Jackson, TN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 THOMAS ANDERSON,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 THOMAS ANDERSON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DEFENDANTS' MOTIONS TO DISMISS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Obion County, Tennessee contracted with the Terrell Clinic, LLC to provide medical services to inmates at the county jail. The clinic employed Plaintiff Hailey Crowell as a nurse at the jail. When Obion County Sheriff Karl Jackson learned that Crowell was friends with a man formerly detained at the jail, Sheriff Jackson allegedly demanded that the clinic reassign Crowell. The clinic, however, had no position for Crowell other than her job at the jail. Faced with the choice between her job and her friendship, Crowell chose to resign. Crowell now alleges that Obion County, Sheriff Jackson, and the Terrell Clinic retaliated against her for exercising her constitutional right to freedom of association.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Before the Court are Defendant Terrell Clinic, LLC's Motion to Dismiss (ECF No. 14) and Defendants Obion County and Sheriff Jackson's Motion to Dismiss (ECF No. 16). Plaintiff has responded separately in opposition to each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Motion, and Defendants have filed reply briefs. For the reasons set forth below, the Terrell Clinic's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Obion County and Sheriff Jackson's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For purposes of deciding Defendants' Motions to Dismiss, the Court accepts the following well-pleaded facts as true. The Terrell Clinic had a contract to provide medical services to inmates at the Obion County Jail. Compl. ¶ 10 (ECF No. 1). Hailey Crowell is a licensed practical nurse who was employed by the Terrell Clinic and assigned to work at the Obion County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12.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Joshua Hunter Bargery was a pretrial detainee at the jail, though the Complaint does not allege the exact dates of his confinement.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According to the Complaint, a jury had convicted Bargery of first-degree murder in 2011, and the conviction was overturned on appeal due to prosecutorial misconduct in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 Bargery was confined at the jail at some point while he waited for his new trial and was released from pretrial detention in May 2022.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 20.</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Crowell and Bargery had known of each other for many years through family and mutual friends.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During Bargery's pretrial detention, Crowell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decided to avoid interacting with Bargery in the course of performing her duties as a nurse at the jail, all in an effort to maintain a professional boundary.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 At some point after Bargery's release from pretrial detention in May 2022, Crowell had a social encounter with Bargery at a family gathering.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 Following this encounter, Crowell voluntarily disclosed that she knew Bargery "well" to Renee Terrell, the owner of the Terrell Clinic, and Kent Treece, the head of corrections at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 Because Bargery was presumed innocent of the charge and was still awaiting a second trial, Terrell and Treece assured Crowell her friendship with Bargery posed no conflict with her work as a nurse at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22-24. Bargery stood for trial on the murder charge for a second time in September 2022 and was acquitted of the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25.</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On September 12, 2022, Crowell returned to work after a vacation.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27. Upon her return to work, Crowell was summoned to a meeting with Defendant Sheriff Karl Jackson.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28. Sheriff Jackson questioned Crowell about the nature of her relationship with Bargery, inquiring whether Crowell was dating Bargery or cohabitating with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 31. Crowell denied that she was in a relationship with Bargery and responded that they attended the same church.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 Sheriff Jackson told Crowell that she could not have a friendship with Bargery and continue to work at the jail.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33-35. At the conclusion of the meeting, Sheriff Jackson directed Crowell to go home for the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36. Later that day, Renee Terrell called Crowell and informed her that Crowell would not be allowed to return to work until she signed an agreement not to continue her friendship with Bargery.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 Terrell also told Crowell that unless she signed the agreement, she could not continue her position at the jail and that the Terrell Clinic did not have an alternative position to offer her, meaning Crowell would have to resign her job.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40. Crowell had no choice other than to resign.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From these premises, Crowell alleges that the Obion County, Sheriff Jackson, and the Terrell Clinic abridged her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intimate association by retaliating against her, a violation of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Plaintiff seeks economic and compensatory damages, an award of attorney's fees, and pre- and post-judgment interest. In its Motion to Dismiss,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Terrell Clinic argues that the Complaint fails to state a plausible claim for relief. As the clinic sees it, Plaintiff has failed to allege that the clinic was acting under color of law, one of the essential elements of Plaintiff's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The Terrell Clinic was a government contractor and performed a state function by providing medical care at the Obion County Jail. However, the clinic was not a state actor in its employment relationship with Crowell. Even if the Court concludes the clinic did act under color of law, Crowell has not alleged how the clinic retaliated against her for exercising her constitutional rights. The Complaint alleges no violation of Crowell's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engage in expressive conduct. To the extent Crowell alleges her termination violated her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intimate association, rational basis review should apply, and under that standard of review, Crowell has not alleged facts to show how the clinic violated her rights. The clinic argues that any number of rational policy concerns would justify its decision to prohibit Crowell from continuing to work at the jail, including the clinic's interests in protecting its relationship with the County or to address concerns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about possible security issues at the jail. For each of these reasons, the clinic requests the dismissal of Plaintiff's case.</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 xml:space="preserve">In their separate Motion to Dismiss, Obion County and Sheriff Jackson argue that the Complaint fails to state a plausible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The County and the Sheriff make a largely similar argument concerning Crowell's failure to allege a violation of her right to intimate association. Defendants contend that the right to intimate association does not extend to friendships like Crowell's friendship with Bargery. Because the interference concerns Crowell's relationship with just a single person (as opposed to a broader category or class of people), the alleged interference with her relationship needs only to survive rational basis review. According to Defendants, Crowell's relationship with a former inmate at the jail poses a security risk, specifically the risk that Bargery could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to his associates in the jail through Crowell. The Complaint therefore fails to allege that Crowell engaged in protected activity. Defendants go on to argue that Sheriff Jackson's request to the clinic to transfer Crowell from her position at the jail does not rise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the level of an adverse action, that the Complaint does not contain any plausible allegations to establish the County's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liability, and that Sheriff Jackson is entitled to qualified immunity.</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 xml:space="preserve">Plaintiff has responded in opposition to each Motion to Dismiss. In response to both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Motions, Plaintiff concedes that her intimate association claim is subject to rational basis review but argues Defendants' conduct does not meet that standard. In taking their personnel action against Crowell, Defendants cited no penological justification for barring Crowell from working at the jail or associating with a former detainee acquitted of the charges against him, just the bad optics of jail personnel socializing with a detainee. As for Sheriff Jackson's qualified immunity, Plaintiff responds that her constitutional right to intimate association was clearly established. Therefore, the Court should deny the Motions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 OF REVIEW</w:t>
      </w:r>
    </w:p>
    <w:p>
      <w:pPr>
        <w:keepNext w:val="0"/>
        <w:spacing w:before="24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 xml:space="preserve">A defendant may move to dismiss a claim "for failure to state a claim upon which relief can be granted"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bookmarkStart w:id="17" w:name="Bookmark_I69JW4NP28T4V50020000400"/>
      <w:bookmarkEnd w:id="17"/>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w:t>
      </w:r>
      <w:bookmarkStart w:id="18" w:name="Bookmark_I69JW4NR2SF8HJ0010000400"/>
      <w:bookmarkEnd w:id="18"/>
      <w:r>
        <w:rPr>
          <w:rFonts w:ascii="arial" w:eastAsia="arial" w:hAnsi="arial" w:cs="arial"/>
          <w:b w:val="0"/>
          <w:i w:val="0"/>
          <w:strike w:val="0"/>
          <w:noProof w:val="0"/>
          <w:color w:val="000000"/>
          <w:position w:val="0"/>
          <w:sz w:val="20"/>
          <w:u w:val="none"/>
          <w:vertAlign w:val="baseline"/>
        </w:rPr>
        <w:t xml:space="preserve">When considering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the Court must treat all of the well—pleaded allegations of the pleadings as true and construe all of the allegations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the light most favorable to the non—moving party. </w:t>
      </w:r>
      <w:bookmarkStart w:id="19" w:name="Bookmark_I69JW4NP28T4V50010000400"/>
      <w:bookmarkEnd w:id="19"/>
      <w:hyperlink r:id="rId13" w:history="1">
        <w:r>
          <w:rPr>
            <w:rFonts w:ascii="arial" w:eastAsia="arial" w:hAnsi="arial" w:cs="arial"/>
            <w:b w:val="0"/>
            <w:i/>
            <w:strike w:val="0"/>
            <w:noProof w:val="0"/>
            <w:color w:val="0077CC"/>
            <w:position w:val="0"/>
            <w:sz w:val="20"/>
            <w:u w:val="single"/>
            <w:vertAlign w:val="baseline"/>
          </w:rPr>
          <w:t>Elec. Merchant Sys. LLC v. Gaal</w:t>
        </w:r>
      </w:hyperlink>
      <w:hyperlink r:id="rId13" w:history="1">
        <w:r>
          <w:rPr>
            <w:rFonts w:ascii="arial" w:eastAsia="arial" w:hAnsi="arial" w:cs="arial"/>
            <w:b w:val="0"/>
            <w:i/>
            <w:strike w:val="0"/>
            <w:noProof w:val="0"/>
            <w:color w:val="0077CC"/>
            <w:position w:val="0"/>
            <w:sz w:val="20"/>
            <w:u w:val="single"/>
            <w:vertAlign w:val="baseline"/>
          </w:rPr>
          <w:t>, 58 F.4th 877, 882 (6th Cir. 2023)</w:t>
        </w:r>
      </w:hyperlink>
      <w:r>
        <w:rPr>
          <w:rFonts w:ascii="arial" w:eastAsia="arial" w:hAnsi="arial" w:cs="arial"/>
          <w:b w:val="0"/>
          <w:i w:val="0"/>
          <w:strike w:val="0"/>
          <w:noProof w:val="0"/>
          <w:color w:val="000000"/>
          <w:position w:val="0"/>
          <w:sz w:val="20"/>
          <w:u w:val="none"/>
          <w:vertAlign w:val="baseline"/>
        </w:rPr>
        <w:t xml:space="preserve"> (citing </w:t>
      </w:r>
      <w:bookmarkStart w:id="20" w:name="Bookmark_I69JW4NP28T4V50030000400"/>
      <w:bookmarkEnd w:id="20"/>
      <w:hyperlink r:id="rId14" w:history="1">
        <w:r>
          <w:rPr>
            <w:rFonts w:ascii="arial" w:eastAsia="arial" w:hAnsi="arial" w:cs="arial"/>
            <w:b w:val="0"/>
            <w:i/>
            <w:strike w:val="0"/>
            <w:noProof w:val="0"/>
            <w:color w:val="0077CC"/>
            <w:position w:val="0"/>
            <w:sz w:val="20"/>
            <w:u w:val="single"/>
            <w:vertAlign w:val="baseline"/>
          </w:rPr>
          <w:t>Taylor v. City of Saginaw</w:t>
        </w:r>
      </w:hyperlink>
      <w:hyperlink r:id="rId14" w:history="1">
        <w:r>
          <w:rPr>
            <w:rFonts w:ascii="arial" w:eastAsia="arial" w:hAnsi="arial" w:cs="arial"/>
            <w:b w:val="0"/>
            <w:i/>
            <w:strike w:val="0"/>
            <w:noProof w:val="0"/>
            <w:color w:val="0077CC"/>
            <w:position w:val="0"/>
            <w:sz w:val="20"/>
            <w:u w:val="single"/>
            <w:vertAlign w:val="baseline"/>
          </w:rPr>
          <w:t>, 922 F.3d 328, 331 (6th Cir. 2019)</w:t>
        </w:r>
      </w:hyperlink>
      <w:r>
        <w:rPr>
          <w:rFonts w:ascii="arial" w:eastAsia="arial" w:hAnsi="arial" w:cs="arial"/>
          <w:b w:val="0"/>
          <w:i w:val="0"/>
          <w:strike w:val="0"/>
          <w:noProof w:val="0"/>
          <w:color w:val="000000"/>
          <w:position w:val="0"/>
          <w:sz w:val="20"/>
          <w:u w:val="none"/>
          <w:vertAlign w:val="baseline"/>
        </w:rPr>
        <w:t xml:space="preserve">). </w:t>
      </w:r>
      <w:bookmarkStart w:id="21" w:name="Bookmark_I69JW4NR2SF8HJ0010000400_2"/>
      <w:bookmarkEnd w:id="21"/>
      <w:r>
        <w:rPr>
          <w:rFonts w:ascii="arial" w:eastAsia="arial" w:hAnsi="arial" w:cs="arial"/>
          <w:b w:val="0"/>
          <w:i w:val="0"/>
          <w:strike w:val="0"/>
          <w:noProof w:val="0"/>
          <w:color w:val="000000"/>
          <w:position w:val="0"/>
          <w:sz w:val="20"/>
          <w:u w:val="none"/>
          <w:vertAlign w:val="baseline"/>
        </w:rPr>
        <w:t xml:space="preserve">However, legal conclusions or unwarranted factual inferences need not be accepted as true. </w:t>
      </w:r>
      <w:bookmarkStart w:id="22" w:name="Bookmark_I69JW4NP28T4V50050000400"/>
      <w:bookmarkEnd w:id="22"/>
      <w:hyperlink r:id="rId15" w:history="1">
        <w:r>
          <w:rPr>
            <w:rFonts w:ascii="arial" w:eastAsia="arial" w:hAnsi="arial" w:cs="arial"/>
            <w:b w:val="0"/>
            <w:i/>
            <w:strike w:val="0"/>
            <w:noProof w:val="0"/>
            <w:color w:val="0077CC"/>
            <w:position w:val="0"/>
            <w:sz w:val="20"/>
            <w:u w:val="single"/>
            <w:vertAlign w:val="baseline"/>
          </w:rPr>
          <w:t>Fisher v. Perron</w:t>
        </w:r>
      </w:hyperlink>
      <w:hyperlink r:id="rId15" w:history="1">
        <w:r>
          <w:rPr>
            <w:rFonts w:ascii="arial" w:eastAsia="arial" w:hAnsi="arial" w:cs="arial"/>
            <w:b w:val="0"/>
            <w:i/>
            <w:strike w:val="0"/>
            <w:noProof w:val="0"/>
            <w:color w:val="0077CC"/>
            <w:position w:val="0"/>
            <w:sz w:val="20"/>
            <w:u w:val="single"/>
            <w:vertAlign w:val="baseline"/>
          </w:rPr>
          <w:t>, 30 F.4th 289, 294 (6th Cir. 2022)</w:t>
        </w:r>
      </w:hyperlink>
      <w:r>
        <w:rPr>
          <w:rFonts w:ascii="arial" w:eastAsia="arial" w:hAnsi="arial" w:cs="arial"/>
          <w:b w:val="0"/>
          <w:i w:val="0"/>
          <w:strike w:val="0"/>
          <w:noProof w:val="0"/>
          <w:color w:val="000000"/>
          <w:position w:val="0"/>
          <w:sz w:val="20"/>
          <w:u w:val="none"/>
          <w:vertAlign w:val="baseline"/>
        </w:rPr>
        <w:t xml:space="preserve"> (citing </w:t>
      </w:r>
      <w:bookmarkStart w:id="23" w:name="Bookmark_I69JW4NR2SF8HJ0020000400"/>
      <w:bookmarkEnd w:id="23"/>
      <w:hyperlink r:id="rId16" w:history="1">
        <w:r>
          <w:rPr>
            <w:rFonts w:ascii="arial" w:eastAsia="arial" w:hAnsi="arial" w:cs="arial"/>
            <w:b w:val="0"/>
            <w:i/>
            <w:strike w:val="0"/>
            <w:noProof w:val="0"/>
            <w:color w:val="0077CC"/>
            <w:position w:val="0"/>
            <w:sz w:val="20"/>
            <w:u w:val="single"/>
            <w:vertAlign w:val="baseline"/>
          </w:rPr>
          <w:t>Ashcroft v. Iqbal</w:t>
        </w:r>
      </w:hyperlink>
      <w:hyperlink r:id="rId16" w:history="1">
        <w:r>
          <w:rPr>
            <w:rFonts w:ascii="arial" w:eastAsia="arial" w:hAnsi="arial" w:cs="arial"/>
            <w:b w:val="0"/>
            <w:i/>
            <w:strike w:val="0"/>
            <w:noProof w:val="0"/>
            <w:color w:val="0077CC"/>
            <w:position w:val="0"/>
            <w:sz w:val="20"/>
            <w:u w:val="single"/>
            <w:vertAlign w:val="baseline"/>
          </w:rPr>
          <w:t>, 556 U.S. 662, 678, 129 S.Ct. 1937, 173 L.Ed.2d 868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0"/>
      <w:bookmarkEnd w:id="24"/>
      <w:bookmarkStart w:id="25" w:name="Bookmark_I69JW4NR2SF8HJ0050000400"/>
      <w:bookmarkEnd w:id="25"/>
      <w:bookmarkStart w:id="26" w:name="Bookmark_I69JW4NS2N1PXR0020000400"/>
      <w:bookmarkEnd w:id="26"/>
      <w:r>
        <w:rPr>
          <w:rFonts w:ascii="arial" w:eastAsia="arial" w:hAnsi="arial" w:cs="arial"/>
          <w:b w:val="0"/>
          <w:i w:val="0"/>
          <w:strike w:val="0"/>
          <w:noProof w:val="0"/>
          <w:color w:val="000000"/>
          <w:position w:val="0"/>
          <w:sz w:val="20"/>
          <w:u w:val="none"/>
          <w:vertAlign w:val="baseline"/>
        </w:rPr>
        <w:t xml:space="preserve">Under </w:t>
      </w:r>
      <w:hyperlink r:id="rId17" w:history="1">
        <w:r>
          <w:rPr>
            <w:rFonts w:ascii="arial" w:eastAsia="arial" w:hAnsi="arial" w:cs="arial"/>
            <w:b w:val="0"/>
            <w:i/>
            <w:strike w:val="0"/>
            <w:noProof w:val="0"/>
            <w:color w:val="0077CC"/>
            <w:position w:val="0"/>
            <w:sz w:val="20"/>
            <w:u w:val="single"/>
            <w:vertAlign w:val="baseline"/>
          </w:rPr>
          <w:t>Rule 8 of the Federal Rules of Civil Procedure</w:t>
        </w:r>
      </w:hyperlink>
      <w:r>
        <w:rPr>
          <w:rFonts w:ascii="arial" w:eastAsia="arial" w:hAnsi="arial" w:cs="arial"/>
          <w:b w:val="0"/>
          <w:i w:val="0"/>
          <w:strike w:val="0"/>
          <w:noProof w:val="0"/>
          <w:color w:val="000000"/>
          <w:position w:val="0"/>
          <w:sz w:val="20"/>
          <w:u w:val="none"/>
          <w:vertAlign w:val="baseline"/>
        </w:rPr>
        <w:t xml:space="preserve">, a complaint need only contain "(1) a short and plain jurisdictional statement, (2) a short and plain statement of the claim, and (3) an explanation of the relief sought." </w:t>
      </w:r>
      <w:hyperlink r:id="rId17" w:history="1">
        <w:r>
          <w:rPr>
            <w:rFonts w:ascii="arial" w:eastAsia="arial" w:hAnsi="arial" w:cs="arial"/>
            <w:b w:val="0"/>
            <w:i/>
            <w:strike w:val="0"/>
            <w:noProof w:val="0"/>
            <w:color w:val="0077CC"/>
            <w:position w:val="0"/>
            <w:sz w:val="20"/>
            <w:u w:val="single"/>
            <w:vertAlign w:val="baseline"/>
          </w:rPr>
          <w:t>Fed. R. Civ. P. 8(a)</w:t>
        </w:r>
      </w:hyperlink>
      <w:r>
        <w:rPr>
          <w:rFonts w:ascii="arial" w:eastAsia="arial" w:hAnsi="arial" w:cs="arial"/>
          <w:b w:val="0"/>
          <w:i w:val="0"/>
          <w:strike w:val="0"/>
          <w:noProof w:val="0"/>
          <w:color w:val="000000"/>
          <w:position w:val="0"/>
          <w:sz w:val="20"/>
          <w:u w:val="none"/>
          <w:vertAlign w:val="baseline"/>
        </w:rPr>
        <w:t xml:space="preserve">. </w:t>
      </w:r>
      <w:bookmarkStart w:id="27" w:name="Bookmark_I69JW4NS2N1PXR0040000400"/>
      <w:bookmarkEnd w:id="27"/>
      <w:r>
        <w:rPr>
          <w:rFonts w:ascii="arial" w:eastAsia="arial" w:hAnsi="arial" w:cs="arial"/>
          <w:b w:val="0"/>
          <w:i w:val="0"/>
          <w:strike w:val="0"/>
          <w:noProof w:val="0"/>
          <w:color w:val="000000"/>
          <w:position w:val="0"/>
          <w:sz w:val="20"/>
          <w:u w:val="none"/>
          <w:vertAlign w:val="baseline"/>
        </w:rPr>
        <w:t xml:space="preserve">"That's it. By listing these elements, </w:t>
      </w:r>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implicitly 'excludes other requirements that must be satisfied for a complaint to state a claim for relief.'" </w:t>
      </w:r>
      <w:bookmarkStart w:id="28" w:name="Bookmark_I69JW4NR2SF8HJ0040000400"/>
      <w:bookmarkEnd w:id="28"/>
      <w:hyperlink r:id="rId18" w:history="1">
        <w:r>
          <w:rPr>
            <w:rFonts w:ascii="arial" w:eastAsia="arial" w:hAnsi="arial" w:cs="arial"/>
            <w:b w:val="0"/>
            <w:i/>
            <w:strike w:val="0"/>
            <w:noProof w:val="0"/>
            <w:color w:val="0077CC"/>
            <w:position w:val="0"/>
            <w:sz w:val="20"/>
            <w:u w:val="single"/>
            <w:vertAlign w:val="baseline"/>
          </w:rPr>
          <w:t>Gallivan v. United States</w:t>
        </w:r>
      </w:hyperlink>
      <w:hyperlink r:id="rId18" w:history="1">
        <w:r>
          <w:rPr>
            <w:rFonts w:ascii="arial" w:eastAsia="arial" w:hAnsi="arial" w:cs="arial"/>
            <w:b w:val="0"/>
            <w:i/>
            <w:strike w:val="0"/>
            <w:noProof w:val="0"/>
            <w:color w:val="0077CC"/>
            <w:position w:val="0"/>
            <w:sz w:val="20"/>
            <w:u w:val="single"/>
            <w:vertAlign w:val="baseline"/>
          </w:rPr>
          <w:t>, 943 F.3d 291, 293 (6th Cir. 2019)</w:t>
        </w:r>
      </w:hyperlink>
      <w:r>
        <w:rPr>
          <w:rFonts w:ascii="arial" w:eastAsia="arial" w:hAnsi="arial" w:cs="arial"/>
          <w:b w:val="0"/>
          <w:i w:val="0"/>
          <w:strike w:val="0"/>
          <w:noProof w:val="0"/>
          <w:color w:val="000000"/>
          <w:position w:val="0"/>
          <w:sz w:val="20"/>
          <w:u w:val="none"/>
          <w:vertAlign w:val="baseline"/>
        </w:rPr>
        <w:t xml:space="preserve"> (citing Antonin Scalia &amp; Bryan A. Garner, </w:t>
      </w:r>
      <w:r>
        <w:rPr>
          <w:rFonts w:ascii="arial" w:eastAsia="arial" w:hAnsi="arial" w:cs="arial"/>
          <w:b w:val="0"/>
          <w:i/>
          <w:strike w:val="0"/>
          <w:noProof w:val="0"/>
          <w:color w:val="000000"/>
          <w:position w:val="0"/>
          <w:sz w:val="20"/>
          <w:u w:val="none"/>
          <w:vertAlign w:val="baseline"/>
        </w:rPr>
        <w:t>Reading Law: The Interpretation of Legal Texts</w:t>
      </w:r>
      <w:r>
        <w:rPr>
          <w:rFonts w:ascii="arial" w:eastAsia="arial" w:hAnsi="arial" w:cs="arial"/>
          <w:b w:val="0"/>
          <w:i w:val="0"/>
          <w:strike w:val="0"/>
          <w:noProof w:val="0"/>
          <w:color w:val="000000"/>
          <w:position w:val="0"/>
          <w:sz w:val="20"/>
          <w:u w:val="none"/>
          <w:vertAlign w:val="baseline"/>
        </w:rPr>
        <w:t xml:space="preserve"> § 10, at 107 (2012) (other citation omitted). </w:t>
      </w:r>
      <w:bookmarkStart w:id="29" w:name="Bookmark_I69JW4NS2D6N4H0030000400"/>
      <w:bookmarkEnd w:id="29"/>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's notice pleading standard does not require "detailed factual allegations." </w:t>
      </w:r>
      <w:bookmarkStart w:id="30" w:name="Bookmark_I69JW4NS2N1PXR0010000400"/>
      <w:bookmarkEnd w:id="30"/>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681</w:t>
        </w:r>
      </w:hyperlink>
      <w:r>
        <w:rPr>
          <w:rFonts w:ascii="arial" w:eastAsia="arial" w:hAnsi="arial" w:cs="arial"/>
          <w:b w:val="0"/>
          <w:i w:val="0"/>
          <w:strike w:val="0"/>
          <w:noProof w:val="0"/>
          <w:color w:val="000000"/>
          <w:position w:val="0"/>
          <w:sz w:val="20"/>
          <w:u w:val="none"/>
          <w:vertAlign w:val="baseline"/>
        </w:rPr>
        <w:t xml:space="preserve">. </w:t>
      </w:r>
      <w:bookmarkStart w:id="31" w:name="Bookmark_I69JW4NS2D6N4H0030000400_2"/>
      <w:bookmarkEnd w:id="31"/>
      <w:bookmarkStart w:id="32" w:name="Bookmark_I69JW4NS2N1PXR0040000400_2"/>
      <w:bookmarkEnd w:id="32"/>
      <w:r>
        <w:rPr>
          <w:rFonts w:ascii="arial" w:eastAsia="arial" w:hAnsi="arial" w:cs="arial"/>
          <w:b w:val="0"/>
          <w:i w:val="0"/>
          <w:strike w:val="0"/>
          <w:noProof w:val="0"/>
          <w:color w:val="000000"/>
          <w:position w:val="0"/>
          <w:sz w:val="20"/>
          <w:u w:val="none"/>
          <w:vertAlign w:val="baseline"/>
        </w:rPr>
        <w:t xml:space="preserve">But </w:t>
      </w:r>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does require more than "labels and conclusions" or "a formulaic recitation of the elements of a cause of 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"Although the rule encourages brevity," a plaintiff must nevertheless "say enough to give the defendant fair notice of what the plaintiff's claim is and the grounds upon which it rests." </w:t>
      </w:r>
      <w:bookmarkStart w:id="33" w:name="Bookmark_I69JW4NS2N1PXR0030000400"/>
      <w:bookmarkEnd w:id="33"/>
      <w:hyperlink r:id="rId19" w:history="1">
        <w:r>
          <w:rPr>
            <w:rFonts w:ascii="arial" w:eastAsia="arial" w:hAnsi="arial" w:cs="arial"/>
            <w:b w:val="0"/>
            <w:i/>
            <w:strike w:val="0"/>
            <w:noProof w:val="0"/>
            <w:color w:val="0077CC"/>
            <w:position w:val="0"/>
            <w:sz w:val="20"/>
            <w:u w:val="single"/>
            <w:vertAlign w:val="baseline"/>
          </w:rPr>
          <w:t>Tellabs, Inc. v. Makor Issues &amp; Rights, Ltd.</w:t>
        </w:r>
      </w:hyperlink>
      <w:hyperlink r:id="rId19" w:history="1">
        <w:r>
          <w:rPr>
            <w:rFonts w:ascii="arial" w:eastAsia="arial" w:hAnsi="arial" w:cs="arial"/>
            <w:b w:val="0"/>
            <w:i/>
            <w:strike w:val="0"/>
            <w:noProof w:val="0"/>
            <w:color w:val="0077CC"/>
            <w:position w:val="0"/>
            <w:sz w:val="20"/>
            <w:u w:val="single"/>
            <w:vertAlign w:val="baseline"/>
          </w:rPr>
          <w:t>, 551 U.S. 308, 319, 127 S.Ct. 2499, 168 L.Ed.2d 179 (2007)</w:t>
        </w:r>
      </w:hyperlink>
      <w:r>
        <w:rPr>
          <w:rFonts w:ascii="arial" w:eastAsia="arial" w:hAnsi="arial" w:cs="arial"/>
          <w:b w:val="0"/>
          <w:i w:val="0"/>
          <w:strike w:val="0"/>
          <w:noProof w:val="0"/>
          <w:color w:val="000000"/>
          <w:position w:val="0"/>
          <w:sz w:val="20"/>
          <w:u w:val="none"/>
          <w:vertAlign w:val="baseline"/>
        </w:rPr>
        <w:t xml:space="preserve"> (citing </w:t>
      </w:r>
      <w:bookmarkStart w:id="34" w:name="Bookmark_I69JW4NS2N1PXR0050000400"/>
      <w:bookmarkEnd w:id="34"/>
      <w:hyperlink r:id="rId20" w:history="1">
        <w:r>
          <w:rPr>
            <w:rFonts w:ascii="arial" w:eastAsia="arial" w:hAnsi="arial" w:cs="arial"/>
            <w:b w:val="0"/>
            <w:i/>
            <w:strike w:val="0"/>
            <w:noProof w:val="0"/>
            <w:color w:val="0077CC"/>
            <w:position w:val="0"/>
            <w:sz w:val="20"/>
            <w:u w:val="single"/>
            <w:vertAlign w:val="baseline"/>
          </w:rPr>
          <w:t>Dura Pharms., Inc. v. Broudo</w:t>
        </w:r>
      </w:hyperlink>
      <w:hyperlink r:id="rId20" w:history="1">
        <w:r>
          <w:rPr>
            <w:rFonts w:ascii="arial" w:eastAsia="arial" w:hAnsi="arial" w:cs="arial"/>
            <w:b w:val="0"/>
            <w:i/>
            <w:strike w:val="0"/>
            <w:noProof w:val="0"/>
            <w:color w:val="0077CC"/>
            <w:position w:val="0"/>
            <w:sz w:val="20"/>
            <w:u w:val="single"/>
            <w:vertAlign w:val="baseline"/>
          </w:rPr>
          <w:t>, 544 U.S. 336, 346, 125 S. Ct. 1627, 161 L. Ed. 2d 577 (2005)</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does not empower [a plaintiff] to plead the bare elements of his cause of action, affix the label 'general allegation,' and expect his complaint to survive a motion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dismiss." </w:t>
      </w:r>
      <w:bookmarkStart w:id="35" w:name="Bookmark_I69JW4NS2D6N4H0020000400"/>
      <w:bookmarkEnd w:id="35"/>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 w:name="Bookmark_para_11"/>
      <w:bookmarkEnd w:id="36"/>
      <w:bookmarkStart w:id="37" w:name="Bookmark_I69JW4NS2D6N4H0050000400"/>
      <w:bookmarkEnd w:id="37"/>
      <w:bookmarkStart w:id="38" w:name="Bookmark_I69JW4NS2SF8HW0020000400"/>
      <w:bookmarkEnd w:id="38"/>
      <w:bookmarkStart w:id="39" w:name="Bookmark_I69JW4NS2HM5V60010000400"/>
      <w:bookmarkEnd w:id="39"/>
      <w:r>
        <w:rPr>
          <w:rFonts w:ascii="arial" w:eastAsia="arial" w:hAnsi="arial" w:cs="arial"/>
          <w:b w:val="0"/>
          <w:i w:val="0"/>
          <w:strike w:val="0"/>
          <w:noProof w:val="0"/>
          <w:color w:val="000000"/>
          <w:position w:val="0"/>
          <w:sz w:val="20"/>
          <w:u w:val="none"/>
          <w:vertAlign w:val="baseline"/>
        </w:rPr>
        <w:t xml:space="preserve">In order to survive a motion to dismiss, the plaintiff must allege facts that, if accepted as true, are sufficient "to raise a right to relief above the speculative level" and to "state a claim to relief that is plausible on its face." </w:t>
      </w:r>
      <w:bookmarkStart w:id="40" w:name="Bookmark_I69JW4NS2D6N4H0040000400"/>
      <w:bookmarkEnd w:id="40"/>
      <w:hyperlink r:id="rId21" w:history="1">
        <w:r>
          <w:rPr>
            <w:rFonts w:ascii="arial" w:eastAsia="arial" w:hAnsi="arial" w:cs="arial"/>
            <w:b w:val="0"/>
            <w:i/>
            <w:strike w:val="0"/>
            <w:noProof w:val="0"/>
            <w:color w:val="0077CC"/>
            <w:position w:val="0"/>
            <w:sz w:val="20"/>
            <w:u w:val="single"/>
            <w:vertAlign w:val="baseline"/>
          </w:rPr>
          <w:t>Bell Atl. Corp. v. Twombly</w:t>
        </w:r>
      </w:hyperlink>
      <w:hyperlink r:id="rId21" w:history="1">
        <w:r>
          <w:rPr>
            <w:rFonts w:ascii="arial" w:eastAsia="arial" w:hAnsi="arial" w:cs="arial"/>
            <w:b w:val="0"/>
            <w:i/>
            <w:strike w:val="0"/>
            <w:noProof w:val="0"/>
            <w:color w:val="0077CC"/>
            <w:position w:val="0"/>
            <w:sz w:val="20"/>
            <w:u w:val="single"/>
            <w:vertAlign w:val="baseline"/>
          </w:rPr>
          <w:t>, 550 U.S. 544, 555, 570, 127 S.Ct. 1955, 167 L.Ed.2d 929 (2007)</w:t>
        </w:r>
      </w:hyperlink>
      <w:r>
        <w:rPr>
          <w:rFonts w:ascii="arial" w:eastAsia="arial" w:hAnsi="arial" w:cs="arial"/>
          <w:b w:val="0"/>
          <w:i w:val="0"/>
          <w:strike w:val="0"/>
          <w:noProof w:val="0"/>
          <w:color w:val="000000"/>
          <w:position w:val="0"/>
          <w:sz w:val="20"/>
          <w:u w:val="none"/>
          <w:vertAlign w:val="baseline"/>
        </w:rPr>
        <w:t xml:space="preserve">. This means, a complaint "must contain either direct or inferential allegations respecting all the material elements to sustain a recovery under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viable legal theory." </w:t>
      </w:r>
      <w:bookmarkStart w:id="41" w:name="Bookmark_I69JW4NS2SF8HW0010000400"/>
      <w:bookmarkEnd w:id="41"/>
      <w:hyperlink r:id="rId22" w:history="1">
        <w:r>
          <w:rPr>
            <w:rFonts w:ascii="arial" w:eastAsia="arial" w:hAnsi="arial" w:cs="arial"/>
            <w:b w:val="0"/>
            <w:i/>
            <w:strike w:val="0"/>
            <w:noProof w:val="0"/>
            <w:color w:val="0077CC"/>
            <w:position w:val="0"/>
            <w:sz w:val="20"/>
            <w:u w:val="single"/>
            <w:vertAlign w:val="baseline"/>
          </w:rPr>
          <w:t>Smith v. Gen. Motors LLC</w:t>
        </w:r>
      </w:hyperlink>
      <w:hyperlink r:id="rId22" w:history="1">
        <w:r>
          <w:rPr>
            <w:rFonts w:ascii="arial" w:eastAsia="arial" w:hAnsi="arial" w:cs="arial"/>
            <w:b w:val="0"/>
            <w:i/>
            <w:strike w:val="0"/>
            <w:noProof w:val="0"/>
            <w:color w:val="0077CC"/>
            <w:position w:val="0"/>
            <w:sz w:val="20"/>
            <w:u w:val="single"/>
            <w:vertAlign w:val="baseline"/>
          </w:rPr>
          <w:t>, 988 F.3d 873, 877 (6th Cir. 2021)</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9JW4NS2SF8HW0030000400"/>
      <w:bookmarkEnd w:id="42"/>
      <w:hyperlink r:id="rId23" w:history="1">
        <w:r>
          <w:rPr>
            <w:rFonts w:ascii="arial" w:eastAsia="arial" w:hAnsi="arial" w:cs="arial"/>
            <w:b w:val="0"/>
            <w:i/>
            <w:strike w:val="0"/>
            <w:noProof w:val="0"/>
            <w:color w:val="0077CC"/>
            <w:position w:val="0"/>
            <w:sz w:val="20"/>
            <w:u w:val="single"/>
            <w:vertAlign w:val="baseline"/>
          </w:rPr>
          <w:t>Boland v. Holder</w:t>
        </w:r>
      </w:hyperlink>
      <w:hyperlink r:id="rId23" w:history="1">
        <w:r>
          <w:rPr>
            <w:rFonts w:ascii="arial" w:eastAsia="arial" w:hAnsi="arial" w:cs="arial"/>
            <w:b w:val="0"/>
            <w:i/>
            <w:strike w:val="0"/>
            <w:noProof w:val="0"/>
            <w:color w:val="0077CC"/>
            <w:position w:val="0"/>
            <w:sz w:val="20"/>
            <w:u w:val="single"/>
            <w:vertAlign w:val="baseline"/>
          </w:rPr>
          <w:t>, 682 F.3d 531, 534 (6th Cir. 2012)</w:t>
        </w:r>
      </w:hyperlink>
      <w:r>
        <w:rPr>
          <w:rFonts w:ascii="arial" w:eastAsia="arial" w:hAnsi="arial" w:cs="arial"/>
          <w:b w:val="0"/>
          <w:i w:val="0"/>
          <w:strike w:val="0"/>
          <w:noProof w:val="0"/>
          <w:color w:val="000000"/>
          <w:position w:val="0"/>
          <w:sz w:val="20"/>
          <w:u w:val="none"/>
          <w:vertAlign w:val="baseline"/>
        </w:rPr>
        <w:t xml:space="preserve">). "A claim has facial plausibility when the plaintiff pleads factual content that allows the court to draw the reasonable inference that the defendant is liable for the misconduct alleged." </w:t>
      </w:r>
      <w:bookmarkStart w:id="43" w:name="Bookmark_I69JW4NS2SF8HW0050000400"/>
      <w:bookmarkEnd w:id="43"/>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4" w:name="Bookmark_I69JW4NS2HM5V60020000400"/>
      <w:bookmarkEnd w:id="44"/>
      <w:hyperlink r:id="rId24" w:history="1">
        <w:r>
          <w:rPr>
            <w:rFonts w:ascii="arial" w:eastAsia="arial" w:hAnsi="arial" w:cs="arial"/>
            <w:b w:val="0"/>
            <w:i/>
            <w:strike w:val="0"/>
            <w:noProof w:val="0"/>
            <w:color w:val="0077CC"/>
            <w:position w:val="0"/>
            <w:sz w:val="20"/>
            <w:u w:val="single"/>
            <w:vertAlign w:val="baseline"/>
          </w:rPr>
          <w:t>Ryan v. Blackwell</w:t>
        </w:r>
      </w:hyperlink>
      <w:hyperlink r:id="rId24" w:history="1">
        <w:r>
          <w:rPr>
            <w:rFonts w:ascii="arial" w:eastAsia="arial" w:hAnsi="arial" w:cs="arial"/>
            <w:b w:val="0"/>
            <w:i/>
            <w:strike w:val="0"/>
            <w:noProof w:val="0"/>
            <w:color w:val="0077CC"/>
            <w:position w:val="0"/>
            <w:sz w:val="20"/>
            <w:u w:val="single"/>
            <w:vertAlign w:val="baseline"/>
          </w:rPr>
          <w:t>, 979 F.3d 519, 524 (6th Cir. 2020)</w:t>
        </w:r>
      </w:hyperlink>
      <w:r>
        <w:rPr>
          <w:rFonts w:ascii="arial" w:eastAsia="arial" w:hAnsi="arial" w:cs="arial"/>
          <w:b w:val="0"/>
          <w:i w:val="0"/>
          <w:strike w:val="0"/>
          <w:noProof w:val="0"/>
          <w:color w:val="000000"/>
          <w:position w:val="0"/>
          <w:sz w:val="20"/>
          <w:u w:val="none"/>
          <w:vertAlign w:val="baseline"/>
        </w:rPr>
        <w:t xml:space="preserve"> ("A complaint must contain enough 'factual matter' to raise a 'plausible' inference of wrongdoing.") (quotation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45" w:name="Bookmark_para_12"/>
      <w:bookmarkEnd w:id="45"/>
      <w:bookmarkStart w:id="46" w:name="Bookmark_I69JW4NS2HM5V60050000400"/>
      <w:bookmarkEnd w:id="46"/>
      <w:bookmarkStart w:id="47" w:name="Bookmark_I69JW4NT2SF8J30020000400"/>
      <w:bookmarkEnd w:id="47"/>
      <w:hyperlink r:id="rId11" w:history="1">
        <w:r>
          <w:rPr>
            <w:rFonts w:ascii="arial" w:eastAsia="arial" w:hAnsi="arial" w:cs="arial"/>
            <w:b w:val="0"/>
            <w:i/>
            <w:strike w:val="0"/>
            <w:color w:val="0077CC"/>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imposes liability on any "person who, under color of any statute, ordinance, regulation, custom or usage, of any State" subjects another to "the deprivation of any rights, privileges, or immunities secured by the Constitution or laws."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48" w:name="Bookmark_I69JW4NT2HM5VJ0010000400"/>
      <w:bookmarkEnd w:id="48"/>
      <w:r>
        <w:rPr>
          <w:rFonts w:ascii="arial" w:eastAsia="arial" w:hAnsi="arial" w:cs="arial"/>
          <w:b w:val="0"/>
          <w:i w:val="0"/>
          <w:strike w:val="0"/>
          <w:noProof w:val="0"/>
          <w:color w:val="000000"/>
          <w:position w:val="0"/>
          <w:sz w:val="20"/>
          <w:u w:val="none"/>
          <w:vertAlign w:val="baseline"/>
        </w:rPr>
        <w:t>"</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is not the source of any substantive right," </w:t>
      </w:r>
      <w:bookmarkStart w:id="49" w:name="Bookmark_I69JW4NS2HM5V60040000400"/>
      <w:bookmarkEnd w:id="49"/>
      <w:hyperlink r:id="rId25" w:history="1">
        <w:r>
          <w:rPr>
            <w:rFonts w:ascii="arial" w:eastAsia="arial" w:hAnsi="arial" w:cs="arial"/>
            <w:b w:val="0"/>
            <w:i/>
            <w:strike w:val="0"/>
            <w:noProof w:val="0"/>
            <w:color w:val="0077CC"/>
            <w:position w:val="0"/>
            <w:sz w:val="20"/>
            <w:u w:val="single"/>
            <w:vertAlign w:val="baseline"/>
          </w:rPr>
          <w:t>Humes v. Gilless</w:t>
        </w:r>
      </w:hyperlink>
      <w:hyperlink r:id="rId25" w:history="1">
        <w:r>
          <w:rPr>
            <w:rFonts w:ascii="arial" w:eastAsia="arial" w:hAnsi="arial" w:cs="arial"/>
            <w:b w:val="0"/>
            <w:i/>
            <w:strike w:val="0"/>
            <w:noProof w:val="0"/>
            <w:color w:val="0077CC"/>
            <w:position w:val="0"/>
            <w:sz w:val="20"/>
            <w:u w:val="single"/>
            <w:vertAlign w:val="baseline"/>
          </w:rPr>
          <w:t>, 154 F. Supp. 2d 1353, 1357 (W.D. Tenn. 2001)</w:t>
        </w:r>
      </w:hyperlink>
      <w:r>
        <w:rPr>
          <w:rFonts w:ascii="arial" w:eastAsia="arial" w:hAnsi="arial" w:cs="arial"/>
          <w:b w:val="0"/>
          <w:i w:val="0"/>
          <w:strike w:val="0"/>
          <w:noProof w:val="0"/>
          <w:color w:val="000000"/>
          <w:position w:val="0"/>
          <w:sz w:val="20"/>
          <w:u w:val="none"/>
          <w:vertAlign w:val="baseline"/>
        </w:rPr>
        <w:t xml:space="preserve">, but creates a "species of tort liability" for the violation of rights guaranteed in the Constitution itself. </w:t>
      </w:r>
      <w:bookmarkStart w:id="50" w:name="Bookmark_I69JW4NT2SF8J30010000400"/>
      <w:bookmarkEnd w:id="50"/>
      <w:hyperlink r:id="rId26" w:history="1">
        <w:r>
          <w:rPr>
            <w:rFonts w:ascii="arial" w:eastAsia="arial" w:hAnsi="arial" w:cs="arial"/>
            <w:b w:val="0"/>
            <w:i/>
            <w:strike w:val="0"/>
            <w:noProof w:val="0"/>
            <w:color w:val="0077CC"/>
            <w:position w:val="0"/>
            <w:sz w:val="20"/>
            <w:u w:val="single"/>
            <w:vertAlign w:val="baseline"/>
          </w:rPr>
          <w:t>Manuel v. City of Joliet, Ill.</w:t>
        </w:r>
      </w:hyperlink>
      <w:hyperlink r:id="rId26" w:history="1">
        <w:r>
          <w:rPr>
            <w:rFonts w:ascii="arial" w:eastAsia="arial" w:hAnsi="arial" w:cs="arial"/>
            <w:b w:val="0"/>
            <w:i/>
            <w:strike w:val="0"/>
            <w:noProof w:val="0"/>
            <w:color w:val="0077CC"/>
            <w:position w:val="0"/>
            <w:sz w:val="20"/>
            <w:u w:val="single"/>
            <w:vertAlign w:val="baseline"/>
          </w:rPr>
          <w:t>, 580 U.S. 357, 137 S. Ct. 911, 916, 197 L. Ed. 2d 312 (2017)</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9JW4NT2SF8J30030000400"/>
      <w:bookmarkEnd w:id="51"/>
      <w:hyperlink r:id="rId27" w:history="1">
        <w:r>
          <w:rPr>
            <w:rFonts w:ascii="arial" w:eastAsia="arial" w:hAnsi="arial" w:cs="arial"/>
            <w:b w:val="0"/>
            <w:i/>
            <w:strike w:val="0"/>
            <w:noProof w:val="0"/>
            <w:color w:val="0077CC"/>
            <w:position w:val="0"/>
            <w:sz w:val="20"/>
            <w:u w:val="single"/>
            <w:vertAlign w:val="baseline"/>
          </w:rPr>
          <w:t>Imbler v. Pachtman</w:t>
        </w:r>
      </w:hyperlink>
      <w:hyperlink r:id="rId27" w:history="1">
        <w:r>
          <w:rPr>
            <w:rFonts w:ascii="arial" w:eastAsia="arial" w:hAnsi="arial" w:cs="arial"/>
            <w:b w:val="0"/>
            <w:i/>
            <w:strike w:val="0"/>
            <w:noProof w:val="0"/>
            <w:color w:val="0077CC"/>
            <w:position w:val="0"/>
            <w:sz w:val="20"/>
            <w:u w:val="single"/>
            <w:vertAlign w:val="baseline"/>
          </w:rPr>
          <w:t>, 424 U.S. 409, 417, 96 S. Ct. 984, 47 L. Ed. 2d 128 (1976)</w:t>
        </w:r>
      </w:hyperlink>
      <w:r>
        <w:rPr>
          <w:rFonts w:ascii="arial" w:eastAsia="arial" w:hAnsi="arial" w:cs="arial"/>
          <w:b w:val="0"/>
          <w:i w:val="0"/>
          <w:strike w:val="0"/>
          <w:noProof w:val="0"/>
          <w:color w:val="000000"/>
          <w:position w:val="0"/>
          <w:sz w:val="20"/>
          <w:u w:val="none"/>
          <w:vertAlign w:val="baseline"/>
        </w:rPr>
        <w:t xml:space="preserve">). </w:t>
      </w:r>
      <w:bookmarkStart w:id="52" w:name="Bookmark_I69JW4NT2HM5VJ0010000400_2"/>
      <w:bookmarkEnd w:id="52"/>
      <w:r>
        <w:rPr>
          <w:rFonts w:ascii="arial" w:eastAsia="arial" w:hAnsi="arial" w:cs="arial"/>
          <w:b w:val="0"/>
          <w:i w:val="0"/>
          <w:strike w:val="0"/>
          <w:noProof w:val="0"/>
          <w:color w:val="000000"/>
          <w:position w:val="0"/>
          <w:sz w:val="20"/>
          <w:u w:val="none"/>
          <w:vertAlign w:val="baseline"/>
        </w:rPr>
        <w:t xml:space="preserve">In order to make out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plaintiff must establish "(1) that there was the deprivation of a right secured by the Constitution and (2) that the deprivation was caused by a person acting under color of state law." </w:t>
      </w:r>
      <w:bookmarkStart w:id="53" w:name="Bookmark_I69JW4NT2SF8J30050000400"/>
      <w:bookmarkEnd w:id="53"/>
      <w:hyperlink r:id="rId28" w:history="1">
        <w:r>
          <w:rPr>
            <w:rFonts w:ascii="arial" w:eastAsia="arial" w:hAnsi="arial" w:cs="arial"/>
            <w:b w:val="0"/>
            <w:i/>
            <w:strike w:val="0"/>
            <w:noProof w:val="0"/>
            <w:color w:val="0077CC"/>
            <w:position w:val="0"/>
            <w:sz w:val="20"/>
            <w:u w:val="single"/>
            <w:vertAlign w:val="baseline"/>
          </w:rPr>
          <w:t>Wittstock v. Mark A. Van Sile, Inc.</w:t>
        </w:r>
      </w:hyperlink>
      <w:hyperlink r:id="rId28" w:history="1">
        <w:r>
          <w:rPr>
            <w:rFonts w:ascii="arial" w:eastAsia="arial" w:hAnsi="arial" w:cs="arial"/>
            <w:b w:val="0"/>
            <w:i/>
            <w:strike w:val="0"/>
            <w:noProof w:val="0"/>
            <w:color w:val="0077CC"/>
            <w:position w:val="0"/>
            <w:sz w:val="20"/>
            <w:u w:val="single"/>
            <w:vertAlign w:val="baseline"/>
          </w:rPr>
          <w:t>, 330 F.3d 899, 902 (6th Cir.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3"/>
      <w:bookmarkEnd w:id="54"/>
      <w:bookmarkStart w:id="55" w:name="Bookmark_I69JW4NT2HM5VJ0030000400"/>
      <w:bookmarkEnd w:id="55"/>
      <w:r>
        <w:rPr>
          <w:rFonts w:ascii="arial" w:eastAsia="arial" w:hAnsi="arial" w:cs="arial"/>
          <w:b w:val="0"/>
          <w:i w:val="0"/>
          <w:strike w:val="0"/>
          <w:noProof w:val="0"/>
          <w:color w:val="000000"/>
          <w:position w:val="0"/>
          <w:sz w:val="20"/>
          <w:u w:val="none"/>
          <w:vertAlign w:val="baseline"/>
        </w:rPr>
        <w:t xml:space="preserve">Crowell alleges that Defendants retaliated against her for exercising her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intimate association. </w:t>
      </w:r>
      <w:bookmarkStart w:id="56" w:name="Bookmark_I69JW4NW2SF8JV0020000400"/>
      <w:bookmarkEnd w:id="56"/>
      <w:bookmarkStart w:id="57" w:name="Bookmark_I69JW4NT2HM5VJ0020000400"/>
      <w:bookmarkEnd w:id="57"/>
      <w:hyperlink r:id="rId29" w:history="1">
        <w:r>
          <w:rPr>
            <w:rFonts w:ascii="arial" w:eastAsia="arial" w:hAnsi="arial" w:cs="arial"/>
            <w:b w:val="0"/>
            <w:i/>
            <w:strike w:val="0"/>
            <w:noProof w:val="0"/>
            <w:color w:val="0077CC"/>
            <w:position w:val="0"/>
            <w:sz w:val="20"/>
            <w:u w:val="single"/>
            <w:vertAlign w:val="baseline"/>
          </w:rPr>
          <w:t>Sowards v. Loudon Cnty., Tenn.</w:t>
        </w:r>
      </w:hyperlink>
      <w:hyperlink r:id="rId29" w:history="1">
        <w:r>
          <w:rPr>
            <w:rFonts w:ascii="arial" w:eastAsia="arial" w:hAnsi="arial" w:cs="arial"/>
            <w:b w:val="0"/>
            <w:i/>
            <w:strike w:val="0"/>
            <w:noProof w:val="0"/>
            <w:color w:val="0077CC"/>
            <w:position w:val="0"/>
            <w:sz w:val="20"/>
            <w:u w:val="single"/>
            <w:vertAlign w:val="baseline"/>
          </w:rPr>
          <w:t>, 203 F.3d 426, 432 (6th Cir. 2000)</w:t>
        </w:r>
      </w:hyperlink>
      <w:r>
        <w:rPr>
          <w:rFonts w:ascii="arial" w:eastAsia="arial" w:hAnsi="arial" w:cs="arial"/>
          <w:b w:val="0"/>
          <w:i w:val="0"/>
          <w:strike w:val="0"/>
          <w:noProof w:val="0"/>
          <w:color w:val="000000"/>
          <w:position w:val="0"/>
          <w:sz w:val="20"/>
          <w:u w:val="none"/>
          <w:vertAlign w:val="baseline"/>
        </w:rPr>
        <w:t xml:space="preserve"> ("Although the Supreme Court did not explain whether this right stems from the freedom of association under the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or the fundamental right to marry under the </w:t>
      </w:r>
      <w:hyperlink r:id="rId12"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we have analyzed the right of intimate association under the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9JW4NT2HM5VJ0040000400"/>
      <w:bookmarkEnd w:id="58"/>
      <w:hyperlink r:id="rId30" w:history="1">
        <w:r>
          <w:rPr>
            <w:rFonts w:ascii="arial" w:eastAsia="arial" w:hAnsi="arial" w:cs="arial"/>
            <w:b w:val="0"/>
            <w:i/>
            <w:strike w:val="0"/>
            <w:noProof w:val="0"/>
            <w:color w:val="0077CC"/>
            <w:position w:val="0"/>
            <w:sz w:val="20"/>
            <w:u w:val="single"/>
            <w:vertAlign w:val="baseline"/>
          </w:rPr>
          <w:t>Adkins v. Board of Educ.</w:t>
        </w:r>
      </w:hyperlink>
      <w:hyperlink r:id="rId30" w:history="1">
        <w:r>
          <w:rPr>
            <w:rFonts w:ascii="arial" w:eastAsia="arial" w:hAnsi="arial" w:cs="arial"/>
            <w:b w:val="0"/>
            <w:i/>
            <w:strike w:val="0"/>
            <w:noProof w:val="0"/>
            <w:color w:val="0077CC"/>
            <w:position w:val="0"/>
            <w:sz w:val="20"/>
            <w:u w:val="single"/>
            <w:vertAlign w:val="baseline"/>
          </w:rPr>
          <w:t>, 982 F.2d 952, 955-56 (6th Cir. 1993)</w:t>
        </w:r>
      </w:hyperlink>
      <w:r>
        <w:rPr>
          <w:rFonts w:ascii="arial" w:eastAsia="arial" w:hAnsi="arial" w:cs="arial"/>
          <w:b w:val="0"/>
          <w:i w:val="0"/>
          <w:strike w:val="0"/>
          <w:noProof w:val="0"/>
          <w:color w:val="000000"/>
          <w:position w:val="0"/>
          <w:sz w:val="20"/>
          <w:u w:val="none"/>
          <w:vertAlign w:val="baseline"/>
        </w:rPr>
        <w:t xml:space="preserve">). In order to state such a claim, Crowell must allege that (1) she engaged in protected conduct; (2) an adverse action was taken against her that would deter a person of ordinary firmness from continuing to engage in that conduct; and (3) the adverse action was motivated at least in part by her protected conduct. </w:t>
      </w:r>
      <w:bookmarkStart w:id="59" w:name="Bookmark_I69JW4NW2SF8JV0020000400_2"/>
      <w:bookmarkEnd w:id="59"/>
      <w:bookmarkStart w:id="60" w:name="Bookmark_I69JW4NW2SF8JV0010000400"/>
      <w:bookmarkEnd w:id="60"/>
      <w:hyperlink r:id="rId31" w:history="1">
        <w:r>
          <w:rPr>
            <w:rFonts w:ascii="arial" w:eastAsia="arial" w:hAnsi="arial" w:cs="arial"/>
            <w:b w:val="0"/>
            <w:i/>
            <w:strike w:val="0"/>
            <w:noProof w:val="0"/>
            <w:color w:val="0077CC"/>
            <w:position w:val="0"/>
            <w:sz w:val="20"/>
            <w:u w:val="single"/>
            <w:vertAlign w:val="baseline"/>
          </w:rPr>
          <w:t>Bickerstaff v. Lucarelli</w:t>
        </w:r>
      </w:hyperlink>
      <w:hyperlink r:id="rId31" w:history="1">
        <w:r>
          <w:rPr>
            <w:rFonts w:ascii="arial" w:eastAsia="arial" w:hAnsi="arial" w:cs="arial"/>
            <w:b w:val="0"/>
            <w:i/>
            <w:strike w:val="0"/>
            <w:noProof w:val="0"/>
            <w:color w:val="0077CC"/>
            <w:position w:val="0"/>
            <w:sz w:val="20"/>
            <w:u w:val="single"/>
            <w:vertAlign w:val="baseline"/>
          </w:rPr>
          <w:t>, 830 F.3d 388, 399 (6th Cir. 2016)</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9JW4NW2SF8JV0030000400"/>
      <w:bookmarkEnd w:id="61"/>
      <w:hyperlink r:id="rId32" w:history="1">
        <w:r>
          <w:rPr>
            <w:rFonts w:ascii="arial" w:eastAsia="arial" w:hAnsi="arial" w:cs="arial"/>
            <w:b w:val="0"/>
            <w:i/>
            <w:strike w:val="0"/>
            <w:noProof w:val="0"/>
            <w:color w:val="0077CC"/>
            <w:position w:val="0"/>
            <w:sz w:val="20"/>
            <w:u w:val="single"/>
            <w:vertAlign w:val="baseline"/>
          </w:rPr>
          <w:t>Thaddeus-X v. Blatter</w:t>
        </w:r>
      </w:hyperlink>
      <w:hyperlink r:id="rId32" w:history="1">
        <w:r>
          <w:rPr>
            <w:rFonts w:ascii="arial" w:eastAsia="arial" w:hAnsi="arial" w:cs="arial"/>
            <w:b w:val="0"/>
            <w:i/>
            <w:strike w:val="0"/>
            <w:noProof w:val="0"/>
            <w:color w:val="0077CC"/>
            <w:position w:val="0"/>
            <w:sz w:val="20"/>
            <w:u w:val="single"/>
            <w:vertAlign w:val="baseline"/>
          </w:rPr>
          <w:t>, 175 F.3d 378, 394 (6th Cir. 1999)</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62" w:name="Bookmark_para_14"/>
      <w:bookmarkEnd w:id="62"/>
      <w:bookmarkStart w:id="63" w:name="Bookmark_I69JW4NW28T4WV0010000400"/>
      <w:bookmarkEnd w:id="63"/>
      <w:r>
        <w:rPr>
          <w:rFonts w:ascii="arial" w:eastAsia="arial" w:hAnsi="arial" w:cs="arial"/>
          <w:b w:val="0"/>
          <w:i w:val="0"/>
          <w:strike w:val="0"/>
          <w:noProof w:val="0"/>
          <w:color w:val="000000"/>
          <w:position w:val="0"/>
          <w:sz w:val="20"/>
          <w:u w:val="none"/>
          <w:vertAlign w:val="baseline"/>
        </w:rPr>
        <w:t xml:space="preserve">As a preliminary matter, Crowell would hold Obion County liable for interference or retaliation against her for exercising her right to intimate association. </w:t>
      </w:r>
      <w:bookmarkStart w:id="64" w:name="Bookmark_I69JW4NW28T4WV0030000400"/>
      <w:bookmarkEnd w:id="64"/>
      <w:r>
        <w:rPr>
          <w:rFonts w:ascii="arial" w:eastAsia="arial" w:hAnsi="arial" w:cs="arial"/>
          <w:b w:val="0"/>
          <w:i w:val="0"/>
          <w:strike w:val="0"/>
          <w:noProof w:val="0"/>
          <w:color w:val="000000"/>
          <w:position w:val="0"/>
          <w:sz w:val="20"/>
          <w:u w:val="none"/>
          <w:vertAlign w:val="baseline"/>
        </w:rPr>
        <w:t xml:space="preserve">In order to state a plausible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the County, Crowell must prove a direct causal link between the deprivation of her rights and some county policy or custom. </w:t>
      </w:r>
      <w:bookmarkStart w:id="65" w:name="Bookmark_I69JW4NW2SF8JV0050000400"/>
      <w:bookmarkEnd w:id="65"/>
      <w:hyperlink r:id="rId33" w:history="1">
        <w:r>
          <w:rPr>
            <w:rFonts w:ascii="arial" w:eastAsia="arial" w:hAnsi="arial" w:cs="arial"/>
            <w:b w:val="0"/>
            <w:i/>
            <w:strike w:val="0"/>
            <w:noProof w:val="0"/>
            <w:color w:val="0077CC"/>
            <w:position w:val="0"/>
            <w:sz w:val="20"/>
            <w:u w:val="single"/>
            <w:vertAlign w:val="baseline"/>
          </w:rPr>
          <w:t>Monell v. Dep't. of Soc. Serv.</w:t>
        </w:r>
      </w:hyperlink>
      <w:hyperlink r:id="rId33" w:history="1">
        <w:r>
          <w:rPr>
            <w:rFonts w:ascii="arial" w:eastAsia="arial" w:hAnsi="arial" w:cs="arial"/>
            <w:b w:val="0"/>
            <w:i/>
            <w:strike w:val="0"/>
            <w:noProof w:val="0"/>
            <w:color w:val="0077CC"/>
            <w:position w:val="0"/>
            <w:sz w:val="20"/>
            <w:u w:val="single"/>
            <w:vertAlign w:val="baseline"/>
          </w:rPr>
          <w:t>, 436 U.S. 658, 691-92, 98 S. Ct. 2018, 56 L. Ed. 2d 611 (1978)</w:t>
        </w:r>
      </w:hyperlink>
      <w:r>
        <w:rPr>
          <w:rFonts w:ascii="arial" w:eastAsia="arial" w:hAnsi="arial" w:cs="arial"/>
          <w:b w:val="0"/>
          <w:i w:val="0"/>
          <w:strike w:val="0"/>
          <w:noProof w:val="0"/>
          <w:color w:val="000000"/>
          <w:position w:val="0"/>
          <w:sz w:val="20"/>
          <w:u w:val="none"/>
          <w:vertAlign w:val="baseline"/>
        </w:rPr>
        <w:t xml:space="preserve"> (holding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local government "cannot be held liable solely because it employs a tortfeasor . . . on a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theory"). </w:t>
      </w:r>
      <w:bookmarkStart w:id="66" w:name="Bookmark_I69JW4NW28T4WV0030000400_2"/>
      <w:bookmarkEnd w:id="66"/>
      <w:r>
        <w:rPr>
          <w:rFonts w:ascii="arial" w:eastAsia="arial" w:hAnsi="arial" w:cs="arial"/>
          <w:b w:val="0"/>
          <w:i w:val="0"/>
          <w:strike w:val="0"/>
          <w:noProof w:val="0"/>
          <w:color w:val="000000"/>
          <w:position w:val="0"/>
          <w:sz w:val="20"/>
          <w:u w:val="none"/>
          <w:vertAlign w:val="baseline"/>
        </w:rPr>
        <w:t xml:space="preserve">This means Crowell "must (1) identify the municipal policy or custom, (2) connect the policy to the municipality, and (3) show that her particular injury was incurred due to execution of that policy." </w:t>
      </w:r>
      <w:bookmarkStart w:id="67" w:name="Bookmark_I69JW4NW28T4WV0020000400"/>
      <w:bookmarkEnd w:id="67"/>
      <w:hyperlink r:id="rId34" w:history="1">
        <w:r>
          <w:rPr>
            <w:rFonts w:ascii="arial" w:eastAsia="arial" w:hAnsi="arial" w:cs="arial"/>
            <w:b w:val="0"/>
            <w:i/>
            <w:strike w:val="0"/>
            <w:noProof w:val="0"/>
            <w:color w:val="0077CC"/>
            <w:position w:val="0"/>
            <w:sz w:val="20"/>
            <w:u w:val="single"/>
            <w:vertAlign w:val="baseline"/>
          </w:rPr>
          <w:t>Alkire v. Irving</w:t>
        </w:r>
      </w:hyperlink>
      <w:hyperlink r:id="rId34" w:history="1">
        <w:r>
          <w:rPr>
            <w:rFonts w:ascii="arial" w:eastAsia="arial" w:hAnsi="arial" w:cs="arial"/>
            <w:b w:val="0"/>
            <w:i/>
            <w:strike w:val="0"/>
            <w:noProof w:val="0"/>
            <w:color w:val="0077CC"/>
            <w:position w:val="0"/>
            <w:sz w:val="20"/>
            <w:u w:val="single"/>
            <w:vertAlign w:val="baseline"/>
          </w:rPr>
          <w:t>, 330 F.3d 802, 815 (6th Cir. 2003)</w:t>
        </w:r>
      </w:hyperlink>
      <w:r>
        <w:rPr>
          <w:rFonts w:ascii="arial" w:eastAsia="arial" w:hAnsi="arial" w:cs="arial"/>
          <w:b w:val="0"/>
          <w:i w:val="0"/>
          <w:strike w:val="0"/>
          <w:noProof w:val="0"/>
          <w:color w:val="000000"/>
          <w:position w:val="0"/>
          <w:sz w:val="20"/>
          <w:u w:val="none"/>
          <w:vertAlign w:val="baseline"/>
        </w:rPr>
        <w:t xml:space="preserve"> (citing </w:t>
      </w:r>
      <w:bookmarkStart w:id="68" w:name="Bookmark_I69JW4NW28T4WV0040000400"/>
      <w:bookmarkEnd w:id="68"/>
      <w:r>
        <w:rPr>
          <w:rFonts w:ascii="arial" w:eastAsia="arial" w:hAnsi="arial" w:cs="arial"/>
          <w:b w:val="0"/>
          <w:i/>
          <w:strike w:val="0"/>
          <w:noProof w:val="0"/>
          <w:color w:val="000000"/>
          <w:position w:val="0"/>
          <w:sz w:val="20"/>
          <w:u w:val="none"/>
          <w:vertAlign w:val="baseline"/>
        </w:rPr>
        <w:t>Garner v. Memphis Police Dep't</w:t>
      </w:r>
      <w:r>
        <w:rPr>
          <w:rFonts w:ascii="arial" w:eastAsia="arial" w:hAnsi="arial" w:cs="arial"/>
          <w:b w:val="0"/>
          <w:i/>
          <w:strike w:val="0"/>
          <w:noProof w:val="0"/>
          <w:color w:val="000000"/>
          <w:position w:val="0"/>
          <w:sz w:val="20"/>
          <w:u w:val="none"/>
          <w:vertAlign w:val="baseline"/>
        </w:rPr>
        <w:t>, 8 F.3d 358, 364 (6th Cir. 1993)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15"/>
      <w:bookmarkEnd w:id="69"/>
      <w:bookmarkStart w:id="70" w:name="Bookmark_I69JW4NX28T4X20020000400"/>
      <w:bookmarkEnd w:id="70"/>
      <w:r>
        <w:rPr>
          <w:rFonts w:ascii="arial" w:eastAsia="arial" w:hAnsi="arial" w:cs="arial"/>
          <w:b w:val="0"/>
          <w:i w:val="0"/>
          <w:strike w:val="0"/>
          <w:noProof w:val="0"/>
          <w:color w:val="000000"/>
          <w:position w:val="0"/>
          <w:sz w:val="20"/>
          <w:u w:val="none"/>
          <w:vertAlign w:val="baseline"/>
        </w:rPr>
        <w:t xml:space="preserve">In her briefing on the County's Motion to Dismiss, Crowell does not directly address the County's argument that the Complaint fails to allege the existence of a county custom or policy. Instead, she concedes in a footnote "that she presently lacks information to support municipal liability under </w:t>
      </w:r>
      <w:bookmarkStart w:id="71" w:name="Bookmark_I69JW4NX28T4X20010000400"/>
      <w:bookmarkEnd w:id="71"/>
      <w:hyperlink r:id="rId33" w:history="1">
        <w:r>
          <w:rPr>
            <w:rFonts w:ascii="arial" w:eastAsia="arial" w:hAnsi="arial" w:cs="arial"/>
            <w:b w:val="0"/>
            <w:i/>
            <w:strike w:val="0"/>
            <w:noProof w:val="0"/>
            <w:color w:val="0077CC"/>
            <w:position w:val="0"/>
            <w:sz w:val="20"/>
            <w:u w:val="single"/>
            <w:vertAlign w:val="baseline"/>
          </w:rPr>
          <w:t>Monell</w:t>
        </w:r>
      </w:hyperlink>
      <w:bookmarkStart w:id="72" w:name="Bookmark_I69JW4NX28T4X20040000400"/>
      <w:bookmarkEnd w:id="72"/>
      <w:r>
        <w:rPr>
          <w:rFonts w:ascii="arial" w:eastAsia="arial" w:hAnsi="arial" w:cs="arial"/>
          <w:b w:val="0"/>
          <w:i w:val="0"/>
          <w:strike w:val="0"/>
          <w:noProof w:val="0"/>
          <w:color w:val="000000"/>
          <w:position w:val="0"/>
          <w:sz w:val="20"/>
          <w:u w:val="none"/>
          <w:vertAlign w:val="baseline"/>
        </w:rPr>
        <w:t xml:space="preserve">." Pl.'s Resp. in Opp'n 11 n. 2 (ECF No. 20). </w:t>
      </w:r>
      <w:bookmarkStart w:id="73" w:name="Bookmark_I69JW4NX28T4X20040000400_2"/>
      <w:bookmarkEnd w:id="73"/>
      <w:r>
        <w:rPr>
          <w:rFonts w:ascii="arial" w:eastAsia="arial" w:hAnsi="arial" w:cs="arial"/>
          <w:b w:val="0"/>
          <w:i w:val="0"/>
          <w:strike w:val="0"/>
          <w:noProof w:val="0"/>
          <w:color w:val="000000"/>
          <w:position w:val="0"/>
          <w:sz w:val="20"/>
          <w:u w:val="none"/>
          <w:vertAlign w:val="baseline"/>
        </w:rPr>
        <w:t xml:space="preserve">Crowell does state that discovery could unearth new information to make her claim viable; however, that is not the pleading standard under </w:t>
      </w:r>
      <w:hyperlink r:id="rId17"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w:t>
      </w:r>
      <w:bookmarkStart w:id="74" w:name="Bookmark_I69JW4NX28T4X20030000400"/>
      <w:bookmarkEnd w:id="74"/>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678-79</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marks a notable and generous departure from the hyper-technical, code-pleading regime of a prior era, but it does not unlock the doors of discovery for a plaintiff armed with nothing more than conclusions."). Based on Crowell's concession about the lack of factual support for her claim against Obion County, the Court will </w:t>
      </w:r>
      <w:r>
        <w:rPr>
          <w:rFonts w:ascii="arial" w:eastAsia="arial" w:hAnsi="arial" w:cs="arial"/>
          <w:b/>
          <w:i w:val="0"/>
          <w:strike w:val="0"/>
          <w:noProof w:val="0"/>
          <w:color w:val="000000"/>
          <w:position w:val="0"/>
          <w:sz w:val="20"/>
          <w:u w:val="none"/>
          <w:vertAlign w:val="baseline"/>
        </w:rPr>
        <w:t>GRANT</w:t>
      </w:r>
      <w:r>
        <w:rPr>
          <w:rFonts w:ascii="arial" w:eastAsia="arial" w:hAnsi="arial" w:cs="arial"/>
          <w:b w:val="0"/>
          <w:i w:val="0"/>
          <w:strike w:val="0"/>
          <w:noProof w:val="0"/>
          <w:color w:val="000000"/>
          <w:position w:val="0"/>
          <w:sz w:val="20"/>
          <w:u w:val="none"/>
          <w:vertAlign w:val="baseline"/>
        </w:rPr>
        <w:t xml:space="preserve"> the County's Motion to Dismiss. Obion County,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Tennessee is hereby dismissed as a party to this action.</w:t>
      </w:r>
    </w:p>
    <w:p>
      <w:pPr>
        <w:keepNext w:val="0"/>
        <w:spacing w:before="200" w:after="0" w:line="260" w:lineRule="atLeast"/>
        <w:ind w:left="0" w:right="0" w:firstLine="0"/>
        <w:jc w:val="both"/>
      </w:pPr>
      <w:bookmarkStart w:id="75" w:name="Bookmark_para_16"/>
      <w:bookmarkEnd w:id="75"/>
      <w:r>
        <w:rPr>
          <w:rFonts w:ascii="arial" w:eastAsia="arial" w:hAnsi="arial" w:cs="arial"/>
          <w:b w:val="0"/>
          <w:i w:val="0"/>
          <w:strike w:val="0"/>
          <w:noProof w:val="0"/>
          <w:color w:val="000000"/>
          <w:position w:val="0"/>
          <w:sz w:val="20"/>
          <w:u w:val="none"/>
          <w:vertAlign w:val="baseline"/>
        </w:rPr>
        <w:t>Turning now to the arguments raised by Terrell Clinic, LLC and Sheriff Jackson, both parties have argued a number of issues as grounds for dismissal. The Court finds it unnecessary to reach all of those questions in order to decide the Motions to Dismiss. The Court will assume for purposes of deciding Defendants' Motions only that Terrell Clinic constructively discharged Crowell and that the clinic was acting under color of law. The Court also assumes that Sheriff Jackson's demand that the clinic reassign Crowell from her job at the jail qualified as an adverse action under the facts alleged in the Complaint. In order to prove her claims against each Defendant, Crowell must show that Defendants violated her constitutional rights.</w:t>
      </w:r>
    </w:p>
    <w:p>
      <w:pPr>
        <w:keepNext w:val="0"/>
        <w:spacing w:before="240" w:after="0" w:line="260" w:lineRule="atLeast"/>
        <w:ind w:left="0" w:right="0" w:firstLine="0"/>
        <w:jc w:val="both"/>
      </w:pPr>
      <w:bookmarkStart w:id="76" w:name="Bookmark_para_17"/>
      <w:bookmarkEnd w:id="76"/>
      <w:bookmarkStart w:id="77" w:name="Bookmark_I69JW4NX2N1R0B0010000400"/>
      <w:bookmarkEnd w:id="77"/>
      <w:r>
        <w:rPr>
          <w:rFonts w:ascii="arial" w:eastAsia="arial" w:hAnsi="arial" w:cs="arial"/>
          <w:b w:val="0"/>
          <w:i w:val="0"/>
          <w:strike w:val="0"/>
          <w:noProof w:val="0"/>
          <w:color w:val="000000"/>
          <w:position w:val="0"/>
          <w:sz w:val="20"/>
          <w:u w:val="none"/>
          <w:vertAlign w:val="baseline"/>
        </w:rPr>
        <w:t xml:space="preserve">The threshold question becomes then whether Crowell has plausibly alleged how she engaged in constitutionally protected conduct. </w:t>
      </w:r>
      <w:bookmarkStart w:id="78" w:name="Bookmark_I69JW4NX2N1R0B0030000400"/>
      <w:bookmarkEnd w:id="78"/>
      <w:bookmarkStart w:id="79" w:name="Bookmark_I69JW4NX28T4X20050000400"/>
      <w:bookmarkEnd w:id="79"/>
      <w:hyperlink r:id="rId31" w:history="1">
        <w:r>
          <w:rPr>
            <w:rFonts w:ascii="arial" w:eastAsia="arial" w:hAnsi="arial" w:cs="arial"/>
            <w:b w:val="0"/>
            <w:i/>
            <w:strike w:val="0"/>
            <w:noProof w:val="0"/>
            <w:color w:val="0077CC"/>
            <w:position w:val="0"/>
            <w:sz w:val="20"/>
            <w:u w:val="single"/>
            <w:vertAlign w:val="baseline"/>
          </w:rPr>
          <w:t>Bickerstaff</w:t>
        </w:r>
      </w:hyperlink>
      <w:hyperlink r:id="rId31" w:history="1">
        <w:r>
          <w:rPr>
            <w:rFonts w:ascii="arial" w:eastAsia="arial" w:hAnsi="arial" w:cs="arial"/>
            <w:b w:val="0"/>
            <w:i/>
            <w:strike w:val="0"/>
            <w:noProof w:val="0"/>
            <w:color w:val="0077CC"/>
            <w:position w:val="0"/>
            <w:sz w:val="20"/>
            <w:u w:val="single"/>
            <w:vertAlign w:val="baseline"/>
          </w:rPr>
          <w:t>, 830 F.3d at 399</w:t>
        </w:r>
      </w:hyperlink>
      <w:r>
        <w:rPr>
          <w:rFonts w:ascii="arial" w:eastAsia="arial" w:hAnsi="arial" w:cs="arial"/>
          <w:b w:val="0"/>
          <w:i w:val="0"/>
          <w:strike w:val="0"/>
          <w:noProof w:val="0"/>
          <w:color w:val="000000"/>
          <w:position w:val="0"/>
          <w:sz w:val="20"/>
          <w:u w:val="none"/>
          <w:vertAlign w:val="baseline"/>
        </w:rPr>
        <w:t xml:space="preserve">. </w:t>
      </w:r>
      <w:bookmarkStart w:id="80" w:name="Bookmark_I69JW4NX2SF8KF0020000400"/>
      <w:bookmarkEnd w:id="80"/>
      <w:r>
        <w:rPr>
          <w:rFonts w:ascii="arial" w:eastAsia="arial" w:hAnsi="arial" w:cs="arial"/>
          <w:b w:val="0"/>
          <w:i w:val="0"/>
          <w:strike w:val="0"/>
          <w:noProof w:val="0"/>
          <w:color w:val="000000"/>
          <w:position w:val="0"/>
          <w:sz w:val="20"/>
          <w:u w:val="none"/>
          <w:vertAlign w:val="baseline"/>
        </w:rPr>
        <w:t xml:space="preserve">The constitutional right at stake here is the right to "freedom of association in intimate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relationships," a right the Sixth Circuit analyzes under the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t>
      </w:r>
      <w:bookmarkStart w:id="81" w:name="Bookmark_I69JW4NX2SF8KF0020000400_2"/>
      <w:bookmarkEnd w:id="81"/>
      <w:bookmarkStart w:id="82" w:name="Bookmark_I69JW4NX2N1R0B0030000400_2"/>
      <w:bookmarkEnd w:id="82"/>
      <w:bookmarkStart w:id="83" w:name="Bookmark_I69JW4NX2N1R0B0020000400"/>
      <w:bookmarkEnd w:id="83"/>
      <w:hyperlink r:id="rId35" w:history="1">
        <w:r>
          <w:rPr>
            <w:rFonts w:ascii="arial" w:eastAsia="arial" w:hAnsi="arial" w:cs="arial"/>
            <w:b w:val="0"/>
            <w:i/>
            <w:strike w:val="0"/>
            <w:noProof w:val="0"/>
            <w:color w:val="0077CC"/>
            <w:position w:val="0"/>
            <w:sz w:val="20"/>
            <w:u w:val="single"/>
            <w:vertAlign w:val="baseline"/>
          </w:rPr>
          <w:t>Medlin v. City of Algood, Tenn.</w:t>
        </w:r>
      </w:hyperlink>
      <w:hyperlink r:id="rId35" w:history="1">
        <w:r>
          <w:rPr>
            <w:rFonts w:ascii="arial" w:eastAsia="arial" w:hAnsi="arial" w:cs="arial"/>
            <w:b w:val="0"/>
            <w:i/>
            <w:strike w:val="0"/>
            <w:noProof w:val="0"/>
            <w:color w:val="0077CC"/>
            <w:position w:val="0"/>
            <w:sz w:val="20"/>
            <w:u w:val="single"/>
            <w:vertAlign w:val="baseline"/>
          </w:rPr>
          <w:t>, 814 F. App'x 7, 18 (6th Cir. 2020)</w:t>
        </w:r>
      </w:hyperlink>
      <w:r>
        <w:rPr>
          <w:rFonts w:ascii="arial" w:eastAsia="arial" w:hAnsi="arial" w:cs="arial"/>
          <w:b w:val="0"/>
          <w:i w:val="0"/>
          <w:strike w:val="0"/>
          <w:noProof w:val="0"/>
          <w:color w:val="000000"/>
          <w:position w:val="0"/>
          <w:sz w:val="20"/>
          <w:u w:val="none"/>
          <w:vertAlign w:val="baseline"/>
        </w:rPr>
        <w:t xml:space="preserve"> (citing </w:t>
      </w:r>
      <w:bookmarkStart w:id="84" w:name="Bookmark_I69JW4NX2N1R0B0040000400"/>
      <w:bookmarkEnd w:id="84"/>
      <w:hyperlink r:id="rId36" w:history="1">
        <w:r>
          <w:rPr>
            <w:rFonts w:ascii="arial" w:eastAsia="arial" w:hAnsi="arial" w:cs="arial"/>
            <w:b w:val="0"/>
            <w:i/>
            <w:strike w:val="0"/>
            <w:noProof w:val="0"/>
            <w:color w:val="0077CC"/>
            <w:position w:val="0"/>
            <w:sz w:val="20"/>
            <w:u w:val="single"/>
            <w:vertAlign w:val="baseline"/>
          </w:rPr>
          <w:t>Roberts v. United States Jaycees</w:t>
        </w:r>
      </w:hyperlink>
      <w:hyperlink r:id="rId36" w:history="1">
        <w:r>
          <w:rPr>
            <w:rFonts w:ascii="arial" w:eastAsia="arial" w:hAnsi="arial" w:cs="arial"/>
            <w:b w:val="0"/>
            <w:i/>
            <w:strike w:val="0"/>
            <w:noProof w:val="0"/>
            <w:color w:val="0077CC"/>
            <w:position w:val="0"/>
            <w:sz w:val="20"/>
            <w:u w:val="single"/>
            <w:vertAlign w:val="baseline"/>
          </w:rPr>
          <w:t>, 468 U.S. 609, 104 S.Ct. 3244, 82 L.Ed.2d 462 (1984)</w:t>
        </w:r>
      </w:hyperlink>
      <w:r>
        <w:rPr>
          <w:rFonts w:ascii="arial" w:eastAsia="arial" w:hAnsi="arial" w:cs="arial"/>
          <w:b w:val="0"/>
          <w:i w:val="0"/>
          <w:strike w:val="0"/>
          <w:noProof w:val="0"/>
          <w:color w:val="000000"/>
          <w:position w:val="0"/>
          <w:sz w:val="20"/>
          <w:u w:val="none"/>
          <w:vertAlign w:val="baseline"/>
        </w:rPr>
        <w:t xml:space="preserve">) (other citation omitted). "[C]hoices to enter into and maintain certain intimate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relationships must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 secured against undue intrusion by the State because of the role of such relationships in safeguarding the individual freedom that is central to our constitutional scheme." </w:t>
      </w:r>
      <w:bookmarkStart w:id="85" w:name="Bookmark_I69JW4NX2SF8KF0010000400"/>
      <w:bookmarkEnd w:id="85"/>
      <w:hyperlink r:id="rId37" w:history="1">
        <w:r>
          <w:rPr>
            <w:rFonts w:ascii="arial" w:eastAsia="arial" w:hAnsi="arial" w:cs="arial"/>
            <w:b w:val="0"/>
            <w:i/>
            <w:strike w:val="0"/>
            <w:noProof w:val="0"/>
            <w:color w:val="0077CC"/>
            <w:position w:val="0"/>
            <w:sz w:val="20"/>
            <w:u w:val="single"/>
            <w:vertAlign w:val="baseline"/>
          </w:rPr>
          <w:t>Anderson v. City of LaVergne</w:t>
        </w:r>
      </w:hyperlink>
      <w:hyperlink r:id="rId37" w:history="1">
        <w:r>
          <w:rPr>
            <w:rFonts w:ascii="arial" w:eastAsia="arial" w:hAnsi="arial" w:cs="arial"/>
            <w:b w:val="0"/>
            <w:i/>
            <w:strike w:val="0"/>
            <w:noProof w:val="0"/>
            <w:color w:val="0077CC"/>
            <w:position w:val="0"/>
            <w:sz w:val="20"/>
            <w:u w:val="single"/>
            <w:vertAlign w:val="baseline"/>
          </w:rPr>
          <w:t>, 371 F.3d 879, 881 (6th Cir. 2004)</w:t>
        </w:r>
      </w:hyperlink>
      <w:r>
        <w:rPr>
          <w:rFonts w:ascii="arial" w:eastAsia="arial" w:hAnsi="arial" w:cs="arial"/>
          <w:b w:val="0"/>
          <w:i w:val="0"/>
          <w:strike w:val="0"/>
          <w:noProof w:val="0"/>
          <w:color w:val="000000"/>
          <w:position w:val="0"/>
          <w:sz w:val="20"/>
          <w:u w:val="none"/>
          <w:vertAlign w:val="baseline"/>
        </w:rPr>
        <w:t xml:space="preserve"> (quoting </w:t>
      </w:r>
      <w:bookmarkStart w:id="86" w:name="Bookmark_I69JW4NX2SF8KF0030000400"/>
      <w:bookmarkEnd w:id="86"/>
      <w:hyperlink r:id="rId36" w:history="1">
        <w:r>
          <w:rPr>
            <w:rFonts w:ascii="arial" w:eastAsia="arial" w:hAnsi="arial" w:cs="arial"/>
            <w:b w:val="0"/>
            <w:i/>
            <w:strike w:val="0"/>
            <w:noProof w:val="0"/>
            <w:color w:val="0077CC"/>
            <w:position w:val="0"/>
            <w:sz w:val="20"/>
            <w:u w:val="single"/>
            <w:vertAlign w:val="baseline"/>
          </w:rPr>
          <w:t>Roberts</w:t>
        </w:r>
      </w:hyperlink>
      <w:hyperlink r:id="rId36" w:history="1">
        <w:r>
          <w:rPr>
            <w:rFonts w:ascii="arial" w:eastAsia="arial" w:hAnsi="arial" w:cs="arial"/>
            <w:b w:val="0"/>
            <w:i/>
            <w:strike w:val="0"/>
            <w:noProof w:val="0"/>
            <w:color w:val="0077CC"/>
            <w:position w:val="0"/>
            <w:sz w:val="20"/>
            <w:u w:val="single"/>
            <w:vertAlign w:val="baseline"/>
          </w:rPr>
          <w:t>, 468 U.S. at 617-18, 104 S.Ct. 3244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18"/>
      <w:bookmarkEnd w:id="87"/>
      <w:bookmarkStart w:id="88" w:name="Bookmark_I69JW4NX2D6N680010000400"/>
      <w:bookmarkEnd w:id="88"/>
      <w:bookmarkStart w:id="89" w:name="Bookmark_I69JW4NX2D6N680050000400"/>
      <w:bookmarkEnd w:id="89"/>
      <w:r>
        <w:rPr>
          <w:rFonts w:ascii="arial" w:eastAsia="arial" w:hAnsi="arial" w:cs="arial"/>
          <w:b w:val="0"/>
          <w:i w:val="0"/>
          <w:strike w:val="0"/>
          <w:noProof w:val="0"/>
          <w:color w:val="000000"/>
          <w:position w:val="0"/>
          <w:sz w:val="20"/>
          <w:u w:val="none"/>
          <w:vertAlign w:val="baseline"/>
        </w:rPr>
        <w:t xml:space="preserve">The Court of Appeals has commented that a "[p]ersonal friendship is protected as an intimate association." </w:t>
      </w:r>
      <w:bookmarkStart w:id="90" w:name="Bookmark_I69JW4NX2SF8KF0050000400"/>
      <w:bookmarkEnd w:id="90"/>
      <w:hyperlink r:id="rId38" w:history="1">
        <w:r>
          <w:rPr>
            <w:rFonts w:ascii="arial" w:eastAsia="arial" w:hAnsi="arial" w:cs="arial"/>
            <w:b w:val="0"/>
            <w:i/>
            <w:strike w:val="0"/>
            <w:noProof w:val="0"/>
            <w:color w:val="0077CC"/>
            <w:position w:val="0"/>
            <w:sz w:val="20"/>
            <w:u w:val="single"/>
            <w:vertAlign w:val="baseline"/>
          </w:rPr>
          <w:t>Akers v. McGinnis</w:t>
        </w:r>
      </w:hyperlink>
      <w:hyperlink r:id="rId38" w:history="1">
        <w:r>
          <w:rPr>
            <w:rFonts w:ascii="arial" w:eastAsia="arial" w:hAnsi="arial" w:cs="arial"/>
            <w:b w:val="0"/>
            <w:i/>
            <w:strike w:val="0"/>
            <w:noProof w:val="0"/>
            <w:color w:val="0077CC"/>
            <w:position w:val="0"/>
            <w:sz w:val="20"/>
            <w:u w:val="single"/>
            <w:vertAlign w:val="baseline"/>
          </w:rPr>
          <w:t>, 352 F.3d 1030, 1039-40 (6th Cir. 2003)</w:t>
        </w:r>
      </w:hyperlink>
      <w:r>
        <w:rPr>
          <w:rFonts w:ascii="arial" w:eastAsia="arial" w:hAnsi="arial" w:cs="arial"/>
          <w:b w:val="0"/>
          <w:i w:val="0"/>
          <w:strike w:val="0"/>
          <w:noProof w:val="0"/>
          <w:color w:val="000000"/>
          <w:position w:val="0"/>
          <w:sz w:val="20"/>
          <w:u w:val="none"/>
          <w:vertAlign w:val="baseline"/>
        </w:rPr>
        <w:t xml:space="preserve">; </w:t>
      </w:r>
      <w:bookmarkStart w:id="91" w:name="Bookmark_I69JW4NX2D6N680020000400"/>
      <w:bookmarkEnd w:id="91"/>
      <w:hyperlink r:id="rId37" w:history="1">
        <w:r>
          <w:rPr>
            <w:rFonts w:ascii="arial" w:eastAsia="arial" w:hAnsi="arial" w:cs="arial"/>
            <w:b w:val="0"/>
            <w:i/>
            <w:strike w:val="0"/>
            <w:noProof w:val="0"/>
            <w:color w:val="0077CC"/>
            <w:position w:val="0"/>
            <w:sz w:val="20"/>
            <w:u w:val="single"/>
            <w:vertAlign w:val="baseline"/>
          </w:rPr>
          <w:t>Anderson</w:t>
        </w:r>
      </w:hyperlink>
      <w:hyperlink r:id="rId37" w:history="1">
        <w:r>
          <w:rPr>
            <w:rFonts w:ascii="arial" w:eastAsia="arial" w:hAnsi="arial" w:cs="arial"/>
            <w:b w:val="0"/>
            <w:i/>
            <w:strike w:val="0"/>
            <w:noProof w:val="0"/>
            <w:color w:val="0077CC"/>
            <w:position w:val="0"/>
            <w:sz w:val="20"/>
            <w:u w:val="single"/>
            <w:vertAlign w:val="baseline"/>
          </w:rPr>
          <w:t>, 371 F.3d at 882</w:t>
        </w:r>
      </w:hyperlink>
      <w:r>
        <w:rPr>
          <w:rFonts w:ascii="arial" w:eastAsia="arial" w:hAnsi="arial" w:cs="arial"/>
          <w:b w:val="0"/>
          <w:i w:val="0"/>
          <w:strike w:val="0"/>
          <w:noProof w:val="0"/>
          <w:color w:val="000000"/>
          <w:position w:val="0"/>
          <w:sz w:val="20"/>
          <w:u w:val="none"/>
          <w:vertAlign w:val="baseline"/>
        </w:rPr>
        <w:t xml:space="preserve"> ("Therefore, in addition to marriage, courts have recognized both personal friendships and non-marital romantic relationships as the types of 'highly personal relationships' within the ambit of intimate associations contemplated by </w:t>
      </w:r>
      <w:r>
        <w:rPr>
          <w:rFonts w:ascii="arial" w:eastAsia="arial" w:hAnsi="arial" w:cs="arial"/>
          <w:b w:val="0"/>
          <w:i/>
          <w:strike w:val="0"/>
          <w:noProof w:val="0"/>
          <w:color w:val="000000"/>
          <w:position w:val="0"/>
          <w:sz w:val="20"/>
          <w:u w:val="none"/>
          <w:vertAlign w:val="baseline"/>
        </w:rPr>
        <w:t>Roberts</w:t>
      </w:r>
      <w:r>
        <w:rPr>
          <w:rFonts w:ascii="arial" w:eastAsia="arial" w:hAnsi="arial" w:cs="arial"/>
          <w:b w:val="0"/>
          <w:i w:val="0"/>
          <w:strike w:val="0"/>
          <w:noProof w:val="0"/>
          <w:color w:val="000000"/>
          <w:position w:val="0"/>
          <w:sz w:val="20"/>
          <w:u w:val="none"/>
          <w:vertAlign w:val="baseline"/>
        </w:rPr>
        <w:t xml:space="preserve">."). </w:t>
      </w:r>
      <w:bookmarkStart w:id="92" w:name="Bookmark_I69JW4NY2N1R0N0020000400"/>
      <w:bookmarkEnd w:id="92"/>
      <w:r>
        <w:rPr>
          <w:rFonts w:ascii="arial" w:eastAsia="arial" w:hAnsi="arial" w:cs="arial"/>
          <w:b w:val="0"/>
          <w:i w:val="0"/>
          <w:strike w:val="0"/>
          <w:noProof w:val="0"/>
          <w:color w:val="000000"/>
          <w:position w:val="0"/>
          <w:sz w:val="20"/>
          <w:u w:val="none"/>
          <w:vertAlign w:val="baseline"/>
        </w:rPr>
        <w:t xml:space="preserve">The fact remains that courts still look to the nature and characteristics of a particular relationship to determine whether the association is entitled to constitutional protection. </w:t>
      </w:r>
      <w:bookmarkStart w:id="93" w:name="Bookmark_I69JW4NY2N1R0N0040000400"/>
      <w:bookmarkEnd w:id="93"/>
      <w:bookmarkStart w:id="94" w:name="Bookmark_I69JW4NX2D6N680040000400"/>
      <w:bookmarkEnd w:id="94"/>
      <w:hyperlink r:id="rId39" w:history="1">
        <w:r>
          <w:rPr>
            <w:rFonts w:ascii="arial" w:eastAsia="arial" w:hAnsi="arial" w:cs="arial"/>
            <w:b w:val="0"/>
            <w:i/>
            <w:strike w:val="0"/>
            <w:noProof w:val="0"/>
            <w:color w:val="0077CC"/>
            <w:position w:val="0"/>
            <w:sz w:val="20"/>
            <w:u w:val="single"/>
            <w:vertAlign w:val="baseline"/>
          </w:rPr>
          <w:t>Marcum v. McWhorter</w:t>
        </w:r>
      </w:hyperlink>
      <w:hyperlink r:id="rId39" w:history="1">
        <w:r>
          <w:rPr>
            <w:rFonts w:ascii="arial" w:eastAsia="arial" w:hAnsi="arial" w:cs="arial"/>
            <w:b w:val="0"/>
            <w:i/>
            <w:strike w:val="0"/>
            <w:noProof w:val="0"/>
            <w:color w:val="0077CC"/>
            <w:position w:val="0"/>
            <w:sz w:val="20"/>
            <w:u w:val="single"/>
            <w:vertAlign w:val="baseline"/>
          </w:rPr>
          <w:t>, 308 F.3d 635, 640 (6th Cir. 2002)</w:t>
        </w:r>
      </w:hyperlink>
      <w:r>
        <w:rPr>
          <w:rFonts w:ascii="arial" w:eastAsia="arial" w:hAnsi="arial" w:cs="arial"/>
          <w:b w:val="0"/>
          <w:i w:val="0"/>
          <w:strike w:val="0"/>
          <w:noProof w:val="0"/>
          <w:color w:val="000000"/>
          <w:position w:val="0"/>
          <w:sz w:val="20"/>
          <w:u w:val="none"/>
          <w:vertAlign w:val="baseline"/>
        </w:rPr>
        <w:t xml:space="preserve"> ("While there are relationships other than those between family members that may be afforded constitutional protection, it does not follow that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relationship that could be objectively qualified as 'intimate' should be protected."). </w:t>
      </w:r>
      <w:bookmarkStart w:id="95" w:name="Bookmark_I69JW4NY2N1R0N0040000400_2"/>
      <w:bookmarkEnd w:id="95"/>
      <w:bookmarkStart w:id="96" w:name="Bookmark_I69JW4NY2N1R0N0020000400_2"/>
      <w:bookmarkEnd w:id="96"/>
      <w:r>
        <w:rPr>
          <w:rFonts w:ascii="arial" w:eastAsia="arial" w:hAnsi="arial" w:cs="arial"/>
          <w:b w:val="0"/>
          <w:i w:val="0"/>
          <w:strike w:val="0"/>
          <w:noProof w:val="0"/>
          <w:color w:val="000000"/>
          <w:position w:val="0"/>
          <w:sz w:val="20"/>
          <w:u w:val="none"/>
          <w:vertAlign w:val="baseline"/>
        </w:rPr>
        <w:t>Whether "a particular relationship is protected by the Constitution depends on its characteristics" and requires "a careful assessment of where that relationship's objective characteristics locate it on a spectrum from the most intimate to</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most attenuated of personal attachments." </w:t>
      </w:r>
      <w:bookmarkStart w:id="97" w:name="Bookmark_I69JW4NY2N1R0N0010000400"/>
      <w:bookmarkEnd w:id="97"/>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640</w:t>
        </w:r>
      </w:hyperlink>
      <w:r>
        <w:rPr>
          <w:rFonts w:ascii="arial" w:eastAsia="arial" w:hAnsi="arial" w:cs="arial"/>
          <w:b w:val="0"/>
          <w:i w:val="0"/>
          <w:strike w:val="0"/>
          <w:noProof w:val="0"/>
          <w:color w:val="000000"/>
          <w:position w:val="0"/>
          <w:sz w:val="20"/>
          <w:u w:val="none"/>
          <w:vertAlign w:val="baseline"/>
        </w:rPr>
        <w:t xml:space="preserve">. The Court of Appeals has "emphasized that protection is afforded to those relationships that presuppose deep attachments and commitments to the necessarily few other individuals with whom one shares not only a special community of thoughts, experiences, and beliefs but also distinctively personal aspects of one's life." </w:t>
      </w:r>
      <w:bookmarkStart w:id="98" w:name="Bookmark_I69JW4NY2N1R0N0030000400"/>
      <w:bookmarkEnd w:id="98"/>
      <w:hyperlink r:id="rId35" w:history="1">
        <w:r>
          <w:rPr>
            <w:rFonts w:ascii="arial" w:eastAsia="arial" w:hAnsi="arial" w:cs="arial"/>
            <w:b w:val="0"/>
            <w:i/>
            <w:strike w:val="0"/>
            <w:noProof w:val="0"/>
            <w:color w:val="0077CC"/>
            <w:position w:val="0"/>
            <w:sz w:val="20"/>
            <w:u w:val="single"/>
            <w:vertAlign w:val="baseline"/>
          </w:rPr>
          <w:t>Medlin</w:t>
        </w:r>
      </w:hyperlink>
      <w:hyperlink r:id="rId35" w:history="1">
        <w:r>
          <w:rPr>
            <w:rFonts w:ascii="arial" w:eastAsia="arial" w:hAnsi="arial" w:cs="arial"/>
            <w:b w:val="0"/>
            <w:i/>
            <w:strike w:val="0"/>
            <w:noProof w:val="0"/>
            <w:color w:val="0077CC"/>
            <w:position w:val="0"/>
            <w:sz w:val="20"/>
            <w:u w:val="single"/>
            <w:vertAlign w:val="baseline"/>
          </w:rPr>
          <w:t>, 814 F. App'x at 18</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69JW4NY2N1R0N0050000400"/>
      <w:bookmarkEnd w:id="99"/>
      <w:hyperlink r:id="rId40" w:history="1">
        <w:r>
          <w:rPr>
            <w:rFonts w:ascii="arial" w:eastAsia="arial" w:hAnsi="arial" w:cs="arial"/>
            <w:b w:val="0"/>
            <w:i/>
            <w:strike w:val="0"/>
            <w:noProof w:val="0"/>
            <w:color w:val="0077CC"/>
            <w:position w:val="0"/>
            <w:sz w:val="20"/>
            <w:u w:val="single"/>
            <w:vertAlign w:val="baseline"/>
          </w:rPr>
          <w:t>Bd. of Dirs. of Rotary Int'l v. Rotary Club of Duarte</w:t>
        </w:r>
      </w:hyperlink>
      <w:hyperlink r:id="rId40" w:history="1">
        <w:r>
          <w:rPr>
            <w:rFonts w:ascii="arial" w:eastAsia="arial" w:hAnsi="arial" w:cs="arial"/>
            <w:b w:val="0"/>
            <w:i/>
            <w:strike w:val="0"/>
            <w:noProof w:val="0"/>
            <w:color w:val="0077CC"/>
            <w:position w:val="0"/>
            <w:sz w:val="20"/>
            <w:u w:val="single"/>
            <w:vertAlign w:val="baseline"/>
          </w:rPr>
          <w:t>, 481 U.S. 537, 545, 107 S.Ct. 1940, 95 L.Ed.2d 474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0" w:name="Bookmark_para_19"/>
      <w:bookmarkEnd w:id="100"/>
      <w:r>
        <w:rPr>
          <w:rFonts w:ascii="arial" w:eastAsia="arial" w:hAnsi="arial" w:cs="arial"/>
          <w:b w:val="0"/>
          <w:i w:val="0"/>
          <w:strike w:val="0"/>
          <w:noProof w:val="0"/>
          <w:color w:val="000000"/>
          <w:position w:val="0"/>
          <w:sz w:val="20"/>
          <w:u w:val="none"/>
          <w:vertAlign w:val="baseline"/>
        </w:rPr>
        <w:t>Accepting as true the allegations of the Complaint and applying these legal standards to the facts alleged in the Complaint, Crowell has arguably failed to allege the existence of an intimate association protected by the Constitution. The Complaint alleges that Crowell was acquainted with Bargery through family members and that she studiously avoided any kind of contact with Bargery during his detention at the Obion County Jail. The Complaint further alleges that after Bargery's release from detention, Crowell had contact with Bargery at a social gathering and after that informed supervisors at the Terrell Clinic and the jail about her friendship with Bargery. Crowell received assurances that her friendship with Bargery did not violate any personnel policy adopted by the clinic or the County. Following Bargery's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acquittal on first degree murder charges, Sheriff Jackson questioned Crowell about her relationship with Bargery. As part of that discussion, Crowell specifically denied that she was involved in a romantic relationship with Bargery and responded that she and Bargery attended the same church.</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02" w:name="Bookmark_para_20"/>
      <w:bookmarkEnd w:id="102"/>
      <w:r>
        <w:rPr>
          <w:rFonts w:ascii="arial" w:eastAsia="arial" w:hAnsi="arial" w:cs="arial"/>
          <w:b w:val="0"/>
          <w:i w:val="0"/>
          <w:strike w:val="0"/>
          <w:noProof w:val="0"/>
          <w:color w:val="000000"/>
          <w:position w:val="0"/>
          <w:sz w:val="20"/>
          <w:u w:val="none"/>
          <w:vertAlign w:val="baseline"/>
        </w:rPr>
        <w:t xml:space="preserve">The Complaint's factual allegations are consistent with a personal friendship, perhaps something more than an acquittance but certainly less than a paramour. Giving Crowell the benefit of the reasonable inferences to be drawn from her allegations, Crowell and Bargery were friends. </w:t>
      </w:r>
      <w:bookmarkStart w:id="103" w:name="Bookmark_I69JW4NY2HM5WW0030000400"/>
      <w:bookmarkEnd w:id="103"/>
      <w:r>
        <w:rPr>
          <w:rFonts w:ascii="arial" w:eastAsia="arial" w:hAnsi="arial" w:cs="arial"/>
          <w:b w:val="0"/>
          <w:i w:val="0"/>
          <w:strike w:val="0"/>
          <w:noProof w:val="0"/>
          <w:color w:val="000000"/>
          <w:position w:val="0"/>
          <w:sz w:val="20"/>
          <w:u w:val="none"/>
          <w:vertAlign w:val="baseline"/>
        </w:rPr>
        <w:t xml:space="preserve">They knew each other "well," Compl. ¶ 21, and spent time together socially, both at family events and at church. The parties disagree over whether the Complaint suggests "deep attachments and commitments" of the sort the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would protect. And while the Court of Appeals has remarked that "personal friendships" are protected intimate associations, </w:t>
      </w:r>
      <w:bookmarkStart w:id="104" w:name="Bookmark_I69JW4NY2HM5WW0020000400"/>
      <w:bookmarkEnd w:id="104"/>
      <w:hyperlink r:id="rId38" w:history="1">
        <w:r>
          <w:rPr>
            <w:rFonts w:ascii="arial" w:eastAsia="arial" w:hAnsi="arial" w:cs="arial"/>
            <w:b w:val="0"/>
            <w:i/>
            <w:strike w:val="0"/>
            <w:noProof w:val="0"/>
            <w:color w:val="0077CC"/>
            <w:position w:val="0"/>
            <w:sz w:val="20"/>
            <w:u w:val="single"/>
            <w:vertAlign w:val="baseline"/>
          </w:rPr>
          <w:t>Akers</w:t>
        </w:r>
      </w:hyperlink>
      <w:hyperlink r:id="rId38" w:history="1">
        <w:r>
          <w:rPr>
            <w:rFonts w:ascii="arial" w:eastAsia="arial" w:hAnsi="arial" w:cs="arial"/>
            <w:b w:val="0"/>
            <w:i/>
            <w:strike w:val="0"/>
            <w:noProof w:val="0"/>
            <w:color w:val="0077CC"/>
            <w:position w:val="0"/>
            <w:sz w:val="20"/>
            <w:u w:val="single"/>
            <w:vertAlign w:val="baseline"/>
          </w:rPr>
          <w:t>, 352 F.3d at 1039-40</w:t>
        </w:r>
      </w:hyperlink>
      <w:r>
        <w:rPr>
          <w:rFonts w:ascii="arial" w:eastAsia="arial" w:hAnsi="arial" w:cs="arial"/>
          <w:b w:val="0"/>
          <w:i w:val="0"/>
          <w:strike w:val="0"/>
          <w:noProof w:val="0"/>
          <w:color w:val="000000"/>
          <w:position w:val="0"/>
          <w:sz w:val="20"/>
          <w:u w:val="none"/>
          <w:vertAlign w:val="baseline"/>
        </w:rPr>
        <w:t>, the Sixth Circuit's comment was arguably dicta. In the final analysis, the Court finds it unnecessary to decide whether the Complaint has alleged an intimate association protected by the Constitution. The parties agree that rational basis review applies to Crowell's constitutional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claims against the Terrell Clinic and Sheriff Jackson. Defendants' actions did not violate Crowell's constitutional rights if Defendants' decision to force Crowell to choose between her job at the jail and continuing her friendship with Bargery had a rational basis.</w:t>
      </w:r>
    </w:p>
    <w:p>
      <w:pPr>
        <w:keepNext w:val="0"/>
        <w:spacing w:before="240" w:after="0" w:line="260" w:lineRule="atLeast"/>
        <w:ind w:left="0" w:right="0" w:firstLine="0"/>
        <w:jc w:val="both"/>
      </w:pPr>
      <w:bookmarkStart w:id="105" w:name="Bookmark_para_21"/>
      <w:bookmarkEnd w:id="105"/>
      <w:bookmarkStart w:id="106" w:name="Bookmark_I69JW4NY2HM5WW0050000400"/>
      <w:bookmarkEnd w:id="106"/>
      <w:bookmarkStart w:id="107" w:name="Bookmark_I69JW4NY2HM5WY0040000400"/>
      <w:bookmarkEnd w:id="107"/>
      <w:r>
        <w:rPr>
          <w:rFonts w:ascii="arial" w:eastAsia="arial" w:hAnsi="arial" w:cs="arial"/>
          <w:b w:val="0"/>
          <w:i w:val="0"/>
          <w:strike w:val="0"/>
          <w:noProof w:val="0"/>
          <w:color w:val="000000"/>
          <w:position w:val="0"/>
          <w:sz w:val="20"/>
          <w:u w:val="none"/>
          <w:vertAlign w:val="baseline"/>
        </w:rPr>
        <w:t xml:space="preserve">The Supreme Court has held that rational-basis review is satisfied "so long as there is a plausible policy reason" for the decision. </w:t>
      </w:r>
      <w:bookmarkStart w:id="108" w:name="Bookmark_I69JW4NY2HM5X10030000400"/>
      <w:bookmarkEnd w:id="108"/>
      <w:bookmarkStart w:id="109" w:name="Bookmark_I69JW4NY2HM5WW0040000400"/>
      <w:bookmarkEnd w:id="109"/>
      <w:hyperlink r:id="rId41" w:history="1">
        <w:r>
          <w:rPr>
            <w:rFonts w:ascii="arial" w:eastAsia="arial" w:hAnsi="arial" w:cs="arial"/>
            <w:b w:val="0"/>
            <w:i/>
            <w:strike w:val="0"/>
            <w:noProof w:val="0"/>
            <w:color w:val="0077CC"/>
            <w:position w:val="0"/>
            <w:sz w:val="20"/>
            <w:u w:val="single"/>
            <w:vertAlign w:val="baseline"/>
          </w:rPr>
          <w:t>Beecham v. Henderson Cnty., Tenn.</w:t>
        </w:r>
      </w:hyperlink>
      <w:hyperlink r:id="rId41" w:history="1">
        <w:r>
          <w:rPr>
            <w:rFonts w:ascii="arial" w:eastAsia="arial" w:hAnsi="arial" w:cs="arial"/>
            <w:b w:val="0"/>
            <w:i/>
            <w:strike w:val="0"/>
            <w:noProof w:val="0"/>
            <w:color w:val="0077CC"/>
            <w:position w:val="0"/>
            <w:sz w:val="20"/>
            <w:u w:val="single"/>
            <w:vertAlign w:val="baseline"/>
          </w:rPr>
          <w:t>, 422 F.3d 372, 378 (6th Cir. 2005)</w:t>
        </w:r>
      </w:hyperlink>
      <w:r>
        <w:rPr>
          <w:rFonts w:ascii="arial" w:eastAsia="arial" w:hAnsi="arial" w:cs="arial"/>
          <w:b w:val="0"/>
          <w:i w:val="0"/>
          <w:strike w:val="0"/>
          <w:noProof w:val="0"/>
          <w:color w:val="000000"/>
          <w:position w:val="0"/>
          <w:sz w:val="20"/>
          <w:u w:val="none"/>
          <w:vertAlign w:val="baseline"/>
        </w:rPr>
        <w:t xml:space="preserve"> (quoting </w:t>
      </w:r>
      <w:bookmarkStart w:id="110" w:name="Bookmark_I69JW4NY2HM5WY0010000400"/>
      <w:bookmarkEnd w:id="110"/>
      <w:hyperlink r:id="rId42" w:history="1">
        <w:r>
          <w:rPr>
            <w:rFonts w:ascii="arial" w:eastAsia="arial" w:hAnsi="arial" w:cs="arial"/>
            <w:b w:val="0"/>
            <w:i/>
            <w:strike w:val="0"/>
            <w:noProof w:val="0"/>
            <w:color w:val="0077CC"/>
            <w:position w:val="0"/>
            <w:sz w:val="20"/>
            <w:u w:val="single"/>
            <w:vertAlign w:val="baseline"/>
          </w:rPr>
          <w:t>Nordlinger v. Hahn</w:t>
        </w:r>
      </w:hyperlink>
      <w:hyperlink r:id="rId42" w:history="1">
        <w:r>
          <w:rPr>
            <w:rFonts w:ascii="arial" w:eastAsia="arial" w:hAnsi="arial" w:cs="arial"/>
            <w:b w:val="0"/>
            <w:i/>
            <w:strike w:val="0"/>
            <w:noProof w:val="0"/>
            <w:color w:val="0077CC"/>
            <w:position w:val="0"/>
            <w:sz w:val="20"/>
            <w:u w:val="single"/>
            <w:vertAlign w:val="baseline"/>
          </w:rPr>
          <w:t>, 505 U.S. 1, 11, 112 S.Ct. 2326, 120 L.Ed.2d 1 (1992)</w:t>
        </w:r>
      </w:hyperlink>
      <w:r>
        <w:rPr>
          <w:rFonts w:ascii="arial" w:eastAsia="arial" w:hAnsi="arial" w:cs="arial"/>
          <w:b w:val="0"/>
          <w:i w:val="0"/>
          <w:strike w:val="0"/>
          <w:noProof w:val="0"/>
          <w:color w:val="000000"/>
          <w:position w:val="0"/>
          <w:sz w:val="20"/>
          <w:u w:val="none"/>
          <w:vertAlign w:val="baseline"/>
        </w:rPr>
        <w:t xml:space="preserve">). </w:t>
      </w:r>
      <w:bookmarkStart w:id="111" w:name="Bookmark_I69JW4NY2HM5X10050000400"/>
      <w:bookmarkEnd w:id="111"/>
      <w:r>
        <w:rPr>
          <w:rFonts w:ascii="arial" w:eastAsia="arial" w:hAnsi="arial" w:cs="arial"/>
          <w:b w:val="0"/>
          <w:i w:val="0"/>
          <w:strike w:val="0"/>
          <w:noProof w:val="0"/>
          <w:color w:val="000000"/>
          <w:position w:val="0"/>
          <w:sz w:val="20"/>
          <w:u w:val="none"/>
          <w:vertAlign w:val="baseline"/>
        </w:rPr>
        <w:t xml:space="preserve">In the context of substantive due process, a court "will be satisfied with the government's rational speculation linking the [policy] to a legitimate purpose, even [if] unsupported by evidence or empirical data." </w:t>
      </w:r>
      <w:bookmarkStart w:id="112" w:name="Bookmark_I69JW4NY2HM5WY0030000400"/>
      <w:bookmarkEnd w:id="112"/>
      <w:hyperlink r:id="rId43" w:history="1">
        <w:r>
          <w:rPr>
            <w:rFonts w:ascii="arial" w:eastAsia="arial" w:hAnsi="arial" w:cs="arial"/>
            <w:b w:val="0"/>
            <w:i/>
            <w:strike w:val="0"/>
            <w:noProof w:val="0"/>
            <w:color w:val="0077CC"/>
            <w:position w:val="0"/>
            <w:sz w:val="20"/>
            <w:u w:val="single"/>
            <w:vertAlign w:val="baseline"/>
          </w:rPr>
          <w:t>Norris v. Stanley</w:t>
        </w:r>
      </w:hyperlink>
      <w:hyperlink r:id="rId43" w:history="1">
        <w:r>
          <w:rPr>
            <w:rFonts w:ascii="arial" w:eastAsia="arial" w:hAnsi="arial" w:cs="arial"/>
            <w:b w:val="0"/>
            <w:i/>
            <w:strike w:val="0"/>
            <w:noProof w:val="0"/>
            <w:color w:val="0077CC"/>
            <w:position w:val="0"/>
            <w:sz w:val="20"/>
            <w:u w:val="single"/>
            <w:vertAlign w:val="baseline"/>
          </w:rPr>
          <w:t>, 73 F.4th 431, 436 (6th Cir. 2023)</w:t>
        </w:r>
      </w:hyperlink>
      <w:r>
        <w:rPr>
          <w:rFonts w:ascii="arial" w:eastAsia="arial" w:hAnsi="arial" w:cs="arial"/>
          <w:b w:val="0"/>
          <w:i w:val="0"/>
          <w:strike w:val="0"/>
          <w:noProof w:val="0"/>
          <w:color w:val="000000"/>
          <w:position w:val="0"/>
          <w:sz w:val="20"/>
          <w:u w:val="none"/>
          <w:vertAlign w:val="baseline"/>
        </w:rPr>
        <w:t xml:space="preserve"> (citing </w:t>
      </w:r>
      <w:bookmarkStart w:id="113" w:name="Bookmark_I69JW4NY2HM5WY0050000400"/>
      <w:bookmarkEnd w:id="113"/>
      <w:hyperlink r:id="rId44" w:history="1">
        <w:r>
          <w:rPr>
            <w:rFonts w:ascii="arial" w:eastAsia="arial" w:hAnsi="arial" w:cs="arial"/>
            <w:b w:val="0"/>
            <w:i/>
            <w:strike w:val="0"/>
            <w:noProof w:val="0"/>
            <w:color w:val="0077CC"/>
            <w:position w:val="0"/>
            <w:sz w:val="20"/>
            <w:u w:val="single"/>
            <w:vertAlign w:val="baseline"/>
          </w:rPr>
          <w:t>Am. Exp. Travel Related Servs. Co. v. Kentucky</w:t>
        </w:r>
      </w:hyperlink>
      <w:hyperlink r:id="rId44" w:history="1">
        <w:r>
          <w:rPr>
            <w:rFonts w:ascii="arial" w:eastAsia="arial" w:hAnsi="arial" w:cs="arial"/>
            <w:b w:val="0"/>
            <w:i/>
            <w:strike w:val="0"/>
            <w:noProof w:val="0"/>
            <w:color w:val="0077CC"/>
            <w:position w:val="0"/>
            <w:sz w:val="20"/>
            <w:u w:val="single"/>
            <w:vertAlign w:val="baseline"/>
          </w:rPr>
          <w:t>, 641 F.3d 685, 690 (6th Cir. 2011)</w:t>
        </w:r>
      </w:hyperlink>
      <w:r>
        <w:rPr>
          <w:rFonts w:ascii="arial" w:eastAsia="arial" w:hAnsi="arial" w:cs="arial"/>
          <w:b w:val="0"/>
          <w:i w:val="0"/>
          <w:strike w:val="0"/>
          <w:noProof w:val="0"/>
          <w:color w:val="000000"/>
          <w:position w:val="0"/>
          <w:sz w:val="20"/>
          <w:u w:val="none"/>
          <w:vertAlign w:val="baseline"/>
        </w:rPr>
        <w:t xml:space="preserve">). </w:t>
      </w:r>
      <w:bookmarkStart w:id="114" w:name="Bookmark_I69JW4NY2HM5X10050000400_2"/>
      <w:bookmarkEnd w:id="114"/>
      <w:bookmarkStart w:id="115" w:name="Bookmark_I69JW4NY2HM5X10030000400_2"/>
      <w:bookmarkEnd w:id="115"/>
      <w:bookmarkStart w:id="116" w:name="Bookmark_I69JW4P02HM5X40040000400"/>
      <w:bookmarkEnd w:id="116"/>
      <w:r>
        <w:rPr>
          <w:rFonts w:ascii="arial" w:eastAsia="arial" w:hAnsi="arial" w:cs="arial"/>
          <w:b w:val="0"/>
          <w:i w:val="0"/>
          <w:strike w:val="0"/>
          <w:noProof w:val="0"/>
          <w:color w:val="000000"/>
          <w:position w:val="0"/>
          <w:sz w:val="20"/>
          <w:u w:val="none"/>
          <w:vertAlign w:val="baseline"/>
        </w:rPr>
        <w:t xml:space="preserve">"[I]t is entirely irrelevant for constitutional purposes whether the conceived reason for the challenged distinction actually motivated the [government]." </w:t>
      </w:r>
      <w:bookmarkStart w:id="117" w:name="Bookmark_I69JW4NY2HM5X10020000400"/>
      <w:bookmarkEnd w:id="117"/>
      <w:hyperlink r:id="rId45" w:history="1">
        <w:r>
          <w:rPr>
            <w:rFonts w:ascii="arial" w:eastAsia="arial" w:hAnsi="arial" w:cs="arial"/>
            <w:b w:val="0"/>
            <w:i/>
            <w:strike w:val="0"/>
            <w:noProof w:val="0"/>
            <w:color w:val="0077CC"/>
            <w:position w:val="0"/>
            <w:sz w:val="20"/>
            <w:u w:val="single"/>
            <w:vertAlign w:val="baseline"/>
          </w:rPr>
          <w:t>U.S. v. Lopez</w:t>
        </w:r>
      </w:hyperlink>
      <w:hyperlink r:id="rId45" w:history="1">
        <w:r>
          <w:rPr>
            <w:rFonts w:ascii="arial" w:eastAsia="arial" w:hAnsi="arial" w:cs="arial"/>
            <w:b w:val="0"/>
            <w:i/>
            <w:strike w:val="0"/>
            <w:noProof w:val="0"/>
            <w:color w:val="0077CC"/>
            <w:position w:val="0"/>
            <w:sz w:val="20"/>
            <w:u w:val="single"/>
            <w:vertAlign w:val="baseline"/>
          </w:rPr>
          <w:t>, 514 U.S. 549, 613, 115 S.Ct. 1624, 131 L.Ed.2d 626 (1995)</w:t>
        </w:r>
      </w:hyperlink>
      <w:r>
        <w:rPr>
          <w:rFonts w:ascii="arial" w:eastAsia="arial" w:hAnsi="arial" w:cs="arial"/>
          <w:b w:val="0"/>
          <w:i w:val="0"/>
          <w:strike w:val="0"/>
          <w:noProof w:val="0"/>
          <w:color w:val="000000"/>
          <w:position w:val="0"/>
          <w:sz w:val="20"/>
          <w:u w:val="none"/>
          <w:vertAlign w:val="baseline"/>
        </w:rPr>
        <w:t xml:space="preserve"> (citations and quotation marks omitted). </w:t>
      </w:r>
      <w:bookmarkStart w:id="118" w:name="Bookmark_I69JW4P02HM5X40040000400_2"/>
      <w:bookmarkEnd w:id="118"/>
      <w:r>
        <w:rPr>
          <w:rFonts w:ascii="arial" w:eastAsia="arial" w:hAnsi="arial" w:cs="arial"/>
          <w:b w:val="0"/>
          <w:i w:val="0"/>
          <w:strike w:val="0"/>
          <w:noProof w:val="0"/>
          <w:color w:val="000000"/>
          <w:position w:val="0"/>
          <w:sz w:val="20"/>
          <w:u w:val="none"/>
          <w:vertAlign w:val="baseline"/>
        </w:rPr>
        <w:t xml:space="preserve">"[A]ny </w:t>
      </w:r>
      <w:r>
        <w:rPr>
          <w:rFonts w:ascii="arial" w:eastAsia="arial" w:hAnsi="arial" w:cs="arial"/>
          <w:b w:val="0"/>
          <w:i/>
          <w:strike w:val="0"/>
          <w:noProof w:val="0"/>
          <w:color w:val="000000"/>
          <w:position w:val="0"/>
          <w:sz w:val="20"/>
          <w:u w:val="none"/>
          <w:vertAlign w:val="baseline"/>
        </w:rPr>
        <w:t>conceivable</w:t>
      </w:r>
      <w:r>
        <w:rPr>
          <w:rFonts w:ascii="arial" w:eastAsia="arial" w:hAnsi="arial" w:cs="arial"/>
          <w:b w:val="0"/>
          <w:i w:val="0"/>
          <w:strike w:val="0"/>
          <w:noProof w:val="0"/>
          <w:color w:val="000000"/>
          <w:position w:val="0"/>
          <w:sz w:val="20"/>
          <w:u w:val="none"/>
          <w:vertAlign w:val="baseline"/>
        </w:rPr>
        <w:t xml:space="preserve"> legitimate governmental interest will do." </w:t>
      </w:r>
      <w:bookmarkStart w:id="119" w:name="Bookmark_I69JW4NY2HM5X10040000400"/>
      <w:bookmarkEnd w:id="119"/>
      <w:hyperlink r:id="rId46" w:history="1">
        <w:r>
          <w:rPr>
            <w:rFonts w:ascii="arial" w:eastAsia="arial" w:hAnsi="arial" w:cs="arial"/>
            <w:b w:val="0"/>
            <w:i/>
            <w:strike w:val="0"/>
            <w:noProof w:val="0"/>
            <w:color w:val="0077CC"/>
            <w:position w:val="0"/>
            <w:sz w:val="20"/>
            <w:u w:val="single"/>
            <w:vertAlign w:val="baseline"/>
          </w:rPr>
          <w:t>Strehlke v. Grosse Pointe Public Sch. Sys.</w:t>
        </w:r>
      </w:hyperlink>
      <w:hyperlink r:id="rId46" w:history="1">
        <w:r>
          <w:rPr>
            <w:rFonts w:ascii="arial" w:eastAsia="arial" w:hAnsi="arial" w:cs="arial"/>
            <w:b w:val="0"/>
            <w:i/>
            <w:strike w:val="0"/>
            <w:noProof w:val="0"/>
            <w:color w:val="0077CC"/>
            <w:position w:val="0"/>
            <w:sz w:val="20"/>
            <w:u w:val="single"/>
            <w:vertAlign w:val="baseline"/>
          </w:rPr>
          <w:t>, 654 F. App'x 713, 719 (6th Cir. 2016)</w:t>
        </w:r>
      </w:hyperlink>
      <w:r>
        <w:rPr>
          <w:rFonts w:ascii="arial" w:eastAsia="arial" w:hAnsi="arial" w:cs="arial"/>
          <w:b w:val="0"/>
          <w:i w:val="0"/>
          <w:strike w:val="0"/>
          <w:noProof w:val="0"/>
          <w:color w:val="000000"/>
          <w:position w:val="0"/>
          <w:sz w:val="20"/>
          <w:u w:val="none"/>
          <w:vertAlign w:val="baseline"/>
        </w:rPr>
        <w:t xml:space="preserve"> (quoting </w:t>
      </w:r>
      <w:bookmarkStart w:id="120" w:name="Bookmark_I69JW4P02HM5X40010000400"/>
      <w:bookmarkEnd w:id="120"/>
      <w:r>
        <w:rPr>
          <w:rFonts w:ascii="arial" w:eastAsia="arial" w:hAnsi="arial" w:cs="arial"/>
          <w:b w:val="0"/>
          <w:i/>
          <w:strike w:val="0"/>
          <w:noProof w:val="0"/>
          <w:color w:val="000000"/>
          <w:position w:val="0"/>
          <w:sz w:val="20"/>
          <w:u w:val="none"/>
          <w:vertAlign w:val="baseline"/>
        </w:rPr>
        <w:t>Fednav, Ltd. v. Chester</w:t>
      </w:r>
      <w:r>
        <w:rPr>
          <w:rFonts w:ascii="arial" w:eastAsia="arial" w:hAnsi="arial" w:cs="arial"/>
          <w:b w:val="0"/>
          <w:i/>
          <w:strike w:val="0"/>
          <w:noProof w:val="0"/>
          <w:color w:val="000000"/>
          <w:position w:val="0"/>
          <w:sz w:val="20"/>
          <w:u w:val="none"/>
          <w:vertAlign w:val="baseline"/>
        </w:rPr>
        <w:t>, 547 F.3d 607, 624-25 (6th Cir. 2008)</w:t>
      </w:r>
      <w:r>
        <w:rPr>
          <w:rFonts w:ascii="arial" w:eastAsia="arial" w:hAnsi="arial" w:cs="arial"/>
          <w:b w:val="0"/>
          <w:i w:val="0"/>
          <w:strike w:val="0"/>
          <w:noProof w:val="0"/>
          <w:color w:val="000000"/>
          <w:position w:val="0"/>
          <w:sz w:val="20"/>
          <w:u w:val="none"/>
          <w:vertAlign w:val="baseline"/>
        </w:rPr>
        <w:t xml:space="preserve">). </w:t>
      </w:r>
      <w:bookmarkStart w:id="121" w:name="Bookmark_I69JW4P02HM5X40040000400_3"/>
      <w:bookmarkEnd w:id="121"/>
      <w:r>
        <w:rPr>
          <w:rFonts w:ascii="arial" w:eastAsia="arial" w:hAnsi="arial" w:cs="arial"/>
          <w:b w:val="0"/>
          <w:i w:val="0"/>
          <w:strike w:val="0"/>
          <w:noProof w:val="0"/>
          <w:color w:val="000000"/>
          <w:position w:val="0"/>
          <w:sz w:val="20"/>
          <w:u w:val="none"/>
          <w:vertAlign w:val="baseline"/>
        </w:rPr>
        <w:t xml:space="preserve">In order for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to survive a motion to dismiss in the context of rational basis review, "a plaintiff must allege facts sufficient to overcome the presumption of rationality that applies to government classifications." </w:t>
      </w:r>
      <w:bookmarkStart w:id="122" w:name="Bookmark_I69JW4P02HM5X40030000400"/>
      <w:bookmarkEnd w:id="122"/>
      <w:hyperlink r:id="rId47" w:history="1">
        <w:r>
          <w:rPr>
            <w:rFonts w:ascii="arial" w:eastAsia="arial" w:hAnsi="arial" w:cs="arial"/>
            <w:b w:val="0"/>
            <w:i/>
            <w:strike w:val="0"/>
            <w:noProof w:val="0"/>
            <w:color w:val="0077CC"/>
            <w:position w:val="0"/>
            <w:sz w:val="20"/>
            <w:u w:val="single"/>
            <w:vertAlign w:val="baseline"/>
          </w:rPr>
          <w:t>Andrews, Tr. of Gloria M. Andrews Trust Dated April 23, 1998 v. City of Mentor, Ohio</w:t>
        </w:r>
      </w:hyperlink>
      <w:hyperlink r:id="rId47" w:history="1">
        <w:r>
          <w:rPr>
            <w:rFonts w:ascii="arial" w:eastAsia="arial" w:hAnsi="arial" w:cs="arial"/>
            <w:b w:val="0"/>
            <w:i/>
            <w:strike w:val="0"/>
            <w:noProof w:val="0"/>
            <w:color w:val="0077CC"/>
            <w:position w:val="0"/>
            <w:sz w:val="20"/>
            <w:u w:val="single"/>
            <w:vertAlign w:val="baseline"/>
          </w:rPr>
          <w:t>, 11 F.4th 462, 475 (6th Cir. 2021)</w:t>
        </w:r>
      </w:hyperlink>
      <w:r>
        <w:rPr>
          <w:rFonts w:ascii="arial" w:eastAsia="arial" w:hAnsi="arial" w:cs="arial"/>
          <w:b w:val="0"/>
          <w:i w:val="0"/>
          <w:strike w:val="0"/>
          <w:noProof w:val="0"/>
          <w:color w:val="000000"/>
          <w:position w:val="0"/>
          <w:sz w:val="20"/>
          <w:u w:val="none"/>
          <w:vertAlign w:val="baseline"/>
        </w:rPr>
        <w:t xml:space="preserve"> (quoting </w:t>
      </w:r>
      <w:bookmarkStart w:id="123" w:name="Bookmark_I69JW4P02HM5X40050000400"/>
      <w:bookmarkEnd w:id="123"/>
      <w:hyperlink r:id="rId48" w:history="1">
        <w:r>
          <w:rPr>
            <w:rFonts w:ascii="arial" w:eastAsia="arial" w:hAnsi="arial" w:cs="arial"/>
            <w:b w:val="0"/>
            <w:i/>
            <w:strike w:val="0"/>
            <w:noProof w:val="0"/>
            <w:color w:val="0077CC"/>
            <w:position w:val="0"/>
            <w:sz w:val="20"/>
            <w:u w:val="single"/>
            <w:vertAlign w:val="baseline"/>
          </w:rPr>
          <w:t>In re City of Detroit</w:t>
        </w:r>
      </w:hyperlink>
      <w:hyperlink r:id="rId48" w:history="1">
        <w:r>
          <w:rPr>
            <w:rFonts w:ascii="arial" w:eastAsia="arial" w:hAnsi="arial" w:cs="arial"/>
            <w:b w:val="0"/>
            <w:i/>
            <w:strike w:val="0"/>
            <w:noProof w:val="0"/>
            <w:color w:val="0077CC"/>
            <w:position w:val="0"/>
            <w:sz w:val="20"/>
            <w:u w:val="single"/>
            <w:vertAlign w:val="baseline"/>
          </w:rPr>
          <w:t>, 841 F.3d 684, 701 (6th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22"/>
      <w:bookmarkEnd w:id="124"/>
      <w:r>
        <w:rPr>
          <w:rFonts w:ascii="arial" w:eastAsia="arial" w:hAnsi="arial" w:cs="arial"/>
          <w:b w:val="0"/>
          <w:i w:val="0"/>
          <w:strike w:val="0"/>
          <w:noProof w:val="0"/>
          <w:color w:val="000000"/>
          <w:position w:val="0"/>
          <w:sz w:val="20"/>
          <w:u w:val="none"/>
          <w:vertAlign w:val="baseline"/>
        </w:rPr>
        <w:t>Assuming without deciding that Crowell has alleged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government interference with a personal friendship protected under the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Defendants' conduct still passes constitutional muster under the rational basis standard. From the perspective of Sheriff Jackson, a friendship between a contractor employed at the jail and a recent detainee at the jail could raise a number of security and personnel concerns at the facility. Sheriff Jackson asserts in his opening brief that "[d]ue to Bargery's lengthy incarceration, he indisputably would have connections with the inmate population in the Jail, allowing for him to potentially leverage his relationship with Plaintiff to transport contraband if he so chose." Defs.' Mot. to Dismiss 8 (ECF No. 16-1). Rather than treat each situation on a case-by-case basis, it was rational for Sheriff Jackson to decide that no outside contractor or any other jail employee should have personal relationships with former detainees at the jail.</w:t>
      </w:r>
    </w:p>
    <w:p>
      <w:pPr>
        <w:keepNext w:val="0"/>
        <w:spacing w:before="200" w:after="0" w:line="260" w:lineRule="atLeast"/>
        <w:ind w:left="0" w:right="0" w:firstLine="0"/>
        <w:jc w:val="both"/>
      </w:pPr>
      <w:bookmarkStart w:id="125" w:name="Bookmark_para_23"/>
      <w:bookmarkEnd w:id="125"/>
      <w:r>
        <w:rPr>
          <w:rFonts w:ascii="arial" w:eastAsia="arial" w:hAnsi="arial" w:cs="arial"/>
          <w:b w:val="0"/>
          <w:i w:val="0"/>
          <w:strike w:val="0"/>
          <w:noProof w:val="0"/>
          <w:color w:val="000000"/>
          <w:position w:val="0"/>
          <w:sz w:val="20"/>
          <w:u w:val="none"/>
          <w:vertAlign w:val="baseline"/>
        </w:rPr>
        <w:t>The fact that a contractor working at the jail developed a personal friendship with the detainee might also give the appearance of impropriety. The Complaint alleges that Sheriff Jackson told Crowell her friendship with Bargery "looks bad on the jail." Compl. ¶ 34. Even though Crowell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went out of her way to avoid contact with Bargery during his confinement at the jail, not everyone in the community or at the jail may have been aware of that fact. A reasonable person could suspect whether Crowell's personal friendship with Bargery started during his detention and rightfully question whether such a relationship was appropriate. All of these concerns rationally implicated the safe and effective operation of the jail.</w:t>
      </w:r>
    </w:p>
    <w:p>
      <w:pPr>
        <w:keepNext w:val="0"/>
        <w:spacing w:before="200" w:after="0" w:line="260" w:lineRule="atLeast"/>
        <w:ind w:left="0" w:right="0" w:firstLine="0"/>
        <w:jc w:val="both"/>
      </w:pPr>
      <w:bookmarkStart w:id="126" w:name="Bookmark_para_24"/>
      <w:bookmarkEnd w:id="126"/>
      <w:r>
        <w:rPr>
          <w:rFonts w:ascii="arial" w:eastAsia="arial" w:hAnsi="arial" w:cs="arial"/>
          <w:b w:val="0"/>
          <w:i w:val="0"/>
          <w:strike w:val="0"/>
          <w:noProof w:val="0"/>
          <w:color w:val="000000"/>
          <w:position w:val="0"/>
          <w:sz w:val="20"/>
          <w:u w:val="none"/>
          <w:vertAlign w:val="baseline"/>
        </w:rPr>
        <w:t>From the perspective of the Terrell Clinic, a concern for preserving its contract with the County was a reasonable basis for directing Crowell to end her personal friendship with Bargery or resign. As a government contractor, Terrell Clinic had a every reason to take seriously Sheriff Jackson's concerns about a contract employee at the jail carrying on a personal friendship with a former jail detainee. It was reasonable for the clinic to presume that Sheriff Jackson had the authority to decide who worked at the jail. If the clinic had sided with Crowell and opposed Sheriff Jackson's position on Crowell's relationship with Bargery, the clinic could have run the risk of losing its contract as the County's medical provider at the jail. Apart from this business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consideration, the clinic was also Crowell's employer. The clinic could have reasonably decided that "that Crowell's personal relationship with Bargery, a former detainee, might be seen as a security risk at the jail." Def. Terrell Clinic's Mot. to Dismiss 9 (ECF No. 14-1).</w:t>
      </w:r>
    </w:p>
    <w:p>
      <w:pPr>
        <w:keepNext w:val="0"/>
        <w:spacing w:before="240" w:after="0" w:line="260" w:lineRule="atLeast"/>
        <w:ind w:left="0" w:right="0" w:firstLine="0"/>
        <w:jc w:val="both"/>
      </w:pPr>
      <w:bookmarkStart w:id="127" w:name="Bookmark_para_25"/>
      <w:bookmarkEnd w:id="127"/>
      <w:bookmarkStart w:id="128" w:name="Bookmark_I69JW4P02D6N6T0030000400"/>
      <w:bookmarkEnd w:id="128"/>
      <w:r>
        <w:rPr>
          <w:rFonts w:ascii="arial" w:eastAsia="arial" w:hAnsi="arial" w:cs="arial"/>
          <w:b w:val="0"/>
          <w:i w:val="0"/>
          <w:strike w:val="0"/>
          <w:noProof w:val="0"/>
          <w:color w:val="000000"/>
          <w:position w:val="0"/>
          <w:sz w:val="20"/>
          <w:u w:val="none"/>
          <w:vertAlign w:val="baseline"/>
        </w:rPr>
        <w:t xml:space="preserve">Each Defendant's reasons to justify its treatment of Crowell is enough to clear the low bar of the rational basis test. Because each Defendant has offered rational reasons for its handling of the situation, the burden therefore shifts to Crowell to "plead facts that plausibly negate" each of Defendant's reasons for its actions. </w:t>
      </w:r>
      <w:bookmarkStart w:id="129" w:name="Bookmark_I69JW4P02D6N6T0020000400"/>
      <w:bookmarkEnd w:id="129"/>
      <w:hyperlink r:id="rId47" w:history="1">
        <w:r>
          <w:rPr>
            <w:rFonts w:ascii="arial" w:eastAsia="arial" w:hAnsi="arial" w:cs="arial"/>
            <w:b w:val="0"/>
            <w:i/>
            <w:strike w:val="0"/>
            <w:noProof w:val="0"/>
            <w:color w:val="0077CC"/>
            <w:position w:val="0"/>
            <w:sz w:val="20"/>
            <w:u w:val="single"/>
            <w:vertAlign w:val="baseline"/>
          </w:rPr>
          <w:t>Andrews</w:t>
        </w:r>
      </w:hyperlink>
      <w:hyperlink r:id="rId47" w:history="1">
        <w:r>
          <w:rPr>
            <w:rFonts w:ascii="arial" w:eastAsia="arial" w:hAnsi="arial" w:cs="arial"/>
            <w:b w:val="0"/>
            <w:i/>
            <w:strike w:val="0"/>
            <w:noProof w:val="0"/>
            <w:color w:val="0077CC"/>
            <w:position w:val="0"/>
            <w:sz w:val="20"/>
            <w:u w:val="single"/>
            <w:vertAlign w:val="baseline"/>
          </w:rPr>
          <w:t>, 11 F.4th at 478</w:t>
        </w:r>
      </w:hyperlink>
      <w:r>
        <w:rPr>
          <w:rFonts w:ascii="arial" w:eastAsia="arial" w:hAnsi="arial" w:cs="arial"/>
          <w:b w:val="0"/>
          <w:i w:val="0"/>
          <w:strike w:val="0"/>
          <w:noProof w:val="0"/>
          <w:color w:val="000000"/>
          <w:position w:val="0"/>
          <w:sz w:val="20"/>
          <w:u w:val="none"/>
          <w:vertAlign w:val="baseline"/>
        </w:rPr>
        <w:t xml:space="preserve"> (citing </w:t>
      </w:r>
      <w:bookmarkStart w:id="130" w:name="Bookmark_I69JW4P02D6N6T0040000400"/>
      <w:bookmarkEnd w:id="130"/>
      <w:hyperlink r:id="rId48" w:history="1">
        <w:r>
          <w:rPr>
            <w:rFonts w:ascii="arial" w:eastAsia="arial" w:hAnsi="arial" w:cs="arial"/>
            <w:b w:val="0"/>
            <w:i/>
            <w:strike w:val="0"/>
            <w:noProof w:val="0"/>
            <w:color w:val="0077CC"/>
            <w:position w:val="0"/>
            <w:sz w:val="20"/>
            <w:u w:val="single"/>
            <w:vertAlign w:val="baseline"/>
          </w:rPr>
          <w:t>City of Detroit</w:t>
        </w:r>
      </w:hyperlink>
      <w:hyperlink r:id="rId48" w:history="1">
        <w:r>
          <w:rPr>
            <w:rFonts w:ascii="arial" w:eastAsia="arial" w:hAnsi="arial" w:cs="arial"/>
            <w:b w:val="0"/>
            <w:i/>
            <w:strike w:val="0"/>
            <w:noProof w:val="0"/>
            <w:color w:val="0077CC"/>
            <w:position w:val="0"/>
            <w:sz w:val="20"/>
            <w:u w:val="single"/>
            <w:vertAlign w:val="baseline"/>
          </w:rPr>
          <w:t>, 841 F.3d at 702</w:t>
        </w:r>
      </w:hyperlink>
      <w:r>
        <w:rPr>
          <w:rFonts w:ascii="arial" w:eastAsia="arial" w:hAnsi="arial" w:cs="arial"/>
          <w:b w:val="0"/>
          <w:i w:val="0"/>
          <w:strike w:val="0"/>
          <w:noProof w:val="0"/>
          <w:color w:val="000000"/>
          <w:position w:val="0"/>
          <w:sz w:val="20"/>
          <w:u w:val="none"/>
          <w:vertAlign w:val="baseline"/>
        </w:rPr>
        <w:t>). Crowell points to no allegations from her Complaint to cast doubt on Defendants' stated reasons. The Complaint does not allege any facts to negate the clinic's concerns over maintaining its contract with Obion County or its decision to acquiesce to Sheriff Jackson's wishes on a personnel matter. As for Sheriff Jackson, the Complaint does not specifically allege any facts to contest Sheriff Jackson's stated concerns about Crowell maintaining a relationship with Bargery and working at the jail.</w:t>
      </w:r>
    </w:p>
    <w:p>
      <w:pPr>
        <w:keepNext w:val="0"/>
        <w:spacing w:before="200" w:after="0" w:line="260" w:lineRule="atLeast"/>
        <w:ind w:left="0" w:right="0" w:firstLine="0"/>
        <w:jc w:val="both"/>
      </w:pPr>
      <w:bookmarkStart w:id="131" w:name="Bookmark_para_26"/>
      <w:bookmarkEnd w:id="131"/>
      <w:r>
        <w:rPr>
          <w:rFonts w:ascii="arial" w:eastAsia="arial" w:hAnsi="arial" w:cs="arial"/>
          <w:b w:val="0"/>
          <w:i w:val="0"/>
          <w:strike w:val="0"/>
          <w:noProof w:val="0"/>
          <w:color w:val="000000"/>
          <w:position w:val="0"/>
          <w:sz w:val="20"/>
          <w:u w:val="none"/>
          <w:vertAlign w:val="baseline"/>
        </w:rPr>
        <w:t>The Complaint does allege that Crowell pushed back during her conversation with Sheriff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Jackson and questioned him with two counter-examples of her own: "Ms. Crowell pointed out that Defendant Jackson had allowed a jail employee to continue working after his wife had been indicted by a grand jury for drug crimes and had sent someone with a criminal record to the police academy." Compl. ¶ 34. This single allegation and the two instances mentioned in it fail to negate the rational basis for Sheriff Jackson's handling of Crowell's situation. Even viewing the allegation in a light most favorable to Crowell, there are obvious differences between a deputy's spouse being charged and a contract employee having a personal friendship with a detainee. </w:t>
      </w:r>
      <w:bookmarkStart w:id="132" w:name="Bookmark_I69JW4P12SF8M30020000400"/>
      <w:bookmarkEnd w:id="132"/>
      <w:r>
        <w:rPr>
          <w:rFonts w:ascii="arial" w:eastAsia="arial" w:hAnsi="arial" w:cs="arial"/>
          <w:b w:val="0"/>
          <w:i w:val="0"/>
          <w:strike w:val="0"/>
          <w:noProof w:val="0"/>
          <w:color w:val="000000"/>
          <w:position w:val="0"/>
          <w:sz w:val="20"/>
          <w:u w:val="none"/>
          <w:vertAlign w:val="baseline"/>
        </w:rPr>
        <w:t xml:space="preserve">For one thing, Crowell's allegations about her friendship with Bargery implicate only rational basis review; whereas, the deputy mentioned by Crowell was married. Any "direct and substantial interference" with the right to marry would merit strict scrutiny. </w:t>
      </w:r>
      <w:bookmarkStart w:id="133" w:name="Bookmark_I69JW4P12SF8M30010000400"/>
      <w:bookmarkEnd w:id="133"/>
      <w:hyperlink r:id="rId49" w:history="1">
        <w:r>
          <w:rPr>
            <w:rFonts w:ascii="arial" w:eastAsia="arial" w:hAnsi="arial" w:cs="arial"/>
            <w:b w:val="0"/>
            <w:i/>
            <w:strike w:val="0"/>
            <w:noProof w:val="0"/>
            <w:color w:val="0077CC"/>
            <w:position w:val="0"/>
            <w:sz w:val="20"/>
            <w:u w:val="single"/>
            <w:vertAlign w:val="baseline"/>
          </w:rPr>
          <w:t>Pleasant View Baptist Church v. Beshear,</w:t>
        </w:r>
      </w:hyperlink>
      <w:hyperlink r:id="rId49" w:history="1">
        <w:r>
          <w:rPr>
            <w:rFonts w:ascii="arial" w:eastAsia="arial" w:hAnsi="arial" w:cs="arial"/>
            <w:b w:val="0"/>
            <w:i/>
            <w:strike w:val="0"/>
            <w:noProof w:val="0"/>
            <w:color w:val="0077CC"/>
            <w:position w:val="0"/>
            <w:sz w:val="20"/>
            <w:u w:val="single"/>
            <w:vertAlign w:val="baseline"/>
          </w:rPr>
          <w:t xml:space="preserve"> 78 F.4th 286, 2023 WL 5200431, at *9 (6th Cir. 2023)</w:t>
        </w:r>
      </w:hyperlink>
      <w:r>
        <w:rPr>
          <w:rFonts w:ascii="arial" w:eastAsia="arial" w:hAnsi="arial" w:cs="arial"/>
          <w:b w:val="0"/>
          <w:i w:val="0"/>
          <w:strike w:val="0"/>
          <w:noProof w:val="0"/>
          <w:color w:val="000000"/>
          <w:position w:val="0"/>
          <w:sz w:val="20"/>
          <w:u w:val="none"/>
          <w:vertAlign w:val="baseline"/>
        </w:rPr>
        <w:t xml:space="preserve"> (citations omitted). And nothing in Crowell's description of the other situation indicates whether the deputy jailer was already married to his wife when she was charged with the crimes or whether they married after the charges were brought. There is also no allegation that the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deputy jailer's spouse was ever held at the jail. Crowell's allegation about a different employee working at the jail fails to negate Sheriff Jackson's decision that Crowell's continued employment at the jail posed a security risk. Crowell's other counter-example, that Sheriff Jackson had "sent someone with a criminal record to the police academy," Compl. ¶ 34, is too vague to offer any meaningful rebuttal to Sheriff Jackson's rationale for demanding Crowell's reassignment from the jail. The Court concludes that the Complaint fails to allege facts to contest the rational basis for Sheriff Jackson's treatment of Crowell.</w:t>
      </w:r>
    </w:p>
    <w:p>
      <w:pPr>
        <w:keepNext w:val="0"/>
        <w:spacing w:before="240" w:after="0" w:line="260" w:lineRule="atLeast"/>
        <w:ind w:left="0" w:right="0" w:firstLine="0"/>
        <w:jc w:val="both"/>
      </w:pPr>
      <w:bookmarkStart w:id="134" w:name="Bookmark_para_27"/>
      <w:bookmarkEnd w:id="134"/>
      <w:bookmarkStart w:id="135" w:name="Bookmark_I69JW4P12SF8M30040000400"/>
      <w:bookmarkEnd w:id="135"/>
      <w:r>
        <w:rPr>
          <w:rFonts w:ascii="arial" w:eastAsia="arial" w:hAnsi="arial" w:cs="arial"/>
          <w:b w:val="0"/>
          <w:i w:val="0"/>
          <w:strike w:val="0"/>
          <w:noProof w:val="0"/>
          <w:color w:val="000000"/>
          <w:position w:val="0"/>
          <w:sz w:val="20"/>
          <w:u w:val="none"/>
          <w:vertAlign w:val="baseline"/>
        </w:rPr>
        <w:t xml:space="preserve">Crowell argues in opposition that without discovery on Defendants' actual motivations, "the parties can only speculate as to why the sheriff 'might have' barred Ms. Crowell from associating with Mr. Bargery." Pl.'s Resp. in Opp'n 11 (ECF No. 19). </w:t>
      </w:r>
      <w:bookmarkStart w:id="136" w:name="Bookmark_I69JW4P12D6N6Y0030000400"/>
      <w:bookmarkEnd w:id="136"/>
      <w:r>
        <w:rPr>
          <w:rFonts w:ascii="arial" w:eastAsia="arial" w:hAnsi="arial" w:cs="arial"/>
          <w:b w:val="0"/>
          <w:i w:val="0"/>
          <w:strike w:val="0"/>
          <w:noProof w:val="0"/>
          <w:color w:val="000000"/>
          <w:position w:val="0"/>
          <w:sz w:val="20"/>
          <w:u w:val="none"/>
          <w:vertAlign w:val="baseline"/>
        </w:rPr>
        <w:t xml:space="preserve">Generally speaking, lack of discovery is not an independent reason to deny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which serves to test the sufficiency of the pleadings. </w:t>
      </w:r>
      <w:bookmarkStart w:id="137" w:name="Bookmark_I69JW4P12SF8M30030000400"/>
      <w:bookmarkEnd w:id="137"/>
      <w:hyperlink r:id="rId16" w:history="1">
        <w:r>
          <w:rPr>
            <w:rFonts w:ascii="arial" w:eastAsia="arial" w:hAnsi="arial" w:cs="arial"/>
            <w:b w:val="0"/>
            <w:i/>
            <w:strike w:val="0"/>
            <w:noProof w:val="0"/>
            <w:color w:val="0077CC"/>
            <w:position w:val="0"/>
            <w:sz w:val="20"/>
            <w:u w:val="single"/>
            <w:vertAlign w:val="baseline"/>
          </w:rPr>
          <w:t>Iqbal</w:t>
        </w:r>
      </w:hyperlink>
      <w:hyperlink r:id="rId16" w:history="1">
        <w:r>
          <w:rPr>
            <w:rFonts w:ascii="arial" w:eastAsia="arial" w:hAnsi="arial" w:cs="arial"/>
            <w:b w:val="0"/>
            <w:i/>
            <w:strike w:val="0"/>
            <w:noProof w:val="0"/>
            <w:color w:val="0077CC"/>
            <w:position w:val="0"/>
            <w:sz w:val="20"/>
            <w:u w:val="single"/>
            <w:vertAlign w:val="baseline"/>
          </w:rPr>
          <w:t>, 556 U.S. at 678-79 (2009)</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marks a notable and generous departure from the hyper-technical, code-pleading regime of a prior era, but it does not unlock the doors of discovery for a plaintiff armed with nothing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more than conclusions."); </w:t>
      </w:r>
      <w:bookmarkStart w:id="138" w:name="Bookmark_I69JW4P12SF8M30050000400"/>
      <w:bookmarkEnd w:id="138"/>
      <w:hyperlink r:id="rId50" w:history="1">
        <w:r>
          <w:rPr>
            <w:rFonts w:ascii="arial" w:eastAsia="arial" w:hAnsi="arial" w:cs="arial"/>
            <w:b w:val="0"/>
            <w:i/>
            <w:strike w:val="0"/>
            <w:noProof w:val="0"/>
            <w:color w:val="0077CC"/>
            <w:position w:val="0"/>
            <w:sz w:val="20"/>
            <w:u w:val="single"/>
            <w:vertAlign w:val="baseline"/>
          </w:rPr>
          <w:t>Cox v. Shelby State Cmty. Coll.</w:t>
        </w:r>
      </w:hyperlink>
      <w:hyperlink r:id="rId50" w:history="1">
        <w:r>
          <w:rPr>
            <w:rFonts w:ascii="arial" w:eastAsia="arial" w:hAnsi="arial" w:cs="arial"/>
            <w:b w:val="0"/>
            <w:i/>
            <w:strike w:val="0"/>
            <w:noProof w:val="0"/>
            <w:color w:val="0077CC"/>
            <w:position w:val="0"/>
            <w:sz w:val="20"/>
            <w:u w:val="single"/>
            <w:vertAlign w:val="baseline"/>
          </w:rPr>
          <w:t>, 48 F. App'x 500, 503 (6th Cir. 2002)</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val="0"/>
          <w:i/>
          <w:strike w:val="0"/>
          <w:noProof w:val="0"/>
          <w:color w:val="000000"/>
          <w:position w:val="0"/>
          <w:sz w:val="20"/>
          <w:u w:val="none"/>
          <w:vertAlign w:val="baseline"/>
        </w:rPr>
        <w:t>12(b)(6)</w:t>
      </w:r>
      <w:r>
        <w:rPr>
          <w:rFonts w:ascii="arial" w:eastAsia="arial" w:hAnsi="arial" w:cs="arial"/>
          <w:b w:val="0"/>
          <w:i w:val="0"/>
          <w:strike w:val="0"/>
          <w:noProof w:val="0"/>
          <w:color w:val="000000"/>
          <w:position w:val="0"/>
          <w:sz w:val="20"/>
          <w:u w:val="none"/>
          <w:vertAlign w:val="baseline"/>
        </w:rPr>
        <w:t xml:space="preserve"> motion simply tests the sufficiency of the pleadings and does not resolve the facts of the case."). </w:t>
      </w:r>
      <w:bookmarkStart w:id="139" w:name="Bookmark_I69JW4P12D6N6Y0030000400_2"/>
      <w:bookmarkEnd w:id="139"/>
      <w:r>
        <w:rPr>
          <w:rFonts w:ascii="arial" w:eastAsia="arial" w:hAnsi="arial" w:cs="arial"/>
          <w:b w:val="0"/>
          <w:i w:val="0"/>
          <w:strike w:val="0"/>
          <w:noProof w:val="0"/>
          <w:color w:val="000000"/>
          <w:position w:val="0"/>
          <w:sz w:val="20"/>
          <w:u w:val="none"/>
          <w:vertAlign w:val="baseline"/>
        </w:rPr>
        <w:t xml:space="preserve">And in cases involving rational basis review, the actual reasons motivating Defendants are "entirely irrelevant for constitutional purposes." </w:t>
      </w:r>
      <w:bookmarkStart w:id="140" w:name="Bookmark_I69JW4P12D6N6Y0020000400"/>
      <w:bookmarkEnd w:id="140"/>
      <w:hyperlink r:id="rId51" w:history="1">
        <w:r>
          <w:rPr>
            <w:rFonts w:ascii="arial" w:eastAsia="arial" w:hAnsi="arial" w:cs="arial"/>
            <w:b w:val="0"/>
            <w:i/>
            <w:strike w:val="0"/>
            <w:noProof w:val="0"/>
            <w:color w:val="0077CC"/>
            <w:position w:val="0"/>
            <w:sz w:val="20"/>
            <w:u w:val="single"/>
            <w:vertAlign w:val="baseline"/>
          </w:rPr>
          <w:t>Fcc v. Beach Commc'ns, Inc.</w:t>
        </w:r>
      </w:hyperlink>
      <w:hyperlink r:id="rId51" w:history="1">
        <w:r>
          <w:rPr>
            <w:rFonts w:ascii="arial" w:eastAsia="arial" w:hAnsi="arial" w:cs="arial"/>
            <w:b w:val="0"/>
            <w:i/>
            <w:strike w:val="0"/>
            <w:noProof w:val="0"/>
            <w:color w:val="0077CC"/>
            <w:position w:val="0"/>
            <w:sz w:val="20"/>
            <w:u w:val="single"/>
            <w:vertAlign w:val="baseline"/>
          </w:rPr>
          <w:t>, 508 U.S. 307, 315, 113 S.Ct. 2096, 124 L.Ed.2d 211 (1993)</w:t>
        </w:r>
      </w:hyperlink>
      <w:r>
        <w:rPr>
          <w:rFonts w:ascii="arial" w:eastAsia="arial" w:hAnsi="arial" w:cs="arial"/>
          <w:b w:val="0"/>
          <w:i w:val="0"/>
          <w:strike w:val="0"/>
          <w:noProof w:val="0"/>
          <w:color w:val="000000"/>
          <w:position w:val="0"/>
          <w:sz w:val="20"/>
          <w:u w:val="none"/>
          <w:vertAlign w:val="baseline"/>
        </w:rPr>
        <w:t>. The only relevant consideration is whether there was a rational basis for their actions.</w:t>
      </w:r>
    </w:p>
    <w:p>
      <w:pPr>
        <w:keepNext w:val="0"/>
        <w:spacing w:before="240" w:after="0" w:line="260" w:lineRule="atLeast"/>
        <w:ind w:left="0" w:right="0" w:firstLine="0"/>
        <w:jc w:val="both"/>
      </w:pPr>
      <w:bookmarkStart w:id="141" w:name="Bookmark_para_28"/>
      <w:bookmarkEnd w:id="141"/>
      <w:bookmarkStart w:id="142" w:name="Bookmark_I69JW4P12D6N6Y0050000400"/>
      <w:bookmarkEnd w:id="142"/>
      <w:r>
        <w:rPr>
          <w:rFonts w:ascii="arial" w:eastAsia="arial" w:hAnsi="arial" w:cs="arial"/>
          <w:b w:val="0"/>
          <w:i w:val="0"/>
          <w:strike w:val="0"/>
          <w:noProof w:val="0"/>
          <w:color w:val="000000"/>
          <w:position w:val="0"/>
          <w:sz w:val="20"/>
          <w:u w:val="none"/>
          <w:vertAlign w:val="baseline"/>
        </w:rPr>
        <w:t xml:space="preserve">Having determined that each Defendant's actions survive rational basis review and that the Complaint fails to allege facts to negate Defendant's reasons, the Court holds that the Complaint does not allege a plausible violation of Crowell's constitutional right to intimate association. In the absence of this essential element of her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the Court need not reach the arguments on Sheriff Jackson's request for qualified immunity. If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plaintiff fails to allege a plausible violation of her constitutional rights, "there is no necessity for further inquiries concerning qualified immunity." </w:t>
      </w:r>
      <w:bookmarkStart w:id="143" w:name="Bookmark_I69JW4P12D6N6Y0040000400"/>
      <w:bookmarkEnd w:id="143"/>
      <w:hyperlink r:id="rId38" w:history="1">
        <w:r>
          <w:rPr>
            <w:rFonts w:ascii="arial" w:eastAsia="arial" w:hAnsi="arial" w:cs="arial"/>
            <w:b w:val="0"/>
            <w:i/>
            <w:strike w:val="0"/>
            <w:noProof w:val="0"/>
            <w:color w:val="0077CC"/>
            <w:position w:val="0"/>
            <w:sz w:val="20"/>
            <w:u w:val="single"/>
            <w:vertAlign w:val="baseline"/>
          </w:rPr>
          <w:t>Akers</w:t>
        </w:r>
      </w:hyperlink>
      <w:hyperlink r:id="rId38" w:history="1">
        <w:r>
          <w:rPr>
            <w:rFonts w:ascii="arial" w:eastAsia="arial" w:hAnsi="arial" w:cs="arial"/>
            <w:b w:val="0"/>
            <w:i/>
            <w:strike w:val="0"/>
            <w:noProof w:val="0"/>
            <w:color w:val="0077CC"/>
            <w:position w:val="0"/>
            <w:sz w:val="20"/>
            <w:u w:val="single"/>
            <w:vertAlign w:val="baseline"/>
          </w:rPr>
          <w:t>, 352 F.3d at 1042</w:t>
        </w:r>
      </w:hyperlink>
      <w:r>
        <w:rPr>
          <w:rFonts w:ascii="arial" w:eastAsia="arial" w:hAnsi="arial" w:cs="arial"/>
          <w:b w:val="0"/>
          <w:i w:val="0"/>
          <w:strike w:val="0"/>
          <w:noProof w:val="0"/>
          <w:color w:val="000000"/>
          <w:position w:val="0"/>
          <w:sz w:val="20"/>
          <w:u w:val="none"/>
          <w:vertAlign w:val="baseline"/>
        </w:rPr>
        <w:t xml:space="preserve"> (citing </w:t>
      </w:r>
      <w:bookmarkStart w:id="144" w:name="Bookmark_I69JW4PC2N1R430010000400"/>
      <w:bookmarkEnd w:id="144"/>
      <w:hyperlink r:id="rId52" w:history="1">
        <w:r>
          <w:rPr>
            <w:rFonts w:ascii="arial" w:eastAsia="arial" w:hAnsi="arial" w:cs="arial"/>
            <w:b w:val="0"/>
            <w:i/>
            <w:strike w:val="0"/>
            <w:noProof w:val="0"/>
            <w:color w:val="0077CC"/>
            <w:position w:val="0"/>
            <w:sz w:val="20"/>
            <w:u w:val="single"/>
            <w:vertAlign w:val="baseline"/>
          </w:rPr>
          <w:t>Saucier v. Katz</w:t>
        </w:r>
      </w:hyperlink>
      <w:hyperlink r:id="rId52" w:history="1">
        <w:r>
          <w:rPr>
            <w:rFonts w:ascii="arial" w:eastAsia="arial" w:hAnsi="arial" w:cs="arial"/>
            <w:b w:val="0"/>
            <w:i/>
            <w:strike w:val="0"/>
            <w:noProof w:val="0"/>
            <w:color w:val="0077CC"/>
            <w:position w:val="0"/>
            <w:sz w:val="20"/>
            <w:u w:val="single"/>
            <w:vertAlign w:val="baseline"/>
          </w:rPr>
          <w:t>, 533 U.S. 194, 201, 121 S.Ct. 2151, 150 L.Ed.2d 272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45" w:name="Bookmark_para_29"/>
      <w:bookmarkEnd w:id="145"/>
      <w:bookmarkStart w:id="146" w:name="Bookmark_I69JW4PC2N1R430040000400"/>
      <w:bookmarkEnd w:id="146"/>
      <w:r>
        <w:rPr>
          <w:rFonts w:ascii="arial" w:eastAsia="arial" w:hAnsi="arial" w:cs="arial"/>
          <w:b w:val="0"/>
          <w:i w:val="0"/>
          <w:strike w:val="0"/>
          <w:noProof w:val="0"/>
          <w:color w:val="000000"/>
          <w:position w:val="0"/>
          <w:sz w:val="20"/>
          <w:u w:val="none"/>
          <w:vertAlign w:val="baseline"/>
        </w:rPr>
        <w:t>The Complaint fails to allege that either the Terrell Clinic or Sheriff Jackson acted without a rational basis when Sheriff Jackson asked the clinic to reassign Crowell from the jail over her friendship with Joshua</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Hunter Bargery and the clinic gave Crowell the choice of giving up her friendship or her job. Crowell has also conceded her </w:t>
      </w:r>
      <w:bookmarkStart w:id="147" w:name="Bookmark_I69JW4PC2N1R430030000400"/>
      <w:bookmarkEnd w:id="147"/>
      <w:hyperlink r:id="rId33"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against Obion County. Therefore, Defendants' Motions to Dismiss must be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30"/>
      <w:bookmarkEnd w:id="148"/>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9" w:name="Bookmark_para_31"/>
      <w:bookmarkEnd w:id="149"/>
      <w:r>
        <w:rPr>
          <w:rFonts w:ascii="arial" w:eastAsia="arial" w:hAnsi="arial" w:cs="arial"/>
          <w:b/>
          <w:i w:val="0"/>
          <w:strike w:val="0"/>
          <w:noProof w:val="0"/>
          <w:color w:val="000000"/>
          <w:position w:val="0"/>
          <w:sz w:val="20"/>
          <w:u w:val="none"/>
          <w:vertAlign w:val="baseline"/>
        </w:rPr>
        <w:t>/s/ S. Thomas Anderson</w:t>
      </w:r>
    </w:p>
    <w:p>
      <w:pPr>
        <w:keepNext w:val="0"/>
        <w:spacing w:before="200" w:after="0" w:line="260" w:lineRule="atLeast"/>
        <w:ind w:left="0" w:right="0" w:firstLine="0"/>
        <w:jc w:val="both"/>
      </w:pPr>
      <w:bookmarkStart w:id="150" w:name="Bookmark_para_32"/>
      <w:bookmarkEnd w:id="150"/>
      <w:r>
        <w:rPr>
          <w:rFonts w:ascii="arial" w:eastAsia="arial" w:hAnsi="arial" w:cs="arial"/>
          <w:b w:val="0"/>
          <w:i w:val="0"/>
          <w:strike w:val="0"/>
          <w:noProof w:val="0"/>
          <w:color w:val="000000"/>
          <w:position w:val="0"/>
          <w:sz w:val="20"/>
          <w:u w:val="none"/>
          <w:vertAlign w:val="baseline"/>
        </w:rPr>
        <w:t>S. THOMAS ANDERSON</w:t>
      </w:r>
    </w:p>
    <w:p>
      <w:pPr>
        <w:keepNext w:val="0"/>
        <w:spacing w:before="200" w:after="0" w:line="260" w:lineRule="atLeast"/>
        <w:ind w:left="0" w:right="0" w:firstLine="0"/>
        <w:jc w:val="both"/>
      </w:pPr>
      <w:bookmarkStart w:id="151" w:name="Bookmark_para_33"/>
      <w:bookmarkEnd w:id="151"/>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152" w:name="Bookmark_para_34"/>
      <w:bookmarkEnd w:id="152"/>
      <w:r>
        <w:rPr>
          <w:rFonts w:ascii="arial" w:eastAsia="arial" w:hAnsi="arial" w:cs="arial"/>
          <w:b w:val="0"/>
          <w:i w:val="0"/>
          <w:strike w:val="0"/>
          <w:noProof w:val="0"/>
          <w:color w:val="000000"/>
          <w:position w:val="0"/>
          <w:sz w:val="20"/>
          <w:u w:val="none"/>
          <w:vertAlign w:val="baseline"/>
        </w:rPr>
        <w:t>Date: September 28,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The Complaint does not allege the dates of Crowell's employment with the clinic or whether she had worked at the jail for her entire tenure with the clinic. Nevertheless, the pleadings allege she worked for the clinic for a total of three years, Compl. ¶ 13, and that she was constructively discharged in 2022,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 41, implying that she began her employment with the Terrell Clinic in 2019.</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1" w:name="Bookmark_fnpara_2"/>
      <w:bookmarkEnd w:id="101"/>
      <w:r>
        <w:rPr>
          <w:rFonts w:ascii="arial" w:eastAsia="arial" w:hAnsi="arial" w:cs="arial"/>
          <w:b w:val="0"/>
          <w:i w:val="0"/>
          <w:strike w:val="0"/>
          <w:noProof w:val="0"/>
          <w:color w:val="000000"/>
          <w:position w:val="0"/>
          <w:sz w:val="18"/>
          <w:u w:val="none"/>
          <w:vertAlign w:val="baseline"/>
        </w:rPr>
        <w:t>Plaintiff states in a footnote in her brief that her friendship with Bargery has developed since she resigned her job and that she and Bargery now have a romantic relationship and live together. Pl.'s Resp. in Opp'n at 8 n.1 (ECF No. 20). Because this new development occurred after Crowell lost her job at the jail, the current state of her relationship with Bargery is not relevant to whether Defendants violated her constitutional rights in 2022.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Crowell v. Obion Cnty.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2X2-D6RV-H374-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cases&amp;id=urn:contentItem:67F7-6RM1-JJ6S-610X-00000-00&amp;context=1519360" TargetMode="External" /><Relationship Id="rId14" Type="http://schemas.openxmlformats.org/officeDocument/2006/relationships/hyperlink" Target="https://advance.lexis.com/api/document?collection=cases&amp;id=urn:contentItem:5VYT-H4B1-K0BB-S4X2-00000-00&amp;context=1519360" TargetMode="External" /><Relationship Id="rId15" Type="http://schemas.openxmlformats.org/officeDocument/2006/relationships/hyperlink" Target="https://advance.lexis.com/api/document?collection=cases&amp;id=urn:contentItem:652G-C1T1-JJD0-G3BW-00000-00&amp;context=1519360" TargetMode="External" /><Relationship Id="rId16" Type="http://schemas.openxmlformats.org/officeDocument/2006/relationships/hyperlink" Target="https://advance.lexis.com/api/document?collection=cases&amp;id=urn:contentItem:4W9Y-4KS0-TXFX-1325-00000-00&amp;context=1519360" TargetMode="External" /><Relationship Id="rId17" Type="http://schemas.openxmlformats.org/officeDocument/2006/relationships/hyperlink" Target="https://advance.lexis.com/api/document?collection=statutes-legislation&amp;id=urn:contentItem:5GYC-1WP1-6N19-F0YK-00000-00&amp;context=1519360" TargetMode="External" /><Relationship Id="rId18" Type="http://schemas.openxmlformats.org/officeDocument/2006/relationships/hyperlink" Target="https://advance.lexis.com/api/document?collection=cases&amp;id=urn:contentItem:5XFK-CN41-DXWW-23MB-00000-00&amp;context=1519360" TargetMode="External" /><Relationship Id="rId19" Type="http://schemas.openxmlformats.org/officeDocument/2006/relationships/hyperlink" Target="https://advance.lexis.com/api/document?collection=cases&amp;id=urn:contentItem:4P18-B380-004C-002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G05-93F0-004B-Y01S-00000-00&amp;context=1519360" TargetMode="External" /><Relationship Id="rId21" Type="http://schemas.openxmlformats.org/officeDocument/2006/relationships/hyperlink" Target="https://advance.lexis.com/api/document?collection=cases&amp;id=urn:contentItem:4NSN-8840-004C-002M-00000-00&amp;context=1519360" TargetMode="External" /><Relationship Id="rId22" Type="http://schemas.openxmlformats.org/officeDocument/2006/relationships/hyperlink" Target="https://advance.lexis.com/api/document?collection=cases&amp;id=urn:contentItem:621M-FFW1-JS0R-23NF-00000-00&amp;context=1519360" TargetMode="External" /><Relationship Id="rId23" Type="http://schemas.openxmlformats.org/officeDocument/2006/relationships/hyperlink" Target="https://advance.lexis.com/api/document?collection=cases&amp;id=urn:contentItem:55Y3-HFP1-F04K-P10V-00000-00&amp;context=1519360" TargetMode="External" /><Relationship Id="rId24" Type="http://schemas.openxmlformats.org/officeDocument/2006/relationships/hyperlink" Target="https://advance.lexis.com/api/document?collection=cases&amp;id=urn:contentItem:616V-1GB1-JBM1-M4GP-00000-00&amp;context=1519360" TargetMode="External" /><Relationship Id="rId25" Type="http://schemas.openxmlformats.org/officeDocument/2006/relationships/hyperlink" Target="https://advance.lexis.com/api/document?collection=cases&amp;id=urn:contentItem:43PH-0G40-0038-Y2CH-00000-00&amp;context=1519360" TargetMode="External" /><Relationship Id="rId26" Type="http://schemas.openxmlformats.org/officeDocument/2006/relationships/hyperlink" Target="https://advance.lexis.com/api/document?collection=cases&amp;id=urn:contentItem:5N4N-1SC1-F04K-F0K9-00000-00&amp;context=1519360" TargetMode="External" /><Relationship Id="rId27" Type="http://schemas.openxmlformats.org/officeDocument/2006/relationships/hyperlink" Target="https://advance.lexis.com/api/document?collection=cases&amp;id=urn:contentItem:3S4X-B0W0-003B-S3VH-00000-00&amp;context=1519360" TargetMode="External" /><Relationship Id="rId28" Type="http://schemas.openxmlformats.org/officeDocument/2006/relationships/hyperlink" Target="https://advance.lexis.com/api/document?collection=cases&amp;id=urn:contentItem:48SJ-FFG0-0038-X0XD-00000-00&amp;context=1519360" TargetMode="External" /><Relationship Id="rId29" Type="http://schemas.openxmlformats.org/officeDocument/2006/relationships/hyperlink" Target="https://advance.lexis.com/api/document?collection=cases&amp;id=urn:contentItem:3YHV-X770-0038-X0H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J7C0-003B-P2D0-00000-00&amp;context=1519360" TargetMode="External" /><Relationship Id="rId31" Type="http://schemas.openxmlformats.org/officeDocument/2006/relationships/hyperlink" Target="https://advance.lexis.com/api/document?collection=cases&amp;id=urn:contentItem:5K8V-9WP1-F04K-P0RD-00000-00&amp;context=1519360" TargetMode="External" /><Relationship Id="rId32" Type="http://schemas.openxmlformats.org/officeDocument/2006/relationships/hyperlink" Target="https://advance.lexis.com/api/document?collection=cases&amp;id=urn:contentItem:3VYT-J460-0038-X3J3-00000-00&amp;context=1519360" TargetMode="External" /><Relationship Id="rId33" Type="http://schemas.openxmlformats.org/officeDocument/2006/relationships/hyperlink" Target="https://advance.lexis.com/api/document?collection=cases&amp;id=urn:contentItem:3S4X-8SP0-003B-S1RH-00000-00&amp;context=1519360" TargetMode="External" /><Relationship Id="rId34" Type="http://schemas.openxmlformats.org/officeDocument/2006/relationships/hyperlink" Target="https://advance.lexis.com/api/document?collection=cases&amp;id=urn:contentItem:48RR-BTK0-0038-X0DG-00000-00&amp;context=1519360" TargetMode="External" /><Relationship Id="rId35" Type="http://schemas.openxmlformats.org/officeDocument/2006/relationships/hyperlink" Target="https://advance.lexis.com/api/document?collection=cases&amp;id=urn:contentItem:5YW8-TJP1-FK0M-S3J7-00000-00&amp;context=1519360" TargetMode="External" /><Relationship Id="rId36" Type="http://schemas.openxmlformats.org/officeDocument/2006/relationships/hyperlink" Target="https://advance.lexis.com/api/document?collection=cases&amp;id=urn:contentItem:3S4X-3B10-003B-S2XB-00000-00&amp;context=1519360" TargetMode="External" /><Relationship Id="rId37" Type="http://schemas.openxmlformats.org/officeDocument/2006/relationships/hyperlink" Target="https://advance.lexis.com/api/document?collection=cases&amp;id=urn:contentItem:4CMR-BV90-0038-X308-00000-00&amp;context=1519360" TargetMode="External" /><Relationship Id="rId38" Type="http://schemas.openxmlformats.org/officeDocument/2006/relationships/hyperlink" Target="https://advance.lexis.com/api/document?collection=cases&amp;id=urn:contentItem:4B4H-4PB0-0038-X2WM-00000-00&amp;context=1519360" TargetMode="External" /><Relationship Id="rId39" Type="http://schemas.openxmlformats.org/officeDocument/2006/relationships/hyperlink" Target="https://advance.lexis.com/api/document?collection=cases&amp;id=urn:contentItem:46T3-X6S0-0038-X4J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HFP0-003B-40MC-00000-00&amp;context=1519360" TargetMode="External" /><Relationship Id="rId41" Type="http://schemas.openxmlformats.org/officeDocument/2006/relationships/hyperlink" Target="https://advance.lexis.com/api/document?collection=cases&amp;id=urn:contentItem:4H2P-7HC0-0038-X40W-00000-00&amp;context=1519360" TargetMode="External" /><Relationship Id="rId42" Type="http://schemas.openxmlformats.org/officeDocument/2006/relationships/hyperlink" Target="https://advance.lexis.com/api/document?collection=cases&amp;id=urn:contentItem:3S65-KFC0-003B-R270-00000-00&amp;context=1519360" TargetMode="External" /><Relationship Id="rId43" Type="http://schemas.openxmlformats.org/officeDocument/2006/relationships/hyperlink" Target="https://advance.lexis.com/api/document?collection=cases&amp;id=urn:contentItem:68P7-3J71-DXPM-S2NG-00000-00&amp;context=1519360" TargetMode="External" /><Relationship Id="rId44" Type="http://schemas.openxmlformats.org/officeDocument/2006/relationships/hyperlink" Target="https://advance.lexis.com/api/document?collection=cases&amp;id=urn:contentItem:52ST-MHM1-F04K-P02S-00000-00&amp;context=1519360" TargetMode="External" /><Relationship Id="rId45" Type="http://schemas.openxmlformats.org/officeDocument/2006/relationships/hyperlink" Target="https://advance.lexis.com/api/document?collection=cases&amp;id=urn:contentItem:3S42-78N0-003B-R3NW-00000-00&amp;context=1519360" TargetMode="External" /><Relationship Id="rId46" Type="http://schemas.openxmlformats.org/officeDocument/2006/relationships/hyperlink" Target="https://advance.lexis.com/api/document?collection=cases&amp;id=urn:contentItem:5K4C-4ST1-F04K-P0GW-00000-00&amp;context=1519360" TargetMode="External" /><Relationship Id="rId47" Type="http://schemas.openxmlformats.org/officeDocument/2006/relationships/hyperlink" Target="https://advance.lexis.com/api/document?collection=cases&amp;id=urn:contentItem:63FR-0201-JSRM-635Y-00000-00&amp;context=1519360" TargetMode="External" /><Relationship Id="rId48" Type="http://schemas.openxmlformats.org/officeDocument/2006/relationships/hyperlink" Target="https://advance.lexis.com/api/document?collection=cases&amp;id=urn:contentItem:5M5K-76T1-F04K-P011-00000-00&amp;context=1519360" TargetMode="External" /><Relationship Id="rId49" Type="http://schemas.openxmlformats.org/officeDocument/2006/relationships/hyperlink" Target="https://advance.lexis.com/api/document?collection=cases&amp;id=urn:contentItem:68Y2-5CB1-JTGH-B2VD-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6VS-W590-0038-X0V1-00000-00&amp;context=1519360" TargetMode="External" /><Relationship Id="rId51" Type="http://schemas.openxmlformats.org/officeDocument/2006/relationships/hyperlink" Target="https://advance.lexis.com/api/document?collection=cases&amp;id=urn:contentItem:3S65-K4V0-003B-R3SK-00000-00&amp;context=1519360" TargetMode="External" /><Relationship Id="rId52" Type="http://schemas.openxmlformats.org/officeDocument/2006/relationships/hyperlink" Target="https://advance.lexis.com/api/document?collection=cases&amp;id=urn:contentItem:439D-CCS0-004C-101K-00000-00&amp;context=1519360"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HW-K4F1-JBDT-B28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Crowell v. Obion Cnty., 2023 U.S. Dist. LEXIS 195677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urn:user:PA186186280</vt:lpwstr>
  </property>
</Properties>
</file>