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Asprilla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 Miami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Decided; March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Number: 21-23432-CIV-MARTINEZ; (Case Number: 17-20013-CR-MARTINEZ)</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55832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JHOAN STIVEN CARREAZO ASPRILLA, Movant,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05/04/2023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Palacios, 2019 U.S. Dist. LEXIS 61969, 2019 WL 1517111 (S.D. Fla., Mar. 21, 2019)</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Movant, sentence, defense counsel, boat, ineffective,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Proffer, murder, guilty plea, counsel's performance, investigate, mitigating, alleges, prong, Vacate, gone, deficient performance, certificate, indictment, guideline, colloquy, defenses, counts, hotel</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(1:17-cr-20013-JEM-3): Brian Dobbins, LEAD ATTORNEY, United States Attorney's Office, Miami, FL; Danielle L. Hickman, U.S. Department of Justice, Criminal Division,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Jhoan Stiven Carreazo Asprilla, SPANISH, Plaintiff (1-21cv23432), Pro se,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(1-21cv23432): Brian Dobbins, United States Attorney's Office, Miami, FL; Noticing 2255 US Attorney, LEAD ATTORNEY.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 E. MARTINEZ,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 E. MARTINEZ</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ORDER DENYING </w:t>
      </w:r>
      <w:hyperlink r:id="rId11" w:history="1">
        <w:r>
          <w:rPr>
            <w:rFonts w:ascii="arial" w:eastAsia="arial" w:hAnsi="arial" w:cs="arial"/>
            <w:b/>
            <w:i/>
            <w:strike w:val="0"/>
            <w:noProof w:val="0"/>
            <w:color w:val="0077CC"/>
            <w:position w:val="0"/>
            <w:sz w:val="20"/>
            <w:u w:val="single"/>
            <w:vertAlign w:val="baseline"/>
          </w:rPr>
          <w:t>§ 2255</w:t>
        </w:r>
      </w:hyperlink>
      <w:r>
        <w:rPr>
          <w:rFonts w:ascii="arial" w:eastAsia="arial" w:hAnsi="arial" w:cs="arial"/>
          <w:b/>
          <w:i w:val="0"/>
          <w:strike w:val="0"/>
          <w:noProof w:val="0"/>
          <w:color w:val="000000"/>
          <w:position w:val="0"/>
          <w:sz w:val="20"/>
          <w:u w:val="single"/>
          <w:vertAlign w:val="baseline"/>
        </w:rPr>
        <w:t xml:space="preserve"> MOTION TO VACATE</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came before this Court on Movant Jhoan Stiven Carreazo Asprilla's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to Vacate,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(ECF No. 1), and accompanying Memorandum of Law, (ECF No. 1-1) (collectively, the "Motion"), which attacks the constitutionality of his convictions and sentences in Case Number: 17-20013-CR-JEM.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Court has reviewed the Motion, pertinent portions of the record, and applicable and is otherwise fully advised in the premises. Accordingly, after careful consideration,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for the reasons set forth herein.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Movant's Crimes and Arrest</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In or around August 2016, two Cuban nationals, "E.M.A." and "L.S.C.," arrived in Colombia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from Cuba, seeking to arrange for transportation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from Mexico by way of Panama. (ECF-Cr. </w:t>
      </w:r>
      <w:bookmarkStart w:id="12" w:name="Bookmark_I67Y17402SF7R70020000400"/>
      <w:bookmarkEnd w:id="12"/>
      <w:r>
        <w:rPr>
          <w:rFonts w:ascii="arial" w:eastAsia="arial" w:hAnsi="arial" w:cs="arial"/>
          <w:b w:val="0"/>
          <w:i w:val="0"/>
          <w:strike w:val="0"/>
          <w:noProof w:val="0"/>
          <w:color w:val="000000"/>
          <w:position w:val="0"/>
          <w:sz w:val="20"/>
          <w:u w:val="none"/>
          <w:vertAlign w:val="baseline"/>
        </w:rPr>
        <w:t xml:space="preserve">No. 101 at 1-2.) E.M.A. and L.S.C. met Jorge Fernando Rivera Weir ("Weir") at a hotel in Cucuta, Colombia. </w:t>
      </w:r>
      <w:bookmarkStart w:id="13" w:name="Bookmark_I67Y17402SF7R70010000400"/>
      <w:bookmarkEnd w:id="13"/>
      <w:hyperlink r:id="rId12" w:history="1">
        <w:r>
          <w:rPr>
            <w:rFonts w:ascii="arial" w:eastAsia="arial" w:hAnsi="arial" w:cs="arial"/>
            <w:b w:val="0"/>
            <w:i/>
            <w:strike w:val="0"/>
            <w:noProof w:val="0"/>
            <w:color w:val="0077CC"/>
            <w:position w:val="0"/>
            <w:sz w:val="20"/>
            <w:u w:val="single"/>
            <w:vertAlign w:val="baseline"/>
          </w:rPr>
          <w:t>United States v. Asprilla</w:t>
        </w:r>
      </w:hyperlink>
      <w:hyperlink r:id="rId12" w:history="1">
        <w:r>
          <w:rPr>
            <w:rFonts w:ascii="arial" w:eastAsia="arial" w:hAnsi="arial" w:cs="arial"/>
            <w:b w:val="0"/>
            <w:i/>
            <w:strike w:val="0"/>
            <w:noProof w:val="0"/>
            <w:color w:val="0077CC"/>
            <w:position w:val="0"/>
            <w:sz w:val="20"/>
            <w:u w:val="single"/>
            <w:vertAlign w:val="baseline"/>
          </w:rPr>
          <w:t>, 821 F. App'x 944, 946 (11th Cir. 2020)</w:t>
        </w:r>
      </w:hyperlink>
      <w:r>
        <w:rPr>
          <w:rFonts w:ascii="arial" w:eastAsia="arial" w:hAnsi="arial" w:cs="arial"/>
          <w:b w:val="0"/>
          <w:i w:val="0"/>
          <w:strike w:val="0"/>
          <w:noProof w:val="0"/>
          <w:color w:val="000000"/>
          <w:position w:val="0"/>
          <w:sz w:val="20"/>
          <w:u w:val="none"/>
          <w:vertAlign w:val="baseline"/>
        </w:rPr>
        <w:t xml:space="preserve">. </w:t>
      </w:r>
      <w:bookmarkStart w:id="14" w:name="Bookmark_I67Y17402SF7R70040000400"/>
      <w:bookmarkEnd w:id="14"/>
      <w:r>
        <w:rPr>
          <w:rFonts w:ascii="arial" w:eastAsia="arial" w:hAnsi="arial" w:cs="arial"/>
          <w:b w:val="0"/>
          <w:i w:val="0"/>
          <w:strike w:val="0"/>
          <w:noProof w:val="0"/>
          <w:color w:val="000000"/>
          <w:position w:val="0"/>
          <w:sz w:val="20"/>
          <w:u w:val="none"/>
          <w:vertAlign w:val="baseline"/>
        </w:rPr>
        <w:t xml:space="preserve">Weir offered to transport E.M.A. and L.S.C. to the Panamanian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E.M.A.'s family in Miami, Florida, wired money to Weir, he brought them to Turbo, Colombia.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Turbo, Weir introduced E.M.A. and L.S.C. to two of his associates, Carlos Emilio Ibarguen Palacios ("Ibarguen") and Fredis Valencia Palacios ("Valencia").</w:t>
      </w:r>
      <w:r>
        <w:rPr>
          <w:rFonts w:ascii="arial" w:eastAsia="arial" w:hAnsi="arial" w:cs="arial"/>
          <w:vertAlign w:val="superscript"/>
        </w:rPr>
        <w:footnoteReference w:customMarkFollows="1" w:id="3"/>
        <w:t xml:space="preserve">2</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Weir explained that Ibarguen and Valencia operated the boat that Weir used to transport people through the Colombia rivers to the Panamanian border.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 xml:space="preserve">E.M.A. and L.S.C. told Weir, Valencia, and Ibarguen that they were traveling to the United States and planned to settle in Miami.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Cuban national, D.E.L., arrived at the hotel in Turbo, decided to join the group, and informed the smugglers that he was also travelling to the United States.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On September 6, 2016, Weir brought E.M.A., L.S.C, and D.E.L. (the "Victims") to a boat captained by Ibarguen. (ECF-Cr. No. 101 at 3.) Ibarguen and Valencia departed with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Victims in the boat, but when the boat started taking on water, Ibarguen returned the boat to shore and took the Victims to his home overnight.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 xml:space="preserve">On September 7, 2016, Ibarguen set off with the Victims on a different boat. (ECF-Cr. </w:t>
      </w:r>
      <w:bookmarkStart w:id="20" w:name="Bookmark_I67Y17412D6N220010000400"/>
      <w:bookmarkEnd w:id="20"/>
      <w:r>
        <w:rPr>
          <w:rFonts w:ascii="arial" w:eastAsia="arial" w:hAnsi="arial" w:cs="arial"/>
          <w:b w:val="0"/>
          <w:i w:val="0"/>
          <w:strike w:val="0"/>
          <w:noProof w:val="0"/>
          <w:color w:val="000000"/>
          <w:position w:val="0"/>
          <w:sz w:val="20"/>
          <w:u w:val="none"/>
          <w:vertAlign w:val="baseline"/>
        </w:rPr>
        <w:t xml:space="preserve">No. 101 at 3.) This time, Movant was on the boat with Ibarguen instead of Valencia. </w:t>
      </w:r>
      <w:bookmarkStart w:id="21" w:name="Bookmark_I67Y17402SF7R70050000400"/>
      <w:bookmarkEnd w:id="21"/>
      <w:hyperlink r:id="rId12" w:history="1">
        <w:r>
          <w:rPr>
            <w:rFonts w:ascii="arial" w:eastAsia="arial" w:hAnsi="arial" w:cs="arial"/>
            <w:b w:val="0"/>
            <w:i/>
            <w:strike w:val="0"/>
            <w:noProof w:val="0"/>
            <w:color w:val="0077CC"/>
            <w:position w:val="0"/>
            <w:sz w:val="20"/>
            <w:u w:val="single"/>
            <w:vertAlign w:val="baseline"/>
          </w:rPr>
          <w:t>Asprilla</w:t>
        </w:r>
      </w:hyperlink>
      <w:hyperlink r:id="rId12" w:history="1">
        <w:r>
          <w:rPr>
            <w:rFonts w:ascii="arial" w:eastAsia="arial" w:hAnsi="arial" w:cs="arial"/>
            <w:b w:val="0"/>
            <w:i/>
            <w:strike w:val="0"/>
            <w:noProof w:val="0"/>
            <w:color w:val="0077CC"/>
            <w:position w:val="0"/>
            <w:sz w:val="20"/>
            <w:u w:val="single"/>
            <w:vertAlign w:val="baseline"/>
          </w:rPr>
          <w:t>, 821 F. App'x at 953 n.2</w:t>
        </w:r>
      </w:hyperlink>
      <w:r>
        <w:rPr>
          <w:rFonts w:ascii="arial" w:eastAsia="arial" w:hAnsi="arial" w:cs="arial"/>
          <w:b w:val="0"/>
          <w:i w:val="0"/>
          <w:strike w:val="0"/>
          <w:noProof w:val="0"/>
          <w:color w:val="000000"/>
          <w:position w:val="0"/>
          <w:sz w:val="20"/>
          <w:u w:val="none"/>
          <w:vertAlign w:val="baseline"/>
        </w:rPr>
        <w:t xml:space="preserve">. It is unclear "as to why or how [Movant] came to take the place of. . . Valencia."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departing, Movant and Ibarguen agreed that they would rob the Victims because "another smuggler had told them that the Cubans had 'a lot' of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the boat trip, the three Victims again discussed their journey to the United States via Panama. (ECF-Cr. No. 101 at 3.)</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At some point during the trip, Movant held the Victims at gunpoint.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Movant's direction, Ibarguen tied L.S.C. and D.E.L.'s wrists; threw L.S.C. and D.E.L. overboard, pulling them up so their heads were just above the water; and anchored the rope to the inside of the boat.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Movant and Ibarguen sexually assaulted E.M.A. and then killed her by cutting her throat.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Then, they brought D.E.L. back into the boat and cut his throat, killing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While Movant and Ibarguen struggled with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D.E.L.'s body, L.S.C. freed himself and swam away and hid in the mangroves.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A local fisherman discovered L.S.C. the next day, and L.S.C. was rescued by the Colombian Navy.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L.S.C. identified photographs of Movant, Weir, Ibarguen, and Valencia "as the men who had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group and that Ibarguen . . . and [Movant] participated in the sexual assault and murders."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8"/>
      <w:bookmarkEnd w:id="24"/>
      <w:bookmarkStart w:id="25" w:name="Bookmark_I67Y17412D6N220030000400"/>
      <w:bookmarkEnd w:id="25"/>
      <w:r>
        <w:rPr>
          <w:rFonts w:ascii="arial" w:eastAsia="arial" w:hAnsi="arial" w:cs="arial"/>
          <w:b w:val="0"/>
          <w:i w:val="0"/>
          <w:strike w:val="0"/>
          <w:noProof w:val="0"/>
          <w:color w:val="000000"/>
          <w:position w:val="0"/>
          <w:sz w:val="20"/>
          <w:u w:val="none"/>
          <w:vertAlign w:val="baseline"/>
        </w:rPr>
        <w:t xml:space="preserve">Three days after the murders, Colombia law enforcement arrested Movant and Ibarguen at a hotel in Turbo, Colombia. </w:t>
      </w:r>
      <w:bookmarkStart w:id="26" w:name="Bookmark_I67Y17412D6N220020000400"/>
      <w:bookmarkEnd w:id="26"/>
      <w:hyperlink r:id="rId12" w:history="1">
        <w:r>
          <w:rPr>
            <w:rFonts w:ascii="arial" w:eastAsia="arial" w:hAnsi="arial" w:cs="arial"/>
            <w:b w:val="0"/>
            <w:i/>
            <w:strike w:val="0"/>
            <w:noProof w:val="0"/>
            <w:color w:val="0077CC"/>
            <w:position w:val="0"/>
            <w:sz w:val="20"/>
            <w:u w:val="single"/>
            <w:vertAlign w:val="baseline"/>
          </w:rPr>
          <w:t>Asprilla</w:t>
        </w:r>
      </w:hyperlink>
      <w:hyperlink r:id="rId12" w:history="1">
        <w:r>
          <w:rPr>
            <w:rFonts w:ascii="arial" w:eastAsia="arial" w:hAnsi="arial" w:cs="arial"/>
            <w:b w:val="0"/>
            <w:i/>
            <w:strike w:val="0"/>
            <w:noProof w:val="0"/>
            <w:color w:val="0077CC"/>
            <w:position w:val="0"/>
            <w:sz w:val="20"/>
            <w:u w:val="single"/>
            <w:vertAlign w:val="baseline"/>
          </w:rPr>
          <w:t>, 821 F. App'x at 947</w:t>
        </w:r>
      </w:hyperlink>
      <w:r>
        <w:rPr>
          <w:rFonts w:ascii="arial" w:eastAsia="arial" w:hAnsi="arial" w:cs="arial"/>
          <w:b w:val="0"/>
          <w:i w:val="0"/>
          <w:strike w:val="0"/>
          <w:noProof w:val="0"/>
          <w:color w:val="000000"/>
          <w:position w:val="0"/>
          <w:sz w:val="20"/>
          <w:u w:val="none"/>
          <w:vertAlign w:val="baseline"/>
        </w:rPr>
        <w:t xml:space="preserve">. The police recovered some of the Victims' personal belongings in Movant's and Ibarguen's hotel rooms.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Colombia, Movant pleaded guilty to murder, rape, aggravated robbery, and femicide and was sentenced to forty-three years and six months in prison.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Extradition and Plea Agreement</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On January 6, 2017, a grand jury sitting in the Southern District of Florida returned an indictment charging Movant and co-defendants Weir, Ibarguen, and Valencia with four counts: one count of conspiracy to encourage and induce aliens to enter the United States, resulting in two deaths and the placement of a third person's life in jeopardy, in violation of </w:t>
      </w:r>
      <w:hyperlink r:id="rId13"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(B)(iii)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(B)(iv)</w:t>
        </w:r>
      </w:hyperlink>
      <w:r>
        <w:rPr>
          <w:rFonts w:ascii="arial" w:eastAsia="arial" w:hAnsi="arial" w:cs="arial"/>
          <w:b w:val="0"/>
          <w:i w:val="0"/>
          <w:strike w:val="0"/>
          <w:noProof w:val="0"/>
          <w:color w:val="000000"/>
          <w:position w:val="0"/>
          <w:sz w:val="20"/>
          <w:u w:val="none"/>
          <w:vertAlign w:val="baseline"/>
        </w:rPr>
        <w:t>, (Count I); and three counts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encouraging and inducing aliens to enter the United States in reckless disregard of the law, which resulted in two deaths and the placement of a third person's life in jeopardy, in violation of </w:t>
      </w:r>
      <w:hyperlink r:id="rId13"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(B)(iv)</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(B)(iii)</w:t>
        </w:r>
      </w:hyperlink>
      <w:r>
        <w:rPr>
          <w:rFonts w:ascii="arial" w:eastAsia="arial" w:hAnsi="arial" w:cs="arial"/>
          <w:b w:val="0"/>
          <w:i w:val="0"/>
          <w:strike w:val="0"/>
          <w:noProof w:val="0"/>
          <w:color w:val="000000"/>
          <w:position w:val="0"/>
          <w:sz w:val="20"/>
          <w:u w:val="none"/>
          <w:vertAlign w:val="baseline"/>
        </w:rPr>
        <w:t>, (Counts II-IV). (ECF-Cr. No. 8.)</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On January 19,2018, Movant was extradited to the United States. (ECF-Cr. No. 118 ¶ 17.) On October 24, 2018, Movant pleaded guilty to all four counts in the Indictment without a written plea agreement but with a stipulated Factual Proffer. (ECF-Cr. No. 101.) During the change of plea hearing on October 24, 2018, Spanish interpreters provided contemporaneous interpretation from English to Spanish of the proceedings. (ECF-Cr. No. 176 at 2:7-3:25.) Movant was placed under oath and stated that he was twenty-three-years-old, had completed the seventh grade in school, and was not under the influence of any drugs or alcohol.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3:25-4:19.) Movant said that he had the opportunity to fully discuss the charges against him and the case in general with his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5:23-6:2.) Movant also affirmed that he was fully satisfied by his attorney's representation and advice.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6:3-6). Defense counsel then made the following record:</w:t>
      </w:r>
    </w:p>
    <w:p>
      <w:pPr>
        <w:keepNext w:val="0"/>
        <w:spacing w:before="200" w:after="0" w:line="260" w:lineRule="atLeast"/>
        <w:ind w:left="40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I've gone over everything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him in Spanish with Spanish interpreters. We've translated the indictment, including your questions, by the way, which we went over as late as yesterday. I wanted to make sure he understands everything. I've gone over the sentencing guidelines with him. I've explained everything to him that, as you're about to tell him, that you have the final say on the sentence.</w:t>
      </w:r>
    </w:p>
    <w:p>
      <w:pPr>
        <w:keepNext w:val="0"/>
        <w:spacing w:after="0" w:line="260" w:lineRule="atLeast"/>
        <w:ind w:left="40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He also, we talked about defenses. There was [sic] some defenses initially pertaining to jurisdiction and those matters, which I'm satisfied the Government could overcome after seeing all their proof. . . .</w:t>
      </w:r>
    </w:p>
    <w:p>
      <w:pPr>
        <w:keepNext w:val="0"/>
        <w:spacing w:after="0" w:line="260" w:lineRule="atLeast"/>
        <w:ind w:left="40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So I want the record to be very clear, because although he only has a 7th grade education, he's asked a number of pretty good questions, and I want the court to know that we have gone over everything more than once with a Spanish interpreter and with a lawyer who is in court with me today who has volunteered to help me ....</w:t>
      </w:r>
    </w:p>
    <w:p>
      <w:pPr>
        <w:keepNext w:val="0"/>
        <w:spacing w:after="0" w:line="260" w:lineRule="atLeast"/>
        <w:ind w:left="40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So I just want you to know that this had been an ongoing and a very detailed process, and I'm satisfied that I've answered all his questions and any of the questions that could have been raised had we gone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6:12-7:18.) This Court advised Movant of his trial rights, and Movant agreed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waive those rights to plead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7:22-9:13.) Movant was advised of the maximum penalties for each count in the indictment and the elements the Government would have to prove at trial beyond a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10:2-12:20.) The Government read the signed Factual Proffer into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13:1-18:19), and Movant acknowledged that it was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Movant said he agreed that the Government could prove what it had said on the record if the case went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18:20-25.) Movant confirmed that he signed the factual proffer and that it was translated for him before he signed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19:12-20:7.) Movant stated that he had not been promised anything to induce a plea of guilty and that he had not been threatened or coerced in any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20:8-16.) Movant then pleaded guilty to Counts I-IV of the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PSI, Sentencing, and Motion to Vacate</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 xml:space="preserve">The United States Probation Office prepared a Presentence Investigation Report ("PSI"). (ECF-Cr. No. 118). The PSI set Movant's base offense level at 43, applying </w:t>
      </w:r>
      <w:hyperlink r:id="rId14" w:history="1">
        <w:r>
          <w:rPr>
            <w:rFonts w:ascii="arial" w:eastAsia="arial" w:hAnsi="arial" w:cs="arial"/>
            <w:b w:val="0"/>
            <w:i/>
            <w:strike w:val="0"/>
            <w:noProof w:val="0"/>
            <w:color w:val="0077CC"/>
            <w:position w:val="0"/>
            <w:sz w:val="20"/>
            <w:u w:val="single"/>
            <w:vertAlign w:val="baseline"/>
          </w:rPr>
          <w:t>U.S.S.G. § 2A1.1(a)</w:t>
        </w:r>
      </w:hyperlink>
      <w:r>
        <w:rPr>
          <w:rFonts w:ascii="arial" w:eastAsia="arial" w:hAnsi="arial" w:cs="arial"/>
          <w:b w:val="0"/>
          <w:i w:val="0"/>
          <w:strike w:val="0"/>
          <w:noProof w:val="0"/>
          <w:color w:val="000000"/>
          <w:position w:val="0"/>
          <w:sz w:val="20"/>
          <w:u w:val="none"/>
          <w:vertAlign w:val="baseline"/>
        </w:rPr>
        <w:t xml:space="preserve"> (first-degree murder) as the guideline pursuant to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guideline's cross-reference provision.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2L1.1(c)</w:t>
        </w:r>
      </w:hyperlink>
      <w:r>
        <w:rPr>
          <w:rFonts w:ascii="arial" w:eastAsia="arial" w:hAnsi="arial" w:cs="arial"/>
          <w:b w:val="0"/>
          <w:i w:val="0"/>
          <w:strike w:val="0"/>
          <w:noProof w:val="0"/>
          <w:color w:val="000000"/>
          <w:position w:val="0"/>
          <w:sz w:val="20"/>
          <w:u w:val="none"/>
          <w:vertAlign w:val="baseline"/>
        </w:rPr>
        <w:t>. The offense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level was increased by two points because a victim was physically restrained in the course of the offense, pursuant to </w:t>
      </w:r>
      <w:hyperlink r:id="rId16" w:history="1">
        <w:r>
          <w:rPr>
            <w:rFonts w:ascii="arial" w:eastAsia="arial" w:hAnsi="arial" w:cs="arial"/>
            <w:b w:val="0"/>
            <w:i/>
            <w:strike w:val="0"/>
            <w:noProof w:val="0"/>
            <w:color w:val="0077CC"/>
            <w:position w:val="0"/>
            <w:sz w:val="20"/>
            <w:u w:val="single"/>
            <w:vertAlign w:val="baseline"/>
          </w:rPr>
          <w:t>U.S.S.G.§ 3A1.3</w:t>
        </w:r>
      </w:hyperlink>
      <w:r>
        <w:rPr>
          <w:rFonts w:ascii="arial" w:eastAsia="arial" w:hAnsi="arial" w:cs="arial"/>
          <w:b w:val="0"/>
          <w:i w:val="0"/>
          <w:strike w:val="0"/>
          <w:noProof w:val="0"/>
          <w:color w:val="000000"/>
          <w:position w:val="0"/>
          <w:sz w:val="20"/>
          <w:u w:val="none"/>
          <w:vertAlign w:val="baseline"/>
        </w:rPr>
        <w:t>. (ECF-Cr. No. 118 ¶ 31.) Movant received a three-point reduction due to timely acceptance of responsibility.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36-37). The total adjusted offense level was 42.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 Movant had zero criminal histoiy points, resulting in a criminal history category of 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 With a total offense level of 42 and a criminal history category of I, Movant's advisory guideline range was 360 months to life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71.)</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 xml:space="preserve">Defense counsel objected to the PSI's application of first-degree murder under the cross-reference provision in </w:t>
      </w:r>
      <w:hyperlink r:id="rId15" w:history="1">
        <w:r>
          <w:rPr>
            <w:rFonts w:ascii="arial" w:eastAsia="arial" w:hAnsi="arial" w:cs="arial"/>
            <w:b w:val="0"/>
            <w:i/>
            <w:strike w:val="0"/>
            <w:noProof w:val="0"/>
            <w:color w:val="0077CC"/>
            <w:position w:val="0"/>
            <w:sz w:val="20"/>
            <w:u w:val="single"/>
            <w:vertAlign w:val="baseline"/>
          </w:rPr>
          <w:t>§ 2L1.1(c)</w:t>
        </w:r>
      </w:hyperlink>
      <w:r>
        <w:rPr>
          <w:rFonts w:ascii="arial" w:eastAsia="arial" w:hAnsi="arial" w:cs="arial"/>
          <w:b w:val="0"/>
          <w:i w:val="0"/>
          <w:strike w:val="0"/>
          <w:noProof w:val="0"/>
          <w:color w:val="000000"/>
          <w:position w:val="0"/>
          <w:sz w:val="20"/>
          <w:u w:val="none"/>
          <w:vertAlign w:val="baseline"/>
        </w:rPr>
        <w:t xml:space="preserve">, arguing that the guideline should have been based on second-degree murder, </w:t>
      </w:r>
      <w:hyperlink r:id="rId17" w:history="1">
        <w:r>
          <w:rPr>
            <w:rFonts w:ascii="arial" w:eastAsia="arial" w:hAnsi="arial" w:cs="arial"/>
            <w:b w:val="0"/>
            <w:i/>
            <w:strike w:val="0"/>
            <w:noProof w:val="0"/>
            <w:color w:val="0077CC"/>
            <w:position w:val="0"/>
            <w:sz w:val="20"/>
            <w:u w:val="single"/>
            <w:vertAlign w:val="baseline"/>
          </w:rPr>
          <w:t>§ 2A1.2</w:t>
        </w:r>
      </w:hyperlink>
      <w:r>
        <w:rPr>
          <w:rFonts w:ascii="arial" w:eastAsia="arial" w:hAnsi="arial" w:cs="arial"/>
          <w:b w:val="0"/>
          <w:i w:val="0"/>
          <w:strike w:val="0"/>
          <w:noProof w:val="0"/>
          <w:color w:val="000000"/>
          <w:position w:val="0"/>
          <w:sz w:val="20"/>
          <w:u w:val="none"/>
          <w:vertAlign w:val="baseline"/>
        </w:rPr>
        <w:t>. (ECF-CR. No. 151 at 5 n.9.) Defense counsel also filed a motion for a downward variance, (ECF-Cr. No. 146), and a motion for a downward departure, (ECF-Cr. No. 151). Defense counsel asked for a sentence of 168 months or less, stating that a greater term "would be tantamount to a life sentence" due to Movant's conviction and sentence in Columbia and would be procedurally incorrect and violate the terms of the agreement between the United States and Colombia.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(ECF-CR. No. 151, at 8.)</w:t>
      </w:r>
    </w:p>
    <w:p>
      <w:pPr>
        <w:keepNext w:val="0"/>
        <w:spacing w:before="24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 xml:space="preserve">On February 11, 2019, this Court held a sentencing hearing and sentenced Movant to 600 months' imprisonment as to each count, to run concurrently. (ECF-Cr. No. 156). Movant filed a timely notice of appeal. (ECF-Cr. No. 158). On July 14, 2020, the Eleventh Circuit affirmed Movant's sentence. (ECF-Cr. </w:t>
      </w:r>
      <w:bookmarkStart w:id="36" w:name="Bookmark_I67Y17412D6N220050000400"/>
      <w:bookmarkEnd w:id="36"/>
      <w:r>
        <w:rPr>
          <w:rFonts w:ascii="arial" w:eastAsia="arial" w:hAnsi="arial" w:cs="arial"/>
          <w:b w:val="0"/>
          <w:i w:val="0"/>
          <w:strike w:val="0"/>
          <w:noProof w:val="0"/>
          <w:color w:val="000000"/>
          <w:position w:val="0"/>
          <w:sz w:val="20"/>
          <w:u w:val="none"/>
          <w:vertAlign w:val="baseline"/>
        </w:rPr>
        <w:t xml:space="preserve">No. 195.) </w:t>
      </w:r>
      <w:bookmarkStart w:id="37" w:name="Bookmark_I67Y174128T45F0020000400"/>
      <w:bookmarkEnd w:id="37"/>
      <w:r>
        <w:rPr>
          <w:rFonts w:ascii="arial" w:eastAsia="arial" w:hAnsi="arial" w:cs="arial"/>
          <w:b w:val="0"/>
          <w:i w:val="0"/>
          <w:strike w:val="0"/>
          <w:noProof w:val="0"/>
          <w:color w:val="000000"/>
          <w:position w:val="0"/>
          <w:sz w:val="20"/>
          <w:u w:val="none"/>
          <w:vertAlign w:val="baseline"/>
        </w:rPr>
        <w:t xml:space="preserve">First, the Eleventh Circuit held that it lacked jurisdiction to review this Court's denial of Movant's motion for a downward departure. </w:t>
      </w:r>
      <w:bookmarkStart w:id="38" w:name="Bookmark_I67Y174128T45F0040000400"/>
      <w:bookmarkEnd w:id="38"/>
      <w:bookmarkStart w:id="39" w:name="Bookmark_I67Y17412D6N220040000400"/>
      <w:bookmarkEnd w:id="39"/>
      <w:hyperlink r:id="rId12" w:history="1">
        <w:r>
          <w:rPr>
            <w:rFonts w:ascii="arial" w:eastAsia="arial" w:hAnsi="arial" w:cs="arial"/>
            <w:b w:val="0"/>
            <w:i/>
            <w:strike w:val="0"/>
            <w:noProof w:val="0"/>
            <w:color w:val="0077CC"/>
            <w:position w:val="0"/>
            <w:sz w:val="20"/>
            <w:u w:val="single"/>
            <w:vertAlign w:val="baseline"/>
          </w:rPr>
          <w:t>Asprilla</w:t>
        </w:r>
      </w:hyperlink>
      <w:hyperlink r:id="rId12" w:history="1">
        <w:r>
          <w:rPr>
            <w:rFonts w:ascii="arial" w:eastAsia="arial" w:hAnsi="arial" w:cs="arial"/>
            <w:b w:val="0"/>
            <w:i/>
            <w:strike w:val="0"/>
            <w:noProof w:val="0"/>
            <w:color w:val="0077CC"/>
            <w:position w:val="0"/>
            <w:sz w:val="20"/>
            <w:u w:val="single"/>
            <w:vertAlign w:val="baseline"/>
          </w:rPr>
          <w:t>, 821 F. App'x at 950</w:t>
        </w:r>
      </w:hyperlink>
      <w:r>
        <w:rPr>
          <w:rFonts w:ascii="arial" w:eastAsia="arial" w:hAnsi="arial" w:cs="arial"/>
          <w:b w:val="0"/>
          <w:i w:val="0"/>
          <w:strike w:val="0"/>
          <w:noProof w:val="0"/>
          <w:color w:val="000000"/>
          <w:position w:val="0"/>
          <w:sz w:val="20"/>
          <w:u w:val="none"/>
          <w:vertAlign w:val="baseline"/>
        </w:rPr>
        <w:t xml:space="preserve">. </w:t>
      </w:r>
      <w:bookmarkStart w:id="40" w:name="Bookmark_I67Y174128T45F0040000400_2"/>
      <w:bookmarkEnd w:id="40"/>
      <w:bookmarkStart w:id="41" w:name="Bookmark_I67Y174128T45F0020000400_2"/>
      <w:bookmarkEnd w:id="41"/>
      <w:r>
        <w:rPr>
          <w:rFonts w:ascii="arial" w:eastAsia="arial" w:hAnsi="arial" w:cs="arial"/>
          <w:b w:val="0"/>
          <w:i w:val="0"/>
          <w:strike w:val="0"/>
          <w:noProof w:val="0"/>
          <w:color w:val="000000"/>
          <w:position w:val="0"/>
          <w:sz w:val="20"/>
          <w:u w:val="none"/>
          <w:vertAlign w:val="baseline"/>
        </w:rPr>
        <w:t xml:space="preserve">Second, the Eleventh Circuit held that this Court did not err in applying a first-degree murder cross-reference because Movant "admitted that before they set out on the boat, he and [Valencia] planned to rob the [Vjictims." </w:t>
      </w:r>
      <w:bookmarkStart w:id="42" w:name="Bookmark_I67Y174128T45F0010000400"/>
      <w:bookmarkEnd w:id="4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951</w:t>
        </w:r>
      </w:hyperlink>
      <w:r>
        <w:rPr>
          <w:rFonts w:ascii="arial" w:eastAsia="arial" w:hAnsi="arial" w:cs="arial"/>
          <w:b w:val="0"/>
          <w:i w:val="0"/>
          <w:strike w:val="0"/>
          <w:noProof w:val="0"/>
          <w:color w:val="000000"/>
          <w:position w:val="0"/>
          <w:sz w:val="20"/>
          <w:u w:val="none"/>
          <w:vertAlign w:val="baseline"/>
        </w:rPr>
        <w:t xml:space="preserve">. Third, the Eleventh Circuit held that this Court did not err in explaining Movant's total sentence because it "had numerous exchanges with the parties regarding elements of the crime . . . engaged in a thorough review of the PSI and [Movant's] objections on the record [and] . . . the district judge considered the </w:t>
      </w:r>
      <w:hyperlink r:id="rId18"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 . . ." </w:t>
      </w:r>
      <w:bookmarkStart w:id="43" w:name="Bookmark_I67Y174128T45F0030000400"/>
      <w:bookmarkEnd w:id="4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952</w:t>
        </w:r>
      </w:hyperlink>
      <w:r>
        <w:rPr>
          <w:rFonts w:ascii="arial" w:eastAsia="arial" w:hAnsi="arial" w:cs="arial"/>
          <w:b w:val="0"/>
          <w:i w:val="0"/>
          <w:strike w:val="0"/>
          <w:noProof w:val="0"/>
          <w:color w:val="000000"/>
          <w:position w:val="0"/>
          <w:sz w:val="20"/>
          <w:u w:val="none"/>
          <w:vertAlign w:val="baseline"/>
        </w:rPr>
        <w:t>. Movant did not file a writ of certiorari to the Supreme Court of the United States.</w:t>
      </w:r>
    </w:p>
    <w:p>
      <w:pPr>
        <w:keepNext w:val="0"/>
        <w:spacing w:before="240" w:after="0" w:line="260" w:lineRule="atLeast"/>
        <w:ind w:left="0" w:right="0" w:firstLine="0"/>
        <w:jc w:val="both"/>
      </w:pPr>
      <w:bookmarkStart w:id="44" w:name="Bookmark_para_18"/>
      <w:bookmarkEnd w:id="44"/>
      <w:bookmarkStart w:id="45" w:name="Bookmark_I67Y17412SF7RC0010000400"/>
      <w:bookmarkEnd w:id="45"/>
      <w:r>
        <w:rPr>
          <w:rFonts w:ascii="arial" w:eastAsia="arial" w:hAnsi="arial" w:cs="arial"/>
          <w:b w:val="0"/>
          <w:i w:val="0"/>
          <w:strike w:val="0"/>
          <w:noProof w:val="0"/>
          <w:color w:val="000000"/>
          <w:position w:val="0"/>
          <w:sz w:val="20"/>
          <w:u w:val="none"/>
          <w:vertAlign w:val="baseline"/>
        </w:rPr>
        <w:t xml:space="preserve">On September 24, 2021, Movant filed the Motion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(ECF No. 1.) Construing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Motion liberally, as this Court must due to Movant's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under </w:t>
      </w:r>
      <w:bookmarkStart w:id="46" w:name="Bookmark_I67Y174128T45F0050000400"/>
      <w:bookmarkEnd w:id="46"/>
      <w:hyperlink r:id="rId19" w:history="1">
        <w:r>
          <w:rPr>
            <w:rFonts w:ascii="arial" w:eastAsia="arial" w:hAnsi="arial" w:cs="arial"/>
            <w:b w:val="0"/>
            <w:i/>
            <w:strike w:val="0"/>
            <w:noProof w:val="0"/>
            <w:color w:val="0077CC"/>
            <w:position w:val="0"/>
            <w:sz w:val="20"/>
            <w:u w:val="single"/>
            <w:vertAlign w:val="baseline"/>
          </w:rPr>
          <w:t>Haines v. Kerner</w:t>
        </w:r>
      </w:hyperlink>
      <w:hyperlink r:id="rId19" w:history="1">
        <w:r>
          <w:rPr>
            <w:rFonts w:ascii="arial" w:eastAsia="arial" w:hAnsi="arial" w:cs="arial"/>
            <w:b w:val="0"/>
            <w:i/>
            <w:strike w:val="0"/>
            <w:noProof w:val="0"/>
            <w:color w:val="0077CC"/>
            <w:position w:val="0"/>
            <w:sz w:val="20"/>
            <w:u w:val="single"/>
            <w:vertAlign w:val="baseline"/>
          </w:rPr>
          <w:t>, 404 U.S. 519, 92 S. Ct. 594, 30 L. Ed. 2d 652 (1972)</w:t>
        </w:r>
      </w:hyperlink>
      <w:r>
        <w:rPr>
          <w:rFonts w:ascii="arial" w:eastAsia="arial" w:hAnsi="arial" w:cs="arial"/>
          <w:b w:val="0"/>
          <w:i w:val="0"/>
          <w:strike w:val="0"/>
          <w:noProof w:val="0"/>
          <w:color w:val="000000"/>
          <w:position w:val="0"/>
          <w:sz w:val="20"/>
          <w:u w:val="none"/>
          <w:vertAlign w:val="baseline"/>
        </w:rPr>
        <w:t>, Movant raises two grounds for ineffective assistance of counsel:</w:t>
      </w:r>
    </w:p>
    <w:p>
      <w:pPr>
        <w:keepNext w:val="0"/>
        <w:spacing w:before="200" w:after="0" w:line="260" w:lineRule="atLeast"/>
        <w:ind w:left="40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1. Trial counsel was ineffective for failing to investigate and argue that Movant did not commit any offense against the United States ("Ground 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and</w:t>
      </w:r>
    </w:p>
    <w:p>
      <w:pPr>
        <w:keepNext w:val="0"/>
        <w:spacing w:after="0" w:line="260" w:lineRule="atLeast"/>
        <w:ind w:left="40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2. Trial counsel was ineffective for failing to seek a mental health evaluation to present during sentencing ("Ground Two"), (ECF No. 1-1 at 12 n.2).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filed its Response in which it argues that the Motion is without merit.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12.) Movant then filed a Reply. (ECF No. 14.) The matter is now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 2255</w:t>
        </w:r>
      </w:hyperlink>
    </w:p>
    <w:p>
      <w:pPr>
        <w:keepNext w:val="0"/>
        <w:spacing w:before="240" w:after="0" w:line="260" w:lineRule="atLeast"/>
        <w:ind w:left="0" w:right="0" w:firstLine="0"/>
        <w:jc w:val="both"/>
      </w:pPr>
      <w:bookmarkStart w:id="49" w:name="Bookmark_para_21"/>
      <w:bookmarkEnd w:id="49"/>
      <w:bookmarkStart w:id="50" w:name="Bookmark_I67Y17412SF7RC0030000400"/>
      <w:bookmarkEnd w:id="50"/>
      <w:r>
        <w:rPr>
          <w:rFonts w:ascii="arial" w:eastAsia="arial" w:hAnsi="arial" w:cs="arial"/>
          <w:b w:val="0"/>
          <w:i w:val="0"/>
          <w:strike w:val="0"/>
          <w:noProof w:val="0"/>
          <w:color w:val="000000"/>
          <w:position w:val="0"/>
          <w:sz w:val="20"/>
          <w:u w:val="none"/>
          <w:vertAlign w:val="baseline"/>
        </w:rPr>
        <w:t xml:space="preserve">Because collateral review is not a substitute for direct appeal, the grounds for collateral attack on a final judgment, pursuant to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are extremely limited. </w:t>
      </w:r>
      <w:bookmarkStart w:id="51" w:name="Bookmark_I67Y17412SF7RC005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7Y17412SF7RC0020000400"/>
      <w:bookmarkEnd w:id="52"/>
      <w:hyperlink r:id="rId20" w:history="1">
        <w:r>
          <w:rPr>
            <w:rFonts w:ascii="arial" w:eastAsia="arial" w:hAnsi="arial" w:cs="arial"/>
            <w:b w:val="0"/>
            <w:i/>
            <w:strike w:val="0"/>
            <w:noProof w:val="0"/>
            <w:color w:val="0077CC"/>
            <w:position w:val="0"/>
            <w:sz w:val="20"/>
            <w:u w:val="single"/>
            <w:vertAlign w:val="baseline"/>
          </w:rPr>
          <w:t>Lynn v. United States</w:t>
        </w:r>
      </w:hyperlink>
      <w:hyperlink r:id="rId20" w:history="1">
        <w:r>
          <w:rPr>
            <w:rFonts w:ascii="arial" w:eastAsia="arial" w:hAnsi="arial" w:cs="arial"/>
            <w:b w:val="0"/>
            <w:i/>
            <w:strike w:val="0"/>
            <w:noProof w:val="0"/>
            <w:color w:val="0077CC"/>
            <w:position w:val="0"/>
            <w:sz w:val="20"/>
            <w:u w:val="single"/>
            <w:vertAlign w:val="baseline"/>
          </w:rPr>
          <w:t>, 365 F.3d 1225, 1232 (11th Cir. 2004)</w:t>
        </w:r>
      </w:hyperlink>
      <w:r>
        <w:rPr>
          <w:rFonts w:ascii="arial" w:eastAsia="arial" w:hAnsi="arial" w:cs="arial"/>
          <w:b w:val="0"/>
          <w:i w:val="0"/>
          <w:strike w:val="0"/>
          <w:noProof w:val="0"/>
          <w:color w:val="000000"/>
          <w:position w:val="0"/>
          <w:sz w:val="20"/>
          <w:u w:val="none"/>
          <w:vertAlign w:val="baseline"/>
        </w:rPr>
        <w:t xml:space="preserve">. </w:t>
      </w:r>
      <w:bookmarkStart w:id="53" w:name="Bookmark_I67Y174128T45S0020000400"/>
      <w:bookmarkEnd w:id="53"/>
      <w:r>
        <w:rPr>
          <w:rFonts w:ascii="arial" w:eastAsia="arial" w:hAnsi="arial" w:cs="arial"/>
          <w:b w:val="0"/>
          <w:i w:val="0"/>
          <w:strike w:val="0"/>
          <w:noProof w:val="0"/>
          <w:color w:val="000000"/>
          <w:position w:val="0"/>
          <w:sz w:val="20"/>
          <w:u w:val="none"/>
          <w:vertAlign w:val="baseline"/>
        </w:rPr>
        <w:t xml:space="preserve">A prisoner is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if the court imposed a sentence that (1) violated the Constitution or laws of the United States; (2) exceeded its jurisdiction; (3) exceeded the maximum authorized by law; or (4) is otherwise subject to collateral attack. </w:t>
      </w:r>
      <w:bookmarkStart w:id="54" w:name="Bookmark_I67Y174128T45S0020000400_2"/>
      <w:bookmarkEnd w:id="54"/>
      <w:bookmarkStart w:id="55" w:name="Bookmark_I67Y17412SF7RC0050000400_2"/>
      <w:bookmarkEnd w:id="5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2255(a)</w:t>
        </w:r>
      </w:hyperlink>
      <w:r>
        <w:rPr>
          <w:rFonts w:ascii="arial" w:eastAsia="arial" w:hAnsi="arial" w:cs="arial"/>
          <w:b w:val="0"/>
          <w:i w:val="0"/>
          <w:strike w:val="0"/>
          <w:noProof w:val="0"/>
          <w:color w:val="000000"/>
          <w:position w:val="0"/>
          <w:sz w:val="20"/>
          <w:u w:val="none"/>
          <w:vertAlign w:val="baseline"/>
        </w:rPr>
        <w:t xml:space="preserve">; </w:t>
      </w:r>
      <w:bookmarkStart w:id="56" w:name="Bookmark_I67Y17412SF7RC0040000400"/>
      <w:bookmarkEnd w:id="56"/>
      <w:hyperlink r:id="rId21" w:history="1">
        <w:r>
          <w:rPr>
            <w:rFonts w:ascii="arial" w:eastAsia="arial" w:hAnsi="arial" w:cs="arial"/>
            <w:b w:val="0"/>
            <w:i/>
            <w:strike w:val="0"/>
            <w:noProof w:val="0"/>
            <w:color w:val="0077CC"/>
            <w:position w:val="0"/>
            <w:sz w:val="20"/>
            <w:u w:val="single"/>
            <w:vertAlign w:val="baseline"/>
          </w:rPr>
          <w:t>McKay v. United States</w:t>
        </w:r>
      </w:hyperlink>
      <w:hyperlink r:id="rId21" w:history="1">
        <w:r>
          <w:rPr>
            <w:rFonts w:ascii="arial" w:eastAsia="arial" w:hAnsi="arial" w:cs="arial"/>
            <w:b w:val="0"/>
            <w:i/>
            <w:strike w:val="0"/>
            <w:noProof w:val="0"/>
            <w:color w:val="0077CC"/>
            <w:position w:val="0"/>
            <w:sz w:val="20"/>
            <w:u w:val="single"/>
            <w:vertAlign w:val="baseline"/>
          </w:rPr>
          <w:t>, 657 F.3d 1190, 1194 n.8 (11th Cir. 2011)</w:t>
        </w:r>
      </w:hyperlink>
      <w:r>
        <w:rPr>
          <w:rFonts w:ascii="arial" w:eastAsia="arial" w:hAnsi="arial" w:cs="arial"/>
          <w:b w:val="0"/>
          <w:i w:val="0"/>
          <w:strike w:val="0"/>
          <w:noProof w:val="0"/>
          <w:color w:val="000000"/>
          <w:position w:val="0"/>
          <w:sz w:val="20"/>
          <w:u w:val="none"/>
          <w:vertAlign w:val="baseline"/>
        </w:rPr>
        <w:t xml:space="preserve">. Thus, relief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that narrow</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compass of other injury that could not have been raised in direct appeal and would, if condoned, result in a complete miscarriage of justice." </w:t>
      </w:r>
      <w:bookmarkStart w:id="57" w:name="Bookmark_I67Y174128T45S0010000400"/>
      <w:bookmarkEnd w:id="57"/>
      <w:hyperlink r:id="rId20" w:history="1">
        <w:r>
          <w:rPr>
            <w:rFonts w:ascii="arial" w:eastAsia="arial" w:hAnsi="arial" w:cs="arial"/>
            <w:b w:val="0"/>
            <w:i/>
            <w:strike w:val="0"/>
            <w:noProof w:val="0"/>
            <w:color w:val="0077CC"/>
            <w:position w:val="0"/>
            <w:sz w:val="20"/>
            <w:u w:val="single"/>
            <w:vertAlign w:val="baseline"/>
          </w:rPr>
          <w:t>Lynn</w:t>
        </w:r>
      </w:hyperlink>
      <w:hyperlink r:id="rId20" w:history="1">
        <w:r>
          <w:rPr>
            <w:rFonts w:ascii="arial" w:eastAsia="arial" w:hAnsi="arial" w:cs="arial"/>
            <w:b w:val="0"/>
            <w:i/>
            <w:strike w:val="0"/>
            <w:noProof w:val="0"/>
            <w:color w:val="0077CC"/>
            <w:position w:val="0"/>
            <w:sz w:val="20"/>
            <w:u w:val="single"/>
            <w:vertAlign w:val="baseline"/>
          </w:rPr>
          <w:t>, 365 F.3d at 1232</w:t>
        </w:r>
      </w:hyperlink>
      <w:r>
        <w:rPr>
          <w:rFonts w:ascii="arial" w:eastAsia="arial" w:hAnsi="arial" w:cs="arial"/>
          <w:b w:val="0"/>
          <w:i w:val="0"/>
          <w:strike w:val="0"/>
          <w:noProof w:val="0"/>
          <w:color w:val="000000"/>
          <w:position w:val="0"/>
          <w:sz w:val="20"/>
          <w:u w:val="none"/>
          <w:vertAlign w:val="baseline"/>
        </w:rPr>
        <w:t xml:space="preserve">; </w:t>
      </w:r>
      <w:bookmarkStart w:id="58" w:name="Bookmark_I67Y174128T45S0030000400"/>
      <w:bookmarkEnd w:id="58"/>
      <w:hyperlink r:id="rId22" w:history="1">
        <w:r>
          <w:rPr>
            <w:rFonts w:ascii="arial" w:eastAsia="arial" w:hAnsi="arial" w:cs="arial"/>
            <w:b w:val="0"/>
            <w:i/>
            <w:strike w:val="0"/>
            <w:noProof w:val="0"/>
            <w:color w:val="0077CC"/>
            <w:position w:val="0"/>
            <w:sz w:val="20"/>
            <w:u w:val="single"/>
            <w:vertAlign w:val="baseline"/>
          </w:rPr>
          <w:t>United States v. Frady</w:t>
        </w:r>
      </w:hyperlink>
      <w:hyperlink r:id="rId22" w:history="1">
        <w:r>
          <w:rPr>
            <w:rFonts w:ascii="arial" w:eastAsia="arial" w:hAnsi="arial" w:cs="arial"/>
            <w:b w:val="0"/>
            <w:i/>
            <w:strike w:val="0"/>
            <w:noProof w:val="0"/>
            <w:color w:val="0077CC"/>
            <w:position w:val="0"/>
            <w:sz w:val="20"/>
            <w:u w:val="single"/>
            <w:vertAlign w:val="baseline"/>
          </w:rPr>
          <w:t>, 456 U.S. 152, 165,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59" w:name="Bookmark_I67Y174128T45V0010000400"/>
      <w:bookmarkEnd w:id="59"/>
      <w:r>
        <w:rPr>
          <w:rFonts w:ascii="arial" w:eastAsia="arial" w:hAnsi="arial" w:cs="arial"/>
          <w:b w:val="0"/>
          <w:i w:val="0"/>
          <w:strike w:val="0"/>
          <w:noProof w:val="0"/>
          <w:color w:val="000000"/>
          <w:position w:val="0"/>
          <w:sz w:val="20"/>
          <w:u w:val="none"/>
          <w:vertAlign w:val="baseline"/>
        </w:rPr>
        <w:t xml:space="preserve">If a court finds a claim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valid, the court "shall vacate and set the judgment aside and shall discharge the prisoner or resentence him or grant a new trial or correct the sentence." </w:t>
      </w:r>
      <w:hyperlink r:id="rId11" w:history="1">
        <w:r>
          <w:rPr>
            <w:rFonts w:ascii="arial" w:eastAsia="arial" w:hAnsi="arial" w:cs="arial"/>
            <w:b w:val="0"/>
            <w:i/>
            <w:strike w:val="0"/>
            <w:noProof w:val="0"/>
            <w:color w:val="0077CC"/>
            <w:position w:val="0"/>
            <w:sz w:val="20"/>
            <w:u w:val="single"/>
            <w:vertAlign w:val="baseline"/>
          </w:rPr>
          <w:t>§ 2255(b)</w:t>
        </w:r>
      </w:hyperlink>
      <w:r>
        <w:rPr>
          <w:rFonts w:ascii="arial" w:eastAsia="arial" w:hAnsi="arial" w:cs="arial"/>
          <w:b w:val="0"/>
          <w:i w:val="0"/>
          <w:strike w:val="0"/>
          <w:noProof w:val="0"/>
          <w:color w:val="000000"/>
          <w:position w:val="0"/>
          <w:sz w:val="20"/>
          <w:u w:val="none"/>
          <w:vertAlign w:val="baseline"/>
        </w:rPr>
        <w:t xml:space="preserve">. The burden of proof is on Movant—not the Government—to establish that the sentence must be vacated. </w:t>
      </w:r>
      <w:r>
        <w:rPr>
          <w:rFonts w:ascii="arial" w:eastAsia="arial" w:hAnsi="arial" w:cs="arial"/>
          <w:b w:val="0"/>
          <w:i/>
          <w:strike w:val="0"/>
          <w:noProof w:val="0"/>
          <w:color w:val="000000"/>
          <w:position w:val="0"/>
          <w:sz w:val="20"/>
          <w:u w:val="none"/>
          <w:vertAlign w:val="baseline"/>
        </w:rPr>
        <w:t xml:space="preserve">See </w:t>
      </w:r>
      <w:bookmarkStart w:id="60" w:name="Bookmark_I67Y174128T45S0050000400"/>
      <w:bookmarkEnd w:id="60"/>
      <w:hyperlink r:id="rId23" w:history="1">
        <w:r>
          <w:rPr>
            <w:rFonts w:ascii="arial" w:eastAsia="arial" w:hAnsi="arial" w:cs="arial"/>
            <w:b w:val="0"/>
            <w:i/>
            <w:strike w:val="0"/>
            <w:noProof w:val="0"/>
            <w:color w:val="0077CC"/>
            <w:position w:val="0"/>
            <w:sz w:val="20"/>
            <w:u w:val="single"/>
            <w:vertAlign w:val="baseline"/>
          </w:rPr>
          <w:t>Beeman v. United States</w:t>
        </w:r>
      </w:hyperlink>
      <w:hyperlink r:id="rId23" w:history="1">
        <w:r>
          <w:rPr>
            <w:rFonts w:ascii="arial" w:eastAsia="arial" w:hAnsi="arial" w:cs="arial"/>
            <w:b w:val="0"/>
            <w:i/>
            <w:strike w:val="0"/>
            <w:noProof w:val="0"/>
            <w:color w:val="0077CC"/>
            <w:position w:val="0"/>
            <w:sz w:val="20"/>
            <w:u w:val="single"/>
            <w:vertAlign w:val="baseline"/>
          </w:rPr>
          <w:t>, 871 F.3d 1215, 1221-22 (11th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Ineffective-Assistcmce-of-Coimsel Principles</w:t>
      </w:r>
    </w:p>
    <w:p>
      <w:pPr>
        <w:keepNext w:val="0"/>
        <w:spacing w:before="240" w:after="0" w:line="260" w:lineRule="atLeast"/>
        <w:ind w:left="0" w:right="0" w:firstLine="0"/>
        <w:jc w:val="both"/>
      </w:pPr>
      <w:bookmarkStart w:id="61" w:name="Bookmark_para_22"/>
      <w:bookmarkEnd w:id="61"/>
      <w:bookmarkStart w:id="62" w:name="Bookmark_I67Y174128T45V0030000400"/>
      <w:bookmarkEnd w:id="62"/>
      <w:r>
        <w:rPr>
          <w:rFonts w:ascii="arial" w:eastAsia="arial" w:hAnsi="arial" w:cs="arial"/>
          <w:b w:val="0"/>
          <w:i w:val="0"/>
          <w:strike w:val="0"/>
          <w:noProof w:val="0"/>
          <w:color w:val="000000"/>
          <w:position w:val="0"/>
          <w:sz w:val="20"/>
          <w:u w:val="none"/>
          <w:vertAlign w:val="baseline"/>
        </w:rPr>
        <w:t xml:space="preserve">The </w:t>
      </w:r>
      <w:hyperlink r:id="rId2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affords a criminal defendant the right to "the Assistance of Counsel for his defense." </w:t>
      </w:r>
      <w:hyperlink r:id="rId2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To prevail on a claim of ineffective assistance of counsel, a habeas petitioner must demonstrate (1) that counsel's performance was deficient and (2) a reasonable probability that the deficient performance prejudiced the defense. </w:t>
      </w:r>
      <w:bookmarkStart w:id="63" w:name="Bookmark_I67Y174128T45V0050000400"/>
      <w:bookmarkEnd w:id="63"/>
      <w:r>
        <w:rPr>
          <w:rFonts w:ascii="arial" w:eastAsia="arial" w:hAnsi="arial" w:cs="arial"/>
          <w:b w:val="0"/>
          <w:i/>
          <w:strike w:val="0"/>
          <w:noProof w:val="0"/>
          <w:color w:val="000000"/>
          <w:position w:val="0"/>
          <w:sz w:val="20"/>
          <w:u w:val="none"/>
          <w:vertAlign w:val="baseline"/>
        </w:rPr>
        <w:t xml:space="preserve">See </w:t>
      </w:r>
      <w:bookmarkStart w:id="64" w:name="Bookmark_I67Y174128T45V0020000400"/>
      <w:bookmarkEnd w:id="64"/>
      <w:hyperlink r:id="rId25" w:history="1">
        <w:r>
          <w:rPr>
            <w:rFonts w:ascii="arial" w:eastAsia="arial" w:hAnsi="arial" w:cs="arial"/>
            <w:b w:val="0"/>
            <w:i/>
            <w:strike w:val="0"/>
            <w:noProof w:val="0"/>
            <w:color w:val="0077CC"/>
            <w:position w:val="0"/>
            <w:sz w:val="20"/>
            <w:u w:val="single"/>
            <w:vertAlign w:val="baseline"/>
          </w:rPr>
          <w:t>Strickland v. Washington</w:t>
        </w:r>
      </w:hyperlink>
      <w:hyperlink r:id="rId25" w:history="1">
        <w:r>
          <w:rPr>
            <w:rFonts w:ascii="arial" w:eastAsia="arial" w:hAnsi="arial" w:cs="arial"/>
            <w:b w:val="0"/>
            <w:i/>
            <w:strike w:val="0"/>
            <w:noProof w:val="0"/>
            <w:color w:val="0077CC"/>
            <w:position w:val="0"/>
            <w:sz w:val="20"/>
            <w:u w:val="single"/>
            <w:vertAlign w:val="baseline"/>
          </w:rPr>
          <w:t>, 466 U.S. 668, 687, 694, 104 S. Ct. 2052, 80 L. Ed. 2d 674 (1984)</w:t>
        </w:r>
      </w:hyperlink>
      <w:r>
        <w:rPr>
          <w:rFonts w:ascii="arial" w:eastAsia="arial" w:hAnsi="arial" w:cs="arial"/>
          <w:b w:val="0"/>
          <w:i w:val="0"/>
          <w:strike w:val="0"/>
          <w:noProof w:val="0"/>
          <w:color w:val="000000"/>
          <w:position w:val="0"/>
          <w:sz w:val="20"/>
          <w:u w:val="none"/>
          <w:vertAlign w:val="baseline"/>
        </w:rPr>
        <w:t>. If the movant cannot meet one of</w:t>
      </w:r>
      <w:r>
        <w:rPr>
          <w:rFonts w:ascii="arial" w:eastAsia="arial" w:hAnsi="arial" w:cs="arial"/>
          <w:b w:val="0"/>
          <w:i/>
          <w:strike w:val="0"/>
          <w:noProof w:val="0"/>
          <w:color w:val="000000"/>
          <w:position w:val="0"/>
          <w:sz w:val="20"/>
          <w:u w:val="none"/>
          <w:vertAlign w:val="baseline"/>
        </w:rPr>
        <w:t>Strickland's</w:t>
      </w:r>
      <w:r>
        <w:rPr>
          <w:rFonts w:ascii="arial" w:eastAsia="arial" w:hAnsi="arial" w:cs="arial"/>
          <w:b w:val="0"/>
          <w:i w:val="0"/>
          <w:strike w:val="0"/>
          <w:noProof w:val="0"/>
          <w:color w:val="000000"/>
          <w:position w:val="0"/>
          <w:sz w:val="20"/>
          <w:u w:val="none"/>
          <w:vertAlign w:val="baseline"/>
        </w:rPr>
        <w:t xml:space="preserve"> prongs, this Court need not address the other prong. </w:t>
      </w:r>
      <w:bookmarkStart w:id="65" w:name="Bookmark_I67Y174128T45V0050000400_2"/>
      <w:bookmarkEnd w:id="65"/>
      <w:bookmarkStart w:id="66" w:name="Bookmark_I67Y174128T45V0040000400"/>
      <w:bookmarkEnd w:id="66"/>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w:t>
      </w:r>
      <w:bookmarkStart w:id="67" w:name="Bookmark_I67Y174228T4600010000400"/>
      <w:bookmarkEnd w:id="67"/>
      <w:hyperlink r:id="rId26" w:history="1">
        <w:r>
          <w:rPr>
            <w:rFonts w:ascii="arial" w:eastAsia="arial" w:hAnsi="arial" w:cs="arial"/>
            <w:b w:val="0"/>
            <w:i/>
            <w:strike w:val="0"/>
            <w:noProof w:val="0"/>
            <w:color w:val="0077CC"/>
            <w:position w:val="0"/>
            <w:sz w:val="20"/>
            <w:u w:val="single"/>
            <w:vertAlign w:val="baseline"/>
          </w:rPr>
          <w:t>Brown v. United States</w:t>
        </w:r>
      </w:hyperlink>
      <w:hyperlink r:id="rId26" w:history="1">
        <w:r>
          <w:rPr>
            <w:rFonts w:ascii="arial" w:eastAsia="arial" w:hAnsi="arial" w:cs="arial"/>
            <w:b w:val="0"/>
            <w:i/>
            <w:strike w:val="0"/>
            <w:noProof w:val="0"/>
            <w:color w:val="0077CC"/>
            <w:position w:val="0"/>
            <w:sz w:val="20"/>
            <w:u w:val="single"/>
            <w:vertAlign w:val="baseline"/>
          </w:rPr>
          <w:t>, 720 F.3d 1316, 1326 (11th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23"/>
      <w:bookmarkEnd w:id="68"/>
      <w:bookmarkStart w:id="69" w:name="Bookmark_I67Y174228T4600040000400"/>
      <w:bookmarkEnd w:id="69"/>
      <w:bookmarkStart w:id="70" w:name="Bookmark_I67Y17422HM6220010000400"/>
      <w:bookmarkEnd w:id="70"/>
      <w:r>
        <w:rPr>
          <w:rFonts w:ascii="arial" w:eastAsia="arial" w:hAnsi="arial" w:cs="arial"/>
          <w:b w:val="0"/>
          <w:i w:val="0"/>
          <w:strike w:val="0"/>
          <w:noProof w:val="0"/>
          <w:color w:val="000000"/>
          <w:position w:val="0"/>
          <w:sz w:val="20"/>
          <w:u w:val="none"/>
          <w:vertAlign w:val="baseline"/>
        </w:rPr>
        <w:t xml:space="preserve">To satisfy the first prong (deficient performance), Movant must demonstrate that "no competent counsel would have taken the action that his counsel did take." </w:t>
      </w:r>
      <w:r>
        <w:rPr>
          <w:rFonts w:ascii="arial" w:eastAsia="arial" w:hAnsi="arial" w:cs="arial"/>
          <w:b w:val="0"/>
          <w:i/>
          <w:strike w:val="0"/>
          <w:noProof w:val="0"/>
          <w:color w:val="000000"/>
          <w:position w:val="0"/>
          <w:sz w:val="20"/>
          <w:u w:val="none"/>
          <w:vertAlign w:val="baseline"/>
        </w:rPr>
        <w:t xml:space="preserve">See </w:t>
      </w:r>
      <w:bookmarkStart w:id="71" w:name="Bookmark_I67Y174228T4600030000400"/>
      <w:bookmarkEnd w:id="71"/>
      <w:hyperlink r:id="rId27" w:history="1">
        <w:r>
          <w:rPr>
            <w:rFonts w:ascii="arial" w:eastAsia="arial" w:hAnsi="arial" w:cs="arial"/>
            <w:b w:val="0"/>
            <w:i/>
            <w:strike w:val="0"/>
            <w:noProof w:val="0"/>
            <w:color w:val="0077CC"/>
            <w:position w:val="0"/>
            <w:sz w:val="20"/>
            <w:u w:val="single"/>
            <w:vertAlign w:val="baseline"/>
          </w:rPr>
          <w:t>Gordon v. United States</w:t>
        </w:r>
      </w:hyperlink>
      <w:hyperlink r:id="rId27" w:history="1">
        <w:r>
          <w:rPr>
            <w:rFonts w:ascii="arial" w:eastAsia="arial" w:hAnsi="arial" w:cs="arial"/>
            <w:b w:val="0"/>
            <w:i/>
            <w:strike w:val="0"/>
            <w:noProof w:val="0"/>
            <w:color w:val="0077CC"/>
            <w:position w:val="0"/>
            <w:sz w:val="20"/>
            <w:u w:val="single"/>
            <w:vertAlign w:val="baseline"/>
          </w:rPr>
          <w:t>, 518 F.3d 1291, 1301 (11th Cir. 2008)</w:t>
        </w:r>
      </w:hyperlink>
      <w:r>
        <w:rPr>
          <w:rFonts w:ascii="arial" w:eastAsia="arial" w:hAnsi="arial" w:cs="arial"/>
          <w:b w:val="0"/>
          <w:i w:val="0"/>
          <w:strike w:val="0"/>
          <w:noProof w:val="0"/>
          <w:color w:val="000000"/>
          <w:position w:val="0"/>
          <w:sz w:val="20"/>
          <w:u w:val="none"/>
          <w:vertAlign w:val="baseline"/>
        </w:rPr>
        <w:t xml:space="preserve">. </w:t>
      </w:r>
      <w:bookmarkStart w:id="72" w:name="Bookmark_I67Y17422HM6220030000400"/>
      <w:bookmarkEnd w:id="7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does not require a showing of what the best or good lawyers would have done but, rather, whether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some reasonable lawyer could have acted as defense counsel acted under in the circumstances. </w:t>
      </w:r>
      <w:bookmarkStart w:id="73" w:name="Bookmark_I67Y174328T4670020000400"/>
      <w:bookmarkEnd w:id="73"/>
      <w:bookmarkStart w:id="74" w:name="Bookmark_I67Y174228T4600050000400"/>
      <w:bookmarkEnd w:id="74"/>
      <w:hyperlink r:id="rId28" w:history="1">
        <w:r>
          <w:rPr>
            <w:rFonts w:ascii="arial" w:eastAsia="arial" w:hAnsi="arial" w:cs="arial"/>
            <w:b w:val="0"/>
            <w:i/>
            <w:strike w:val="0"/>
            <w:noProof w:val="0"/>
            <w:color w:val="0077CC"/>
            <w:position w:val="0"/>
            <w:sz w:val="20"/>
            <w:u w:val="single"/>
            <w:vertAlign w:val="baseline"/>
          </w:rPr>
          <w:t>Dingle v. Sec'y, Dep't of Con</w:t>
        </w:r>
      </w:hyperlink>
      <w:hyperlink r:id="rId28" w:history="1">
        <w:r>
          <w:rPr>
            <w:rFonts w:ascii="arial" w:eastAsia="arial" w:hAnsi="arial" w:cs="arial"/>
            <w:b w:val="0"/>
            <w:i/>
            <w:strike w:val="0"/>
            <w:noProof w:val="0"/>
            <w:color w:val="0077CC"/>
            <w:position w:val="0"/>
            <w:sz w:val="20"/>
            <w:u w:val="single"/>
            <w:vertAlign w:val="baseline"/>
          </w:rPr>
          <w:t>:, 480 F.3d 1092, 1099 (11th Cir. 2007)</w:t>
        </w:r>
      </w:hyperlink>
      <w:r>
        <w:rPr>
          <w:rFonts w:ascii="arial" w:eastAsia="arial" w:hAnsi="arial" w:cs="arial"/>
          <w:b w:val="0"/>
          <w:i w:val="0"/>
          <w:strike w:val="0"/>
          <w:noProof w:val="0"/>
          <w:color w:val="000000"/>
          <w:position w:val="0"/>
          <w:sz w:val="20"/>
          <w:u w:val="none"/>
          <w:vertAlign w:val="baseline"/>
        </w:rPr>
        <w:t xml:space="preserve">. </w:t>
      </w:r>
      <w:bookmarkStart w:id="75" w:name="Bookmark_I67Y174328T4670020000400_2"/>
      <w:bookmarkEnd w:id="75"/>
      <w:bookmarkStart w:id="76" w:name="Bookmark_I67Y17422HM6220030000400_2"/>
      <w:bookmarkEnd w:id="76"/>
      <w:bookmarkStart w:id="77" w:name="Bookmark_I67Y17432SF7S70010000400"/>
      <w:bookmarkEnd w:id="77"/>
      <w:r>
        <w:rPr>
          <w:rFonts w:ascii="arial" w:eastAsia="arial" w:hAnsi="arial" w:cs="arial"/>
          <w:b w:val="0"/>
          <w:i w:val="0"/>
          <w:strike w:val="0"/>
          <w:noProof w:val="0"/>
          <w:color w:val="000000"/>
          <w:position w:val="0"/>
          <w:sz w:val="20"/>
          <w:u w:val="none"/>
          <w:vertAlign w:val="baseline"/>
        </w:rPr>
        <w:t xml:space="preserve">"Judicial scrutiny of counsel's performance must be highly deferential," </w:t>
      </w:r>
      <w:bookmarkStart w:id="78" w:name="Bookmark_I67Y17422HM6220020000400"/>
      <w:bookmarkEnd w:id="78"/>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and courts "must avoid second-guessing counsel's performance[,]" </w:t>
      </w:r>
      <w:bookmarkStart w:id="79" w:name="Bookmark_I67Y17422HM6220040000400"/>
      <w:bookmarkEnd w:id="79"/>
      <w:hyperlink r:id="rId29" w:history="1">
        <w:r>
          <w:rPr>
            <w:rFonts w:ascii="arial" w:eastAsia="arial" w:hAnsi="arial" w:cs="arial"/>
            <w:b w:val="0"/>
            <w:i/>
            <w:strike w:val="0"/>
            <w:noProof w:val="0"/>
            <w:color w:val="0077CC"/>
            <w:position w:val="0"/>
            <w:sz w:val="20"/>
            <w:u w:val="single"/>
            <w:vertAlign w:val="baseline"/>
          </w:rPr>
          <w:t>Chandler v. United States</w:t>
        </w:r>
      </w:hyperlink>
      <w:hyperlink r:id="rId29" w:history="1">
        <w:r>
          <w:rPr>
            <w:rFonts w:ascii="arial" w:eastAsia="arial" w:hAnsi="arial" w:cs="arial"/>
            <w:b w:val="0"/>
            <w:i/>
            <w:strike w:val="0"/>
            <w:noProof w:val="0"/>
            <w:color w:val="0077CC"/>
            <w:position w:val="0"/>
            <w:sz w:val="20"/>
            <w:u w:val="single"/>
            <w:vertAlign w:val="baseline"/>
          </w:rPr>
          <w:t>, 218 F.3d 1305, 1314 (11th Cir. 2000)</w:t>
        </w:r>
      </w:hyperlink>
      <w:r>
        <w:rPr>
          <w:rFonts w:ascii="arial" w:eastAsia="arial" w:hAnsi="arial" w:cs="arial"/>
          <w:b w:val="0"/>
          <w:i w:val="0"/>
          <w:strike w:val="0"/>
          <w:noProof w:val="0"/>
          <w:color w:val="000000"/>
          <w:position w:val="0"/>
          <w:sz w:val="20"/>
          <w:u w:val="none"/>
          <w:vertAlign w:val="baseline"/>
        </w:rPr>
        <w:t xml:space="preserve">. </w:t>
      </w:r>
      <w:bookmarkStart w:id="80" w:name="Bookmark_I67Y17432SF7S70010000400_2"/>
      <w:bookmarkEnd w:id="80"/>
      <w:bookmarkStart w:id="81" w:name="Bookmark_I67Y17432SF7S70030000400"/>
      <w:bookmarkEnd w:id="81"/>
      <w:r>
        <w:rPr>
          <w:rFonts w:ascii="arial" w:eastAsia="arial" w:hAnsi="arial" w:cs="arial"/>
          <w:b w:val="0"/>
          <w:i w:val="0"/>
          <w:strike w:val="0"/>
          <w:noProof w:val="0"/>
          <w:color w:val="000000"/>
          <w:position w:val="0"/>
          <w:sz w:val="20"/>
          <w:u w:val="none"/>
          <w:vertAlign w:val="baseline"/>
        </w:rPr>
        <w:t xml:space="preserve">Because "omissions are inevitable," the issue is not what is possible or "what is prudent or appropriate, but only what is constitutionally compelled." </w:t>
      </w:r>
      <w:bookmarkStart w:id="82" w:name="Bookmark_I67Y174328T4670010000400"/>
      <w:bookmarkEnd w:id="8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7Y174328T4670030000400"/>
      <w:bookmarkEnd w:id="83"/>
      <w:hyperlink r:id="rId30" w:history="1">
        <w:r>
          <w:rPr>
            <w:rFonts w:ascii="arial" w:eastAsia="arial" w:hAnsi="arial" w:cs="arial"/>
            <w:b w:val="0"/>
            <w:i/>
            <w:strike w:val="0"/>
            <w:noProof w:val="0"/>
            <w:color w:val="0077CC"/>
            <w:position w:val="0"/>
            <w:sz w:val="20"/>
            <w:u w:val="single"/>
            <w:vertAlign w:val="baseline"/>
          </w:rPr>
          <w:t>Burger v. Kemp</w:t>
        </w:r>
      </w:hyperlink>
      <w:hyperlink r:id="rId30" w:history="1">
        <w:r>
          <w:rPr>
            <w:rFonts w:ascii="arial" w:eastAsia="arial" w:hAnsi="arial" w:cs="arial"/>
            <w:b w:val="0"/>
            <w:i/>
            <w:strike w:val="0"/>
            <w:noProof w:val="0"/>
            <w:color w:val="0077CC"/>
            <w:position w:val="0"/>
            <w:sz w:val="20"/>
            <w:u w:val="single"/>
            <w:vertAlign w:val="baseline"/>
          </w:rPr>
          <w:t>, 483 U.S. 776, 794, 107 S. Ct. 3114, 97 L. Ed. 2d 638 (1987)</w:t>
        </w:r>
      </w:hyperlink>
      <w:r>
        <w:rPr>
          <w:rFonts w:ascii="arial" w:eastAsia="arial" w:hAnsi="arial" w:cs="arial"/>
          <w:b w:val="0"/>
          <w:i w:val="0"/>
          <w:strike w:val="0"/>
          <w:noProof w:val="0"/>
          <w:color w:val="000000"/>
          <w:position w:val="0"/>
          <w:sz w:val="20"/>
          <w:u w:val="none"/>
          <w:vertAlign w:val="baseline"/>
        </w:rPr>
        <w:t xml:space="preserve">). </w:t>
      </w:r>
      <w:bookmarkStart w:id="84" w:name="Bookmark_I67Y17432SF7S70030000400_2"/>
      <w:bookmarkEnd w:id="84"/>
      <w:bookmarkStart w:id="85" w:name="Bookmark_I67Y17432SF7S70010000400_3"/>
      <w:bookmarkEnd w:id="85"/>
      <w:r>
        <w:rPr>
          <w:rFonts w:ascii="arial" w:eastAsia="arial" w:hAnsi="arial" w:cs="arial"/>
          <w:b w:val="0"/>
          <w:i w:val="0"/>
          <w:strike w:val="0"/>
          <w:noProof w:val="0"/>
          <w:color w:val="000000"/>
          <w:position w:val="0"/>
          <w:sz w:val="20"/>
          <w:u w:val="none"/>
          <w:vertAlign w:val="baseline"/>
        </w:rPr>
        <w:t xml:space="preserve">"The test for ineffectiveness is not whether counsel could have done more; perfection is not required." </w:t>
      </w:r>
      <w:bookmarkStart w:id="86" w:name="Bookmark_I67Y174328T4670050000400"/>
      <w:bookmarkEnd w:id="86"/>
      <w:hyperlink r:id="rId31" w:history="1">
        <w:r>
          <w:rPr>
            <w:rFonts w:ascii="arial" w:eastAsia="arial" w:hAnsi="arial" w:cs="arial"/>
            <w:b w:val="0"/>
            <w:i/>
            <w:strike w:val="0"/>
            <w:noProof w:val="0"/>
            <w:color w:val="0077CC"/>
            <w:position w:val="0"/>
            <w:sz w:val="20"/>
            <w:u w:val="single"/>
            <w:vertAlign w:val="baseline"/>
          </w:rPr>
          <w:t>Waters v. Thomas</w:t>
        </w:r>
      </w:hyperlink>
      <w:hyperlink r:id="rId31" w:history="1">
        <w:r>
          <w:rPr>
            <w:rFonts w:ascii="arial" w:eastAsia="arial" w:hAnsi="arial" w:cs="arial"/>
            <w:b w:val="0"/>
            <w:i/>
            <w:strike w:val="0"/>
            <w:noProof w:val="0"/>
            <w:color w:val="0077CC"/>
            <w:position w:val="0"/>
            <w:sz w:val="20"/>
            <w:u w:val="single"/>
            <w:vertAlign w:val="baseline"/>
          </w:rPr>
          <w:t>, 46 F.3d 1506, 1518 (11th Cir. 1995)</w:t>
        </w:r>
      </w:hyperlink>
      <w:r>
        <w:rPr>
          <w:rFonts w:ascii="arial" w:eastAsia="arial" w:hAnsi="arial" w:cs="arial"/>
          <w:b w:val="0"/>
          <w:i w:val="0"/>
          <w:strike w:val="0"/>
          <w:noProof w:val="0"/>
          <w:color w:val="000000"/>
          <w:position w:val="0"/>
          <w:sz w:val="20"/>
          <w:u w:val="none"/>
          <w:vertAlign w:val="baseline"/>
        </w:rPr>
        <w:t xml:space="preserve">. "Nor is the test whether the best criminal defense attorneys might have done more."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test is whether some reasonable attorney could have acted, in the circumstances, as [Movant's counsel] did."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"Even if counsel's decision appears to have been unwise in retrospect, the decision will be held to have been ineffective assistance only if it was so patently unreasonable that no competent attorney would have chosen it." </w:t>
      </w:r>
      <w:bookmarkStart w:id="87" w:name="Bookmark_I67Y17432SF7S70020000400"/>
      <w:bookmarkEnd w:id="87"/>
      <w:hyperlink r:id="rId28" w:history="1">
        <w:r>
          <w:rPr>
            <w:rFonts w:ascii="arial" w:eastAsia="arial" w:hAnsi="arial" w:cs="arial"/>
            <w:b w:val="0"/>
            <w:i/>
            <w:strike w:val="0"/>
            <w:noProof w:val="0"/>
            <w:color w:val="0077CC"/>
            <w:position w:val="0"/>
            <w:sz w:val="20"/>
            <w:u w:val="single"/>
            <w:vertAlign w:val="baseline"/>
          </w:rPr>
          <w:t>Dingle</w:t>
        </w:r>
      </w:hyperlink>
      <w:hyperlink r:id="rId28" w:history="1">
        <w:r>
          <w:rPr>
            <w:rFonts w:ascii="arial" w:eastAsia="arial" w:hAnsi="arial" w:cs="arial"/>
            <w:b w:val="0"/>
            <w:i/>
            <w:strike w:val="0"/>
            <w:noProof w:val="0"/>
            <w:color w:val="0077CC"/>
            <w:position w:val="0"/>
            <w:sz w:val="20"/>
            <w:u w:val="single"/>
            <w:vertAlign w:val="baseline"/>
          </w:rPr>
          <w:t>, 480 F.3d at 1099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4"/>
      <w:bookmarkEnd w:id="88"/>
      <w:bookmarkStart w:id="89" w:name="Bookmark_I67Y17432SF7S70050000400"/>
      <w:bookmarkEnd w:id="89"/>
      <w:r>
        <w:rPr>
          <w:rFonts w:ascii="arial" w:eastAsia="arial" w:hAnsi="arial" w:cs="arial"/>
          <w:b w:val="0"/>
          <w:i w:val="0"/>
          <w:strike w:val="0"/>
          <w:noProof w:val="0"/>
          <w:color w:val="000000"/>
          <w:position w:val="0"/>
          <w:sz w:val="20"/>
          <w:u w:val="none"/>
          <w:vertAlign w:val="baseline"/>
        </w:rPr>
        <w:t xml:space="preserve">To satisfy the second prong (prejudice). Movant must establish that, but for counsel's deficient performance, the outcome of the proceeding would have been different. </w:t>
      </w:r>
      <w:bookmarkStart w:id="90" w:name="Bookmark_I67Y17432SF7SC0020000400"/>
      <w:bookmarkEnd w:id="90"/>
      <w:bookmarkStart w:id="91" w:name="Bookmark_I67Y17432SF7S70040000400"/>
      <w:bookmarkEnd w:id="91"/>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92" w:name="Bookmark_I67Y17432SF7SC0020000400_2"/>
      <w:bookmarkEnd w:id="92"/>
      <w:r>
        <w:rPr>
          <w:rFonts w:ascii="arial" w:eastAsia="arial" w:hAnsi="arial" w:cs="arial"/>
          <w:b w:val="0"/>
          <w:i w:val="0"/>
          <w:strike w:val="0"/>
          <w:noProof w:val="0"/>
          <w:color w:val="000000"/>
          <w:position w:val="0"/>
          <w:sz w:val="20"/>
          <w:u w:val="none"/>
          <w:vertAlign w:val="baseline"/>
        </w:rPr>
        <w:t xml:space="preserve">Counsel, however, has no duty to raise non-meritorious claims. </w:t>
      </w:r>
      <w:bookmarkStart w:id="93" w:name="Bookmark_I67Y17432SF7SC0040000400"/>
      <w:bookmarkEnd w:id="93"/>
      <w:bookmarkStart w:id="94" w:name="Bookmark_I67Y17432SF7SC0010000400"/>
      <w:bookmarkEnd w:id="94"/>
      <w:hyperlink r:id="rId32" w:history="1">
        <w:r>
          <w:rPr>
            <w:rFonts w:ascii="arial" w:eastAsia="arial" w:hAnsi="arial" w:cs="arial"/>
            <w:b w:val="0"/>
            <w:i/>
            <w:strike w:val="0"/>
            <w:noProof w:val="0"/>
            <w:color w:val="0077CC"/>
            <w:position w:val="0"/>
            <w:sz w:val="20"/>
            <w:u w:val="single"/>
            <w:vertAlign w:val="baseline"/>
          </w:rPr>
          <w:t>Hittson v. GDCP Warden</w:t>
        </w:r>
      </w:hyperlink>
      <w:hyperlink r:id="rId32" w:history="1">
        <w:r>
          <w:rPr>
            <w:rFonts w:ascii="arial" w:eastAsia="arial" w:hAnsi="arial" w:cs="arial"/>
            <w:b w:val="0"/>
            <w:i/>
            <w:strike w:val="0"/>
            <w:noProof w:val="0"/>
            <w:color w:val="0077CC"/>
            <w:position w:val="0"/>
            <w:sz w:val="20"/>
            <w:u w:val="single"/>
            <w:vertAlign w:val="baseline"/>
          </w:rPr>
          <w:t>, 759 F.3d 1210, 1262 (11th Cir. 2014)</w:t>
        </w:r>
      </w:hyperlink>
      <w:r>
        <w:rPr>
          <w:rFonts w:ascii="arial" w:eastAsia="arial" w:hAnsi="arial" w:cs="arial"/>
          <w:b w:val="0"/>
          <w:i w:val="0"/>
          <w:strike w:val="0"/>
          <w:noProof w:val="0"/>
          <w:color w:val="000000"/>
          <w:position w:val="0"/>
          <w:sz w:val="20"/>
          <w:u w:val="none"/>
          <w:vertAlign w:val="baseline"/>
        </w:rPr>
        <w:t xml:space="preserve">. </w:t>
      </w:r>
      <w:bookmarkStart w:id="95" w:name="Bookmark_I67Y17432SF7SC0040000400_2"/>
      <w:bookmarkEnd w:id="95"/>
      <w:bookmarkStart w:id="96" w:name="Bookmark_I67Y17432D6N350010000400"/>
      <w:bookmarkEnd w:id="96"/>
      <w:r>
        <w:rPr>
          <w:rFonts w:ascii="arial" w:eastAsia="arial" w:hAnsi="arial" w:cs="arial"/>
          <w:b w:val="0"/>
          <w:i w:val="0"/>
          <w:strike w:val="0"/>
          <w:noProof w:val="0"/>
          <w:color w:val="000000"/>
          <w:position w:val="0"/>
          <w:sz w:val="20"/>
          <w:u w:val="none"/>
          <w:vertAlign w:val="baseline"/>
        </w:rPr>
        <w:t xml:space="preserve">Further,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must provide factual support for his claims regarding counsel's performance. </w:t>
      </w:r>
      <w:bookmarkStart w:id="97" w:name="Bookmark_I67Y17432SF7SC0030000400"/>
      <w:bookmarkEnd w:id="97"/>
      <w:hyperlink r:id="rId33" w:history="1">
        <w:r>
          <w:rPr>
            <w:rFonts w:ascii="arial" w:eastAsia="arial" w:hAnsi="arial" w:cs="arial"/>
            <w:b w:val="0"/>
            <w:i/>
            <w:strike w:val="0"/>
            <w:noProof w:val="0"/>
            <w:color w:val="0077CC"/>
            <w:position w:val="0"/>
            <w:sz w:val="20"/>
            <w:u w:val="single"/>
            <w:vertAlign w:val="baseline"/>
          </w:rPr>
          <w:t>Smith v. White</w:t>
        </w:r>
      </w:hyperlink>
      <w:hyperlink r:id="rId33" w:history="1">
        <w:r>
          <w:rPr>
            <w:rFonts w:ascii="arial" w:eastAsia="arial" w:hAnsi="arial" w:cs="arial"/>
            <w:b w:val="0"/>
            <w:i/>
            <w:strike w:val="0"/>
            <w:noProof w:val="0"/>
            <w:color w:val="0077CC"/>
            <w:position w:val="0"/>
            <w:sz w:val="20"/>
            <w:u w:val="single"/>
            <w:vertAlign w:val="baseline"/>
          </w:rPr>
          <w:t>, 815 F.2d 1401, 1406-07 (11th Cir. 1987)</w:t>
        </w:r>
      </w:hyperlink>
      <w:r>
        <w:rPr>
          <w:rFonts w:ascii="arial" w:eastAsia="arial" w:hAnsi="arial" w:cs="arial"/>
          <w:b w:val="0"/>
          <w:i w:val="0"/>
          <w:strike w:val="0"/>
          <w:noProof w:val="0"/>
          <w:color w:val="000000"/>
          <w:position w:val="0"/>
          <w:sz w:val="20"/>
          <w:u w:val="none"/>
          <w:vertAlign w:val="baseline"/>
        </w:rPr>
        <w:t xml:space="preserve">. </w:t>
      </w:r>
      <w:bookmarkStart w:id="98" w:name="Bookmark_I67Y17432D6N350010000400_2"/>
      <w:bookmarkEnd w:id="98"/>
      <w:r>
        <w:rPr>
          <w:rFonts w:ascii="arial" w:eastAsia="arial" w:hAnsi="arial" w:cs="arial"/>
          <w:b w:val="0"/>
          <w:i w:val="0"/>
          <w:strike w:val="0"/>
          <w:noProof w:val="0"/>
          <w:color w:val="000000"/>
          <w:position w:val="0"/>
          <w:sz w:val="20"/>
          <w:u w:val="none"/>
          <w:vertAlign w:val="baseline"/>
        </w:rPr>
        <w:t xml:space="preserve">Bare, conclusory allegations of ineffective assistance do not satisfy </w:t>
      </w:r>
      <w:bookmarkStart w:id="99" w:name="Bookmark_I67Y17432SF7SC0050000400"/>
      <w:bookmarkEnd w:id="99"/>
      <w:hyperlink r:id="rId34" w:history="1">
        <w:r>
          <w:rPr>
            <w:rFonts w:ascii="arial" w:eastAsia="arial" w:hAnsi="arial" w:cs="arial"/>
            <w:b w:val="0"/>
            <w:i/>
            <w:strike w:val="0"/>
            <w:noProof w:val="0"/>
            <w:color w:val="0077CC"/>
            <w:position w:val="0"/>
            <w:sz w:val="20"/>
            <w:u w:val="single"/>
            <w:vertAlign w:val="baseline"/>
          </w:rPr>
          <w:t>Strickland. Boyd v. Comm 'r, Ala. Dep 't of Con.</w:t>
        </w:r>
      </w:hyperlink>
      <w:hyperlink r:id="rId34" w:history="1">
        <w:r>
          <w:rPr>
            <w:rFonts w:ascii="arial" w:eastAsia="arial" w:hAnsi="arial" w:cs="arial"/>
            <w:b w:val="0"/>
            <w:i/>
            <w:strike w:val="0"/>
            <w:noProof w:val="0"/>
            <w:color w:val="0077CC"/>
            <w:position w:val="0"/>
            <w:sz w:val="20"/>
            <w:u w:val="single"/>
            <w:vertAlign w:val="baseline"/>
          </w:rPr>
          <w:t>, 697 F.3d 1320, 1333-34 (1 lth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Ground One: Ineffective Assistance of Counsel for Failing to Investigate and Argue that Movant "Did Not Commit Any Offense Against the United States"</w:t>
      </w:r>
    </w:p>
    <w:p>
      <w:pPr>
        <w:keepNext w:val="0"/>
        <w:spacing w:before="200" w:after="0" w:line="260" w:lineRule="atLeast"/>
        <w:ind w:left="0" w:right="0" w:firstLine="0"/>
        <w:jc w:val="both"/>
      </w:pPr>
      <w:bookmarkStart w:id="100" w:name="Bookmark_para_25"/>
      <w:bookmarkEnd w:id="100"/>
      <w:r>
        <w:rPr>
          <w:rFonts w:ascii="arial" w:eastAsia="arial" w:hAnsi="arial" w:cs="arial"/>
          <w:b w:val="0"/>
          <w:i w:val="0"/>
          <w:strike w:val="0"/>
          <w:noProof w:val="0"/>
          <w:color w:val="000000"/>
          <w:position w:val="0"/>
          <w:sz w:val="20"/>
          <w:u w:val="none"/>
          <w:vertAlign w:val="baseline"/>
        </w:rPr>
        <w:t>Movant alleges that defense counsel was ineffective for failing "to conduct an adequate interview of [Movant], [and] adequate investigation of the facts . . . ." (ECF No. 1-1, at 9-10.) Specifically, Movant alleges that defense counsel did not learn that, "[i]n the late hours of the evening leading up to the September 7, 2016[,] robbery gone bad, [Movant] was approached by [Ibarguen] at a hotel bar in Turbo, Colombia. This was the first time [Movant] had ever met [Ibarguen]. They then consumed alcohol together while [Ibarguen] conversed with [Movant], recruiting him for the robbery of three Cuban nationals to take place the next morning."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Movant denies having knowledge that the purpose of the boat trip was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Cuban nationals to the Panamanian border to assist their journey 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mallCaps/>
          <w:strike w:val="0"/>
          <w:noProof w:val="0"/>
          <w:color w:val="000000"/>
          <w:position w:val="0"/>
          <w:sz w:val="20"/>
          <w:u w:val="none"/>
          <w:vertAlign w:val="baseline"/>
        </w:rPr>
        <w:t>Strickland's</w:t>
      </w:r>
      <w:r>
        <w:rPr>
          <w:rFonts w:ascii="arial" w:eastAsia="arial" w:hAnsi="arial" w:cs="arial"/>
          <w:b/>
          <w:i w:val="0"/>
          <w:smallCaps/>
          <w:strike w:val="0"/>
          <w:noProof w:val="0"/>
          <w:color w:val="000000"/>
          <w:position w:val="0"/>
          <w:sz w:val="20"/>
          <w:u w:val="none"/>
          <w:vertAlign w:val="baseline"/>
        </w:rPr>
        <w:t xml:space="preserve"> First Prong: Deficient Performance</w:t>
      </w:r>
      <w:r>
        <w:rPr>
          <w:rFonts w:ascii="arial" w:eastAsia="arial" w:hAnsi="arial" w:cs="arial"/>
          <w:b/>
          <w:i w:val="0"/>
          <w:smallCaps/>
          <w:strike w:val="0"/>
          <w:noProof w:val="0"/>
          <w:color w:val="000000"/>
          <w:position w:val="0"/>
          <w:sz w:val="20"/>
          <w:u w:val="none"/>
          <w:vertAlign w:val="baseline"/>
        </w:rPr>
        <w:t> [*14] </w:t>
      </w:r>
    </w:p>
    <w:p>
      <w:pPr>
        <w:keepNext w:val="0"/>
        <w:spacing w:before="240" w:after="0" w:line="260" w:lineRule="atLeast"/>
        <w:ind w:left="0" w:right="0" w:firstLine="0"/>
        <w:jc w:val="both"/>
      </w:pPr>
      <w:bookmarkStart w:id="101" w:name="Bookmark_para_26"/>
      <w:bookmarkEnd w:id="101"/>
      <w:bookmarkStart w:id="102" w:name="Bookmark_I67Y17432D6N350030000400"/>
      <w:bookmarkEnd w:id="102"/>
      <w:r>
        <w:rPr>
          <w:rFonts w:ascii="arial" w:eastAsia="arial" w:hAnsi="arial" w:cs="arial"/>
          <w:b w:val="0"/>
          <w:i w:val="0"/>
          <w:strike w:val="0"/>
          <w:noProof w:val="0"/>
          <w:color w:val="000000"/>
          <w:position w:val="0"/>
          <w:sz w:val="20"/>
          <w:u w:val="none"/>
          <w:vertAlign w:val="baseline"/>
        </w:rPr>
        <w:t xml:space="preserve">This Court finds that defense counsel's performance was within "the wide range of professionally competent assistance" demanded of attorneys in criminal cases. </w:t>
      </w:r>
      <w:bookmarkStart w:id="103" w:name="Bookmark_I67Y17432D6N350020000400"/>
      <w:bookmarkEnd w:id="103"/>
      <w:hyperlink r:id="rId35" w:history="1">
        <w:r>
          <w:rPr>
            <w:rFonts w:ascii="arial" w:eastAsia="arial" w:hAnsi="arial" w:cs="arial"/>
            <w:b w:val="0"/>
            <w:i/>
            <w:strike w:val="0"/>
            <w:noProof w:val="0"/>
            <w:color w:val="0077CC"/>
            <w:position w:val="0"/>
            <w:sz w:val="20"/>
            <w:u w:val="single"/>
            <w:vertAlign w:val="baseline"/>
          </w:rPr>
          <w:t>Johnson v. Sec'y, Fla. Dep't of Corr.</w:t>
        </w:r>
      </w:hyperlink>
      <w:hyperlink r:id="rId35" w:history="1">
        <w:r>
          <w:rPr>
            <w:rFonts w:ascii="arial" w:eastAsia="arial" w:hAnsi="arial" w:cs="arial"/>
            <w:b w:val="0"/>
            <w:i/>
            <w:strike w:val="0"/>
            <w:noProof w:val="0"/>
            <w:color w:val="0077CC"/>
            <w:position w:val="0"/>
            <w:sz w:val="20"/>
            <w:u w:val="single"/>
            <w:vertAlign w:val="baseline"/>
          </w:rPr>
          <w:t>, 643 F.3d. 907, 928 (11th Cir. 2011)</w:t>
        </w:r>
      </w:hyperlink>
      <w:r>
        <w:rPr>
          <w:rFonts w:ascii="arial" w:eastAsia="arial" w:hAnsi="arial" w:cs="arial"/>
          <w:b w:val="0"/>
          <w:i w:val="0"/>
          <w:strike w:val="0"/>
          <w:noProof w:val="0"/>
          <w:color w:val="000000"/>
          <w:position w:val="0"/>
          <w:sz w:val="20"/>
          <w:u w:val="none"/>
          <w:vertAlign w:val="baseline"/>
        </w:rPr>
        <w:t xml:space="preserve">. Movant's present argument that he lacked knowledge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is weakened by the fact that he made post-arrest statements indicating he had been recruited to help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104" w:name="Bookmark_I67Y17432D6N350050000400"/>
      <w:bookmarkEnd w:id="104"/>
      <w:r>
        <w:rPr>
          <w:rFonts w:ascii="arial" w:eastAsia="arial" w:hAnsi="arial" w:cs="arial"/>
          <w:b w:val="0"/>
          <w:i w:val="0"/>
          <w:strike w:val="0"/>
          <w:noProof w:val="0"/>
          <w:color w:val="000000"/>
          <w:position w:val="0"/>
          <w:sz w:val="20"/>
          <w:u w:val="none"/>
          <w:vertAlign w:val="baseline"/>
        </w:rPr>
        <w:t xml:space="preserve">(ECF-Cr. No. 118 ¶ 18.) It is reasonable for defense counsel to cease investigating a defense "when they have good reason to think that further investigation would be a waste." </w:t>
      </w:r>
      <w:bookmarkStart w:id="105" w:name="Bookmark_I67Y17432D6N350040000400"/>
      <w:bookmarkEnd w:id="105"/>
      <w:hyperlink r:id="rId36" w:history="1">
        <w:r>
          <w:rPr>
            <w:rFonts w:ascii="arial" w:eastAsia="arial" w:hAnsi="arial" w:cs="arial"/>
            <w:b w:val="0"/>
            <w:i/>
            <w:strike w:val="0"/>
            <w:noProof w:val="0"/>
            <w:color w:val="0077CC"/>
            <w:position w:val="0"/>
            <w:sz w:val="20"/>
            <w:u w:val="single"/>
            <w:vertAlign w:val="baseline"/>
          </w:rPr>
          <w:t>Puiatti v. Sec'y, Fla. Dep't of Corr.</w:t>
        </w:r>
      </w:hyperlink>
      <w:hyperlink r:id="rId36" w:history="1">
        <w:r>
          <w:rPr>
            <w:rFonts w:ascii="arial" w:eastAsia="arial" w:hAnsi="arial" w:cs="arial"/>
            <w:b w:val="0"/>
            <w:i/>
            <w:strike w:val="0"/>
            <w:noProof w:val="0"/>
            <w:color w:val="0077CC"/>
            <w:position w:val="0"/>
            <w:sz w:val="20"/>
            <w:u w:val="single"/>
            <w:vertAlign w:val="baseline"/>
          </w:rPr>
          <w:t>, 732 F.3d 1255, 1280 (11th Cir. 2013)</w:t>
        </w:r>
      </w:hyperlink>
      <w:r>
        <w:rPr>
          <w:rFonts w:ascii="arial" w:eastAsia="arial" w:hAnsi="arial" w:cs="arial"/>
          <w:b w:val="0"/>
          <w:i w:val="0"/>
          <w:strike w:val="0"/>
          <w:noProof w:val="0"/>
          <w:color w:val="000000"/>
          <w:position w:val="0"/>
          <w:sz w:val="20"/>
          <w:u w:val="none"/>
          <w:vertAlign w:val="baseline"/>
        </w:rPr>
        <w:t>. Movant's claim is further undermined by his signed Factual Proffer, in which he admitted that he "knew that [the Victims] entering the U.S. would be in violation of law . . . ." (ECF-Cr. No. 101 at 3.) Movant stated under oath at his change of plea hearing that the factual proffer was true and that he understood the contents of the factual proffer before he signed it. (ECF-Cr. No. 176 at 18:20-20:7.)</w:t>
      </w:r>
    </w:p>
    <w:p>
      <w:pPr>
        <w:keepNext w:val="0"/>
        <w:spacing w:before="240" w:after="0" w:line="260" w:lineRule="atLeast"/>
        <w:ind w:left="0" w:right="0" w:firstLine="0"/>
        <w:jc w:val="both"/>
      </w:pPr>
      <w:bookmarkStart w:id="106" w:name="Bookmark_para_27"/>
      <w:bookmarkEnd w:id="106"/>
      <w:r>
        <w:rPr>
          <w:rFonts w:ascii="arial" w:eastAsia="arial" w:hAnsi="arial" w:cs="arial"/>
          <w:b w:val="0"/>
          <w:i w:val="0"/>
          <w:strike w:val="0"/>
          <w:noProof w:val="0"/>
          <w:color w:val="000000"/>
          <w:position w:val="0"/>
          <w:sz w:val="20"/>
          <w:u w:val="none"/>
          <w:vertAlign w:val="baseline"/>
        </w:rPr>
        <w:t>Further, Movant's allegation that defense counsel failed to adequately interview Movant and discuss defenses is incredible. During his colloquy, Movant stated under oath that he had ample opportunity to discuss the charges and the case with defense counsel. (ECF-Cr.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107" w:name="Bookmark_I67Y17442D6N3C0020000400"/>
      <w:bookmarkEnd w:id="107"/>
      <w:r>
        <w:rPr>
          <w:rFonts w:ascii="arial" w:eastAsia="arial" w:hAnsi="arial" w:cs="arial"/>
          <w:b w:val="0"/>
          <w:i w:val="0"/>
          <w:strike w:val="0"/>
          <w:noProof w:val="0"/>
          <w:color w:val="000000"/>
          <w:position w:val="0"/>
          <w:sz w:val="20"/>
          <w:u w:val="none"/>
          <w:vertAlign w:val="baseline"/>
        </w:rPr>
        <w:t xml:space="preserve">No. 176, 5:21-6:2.) </w:t>
      </w:r>
      <w:bookmarkStart w:id="108" w:name="Bookmark_I67Y17442HM62W0010000400"/>
      <w:bookmarkEnd w:id="108"/>
      <w:r>
        <w:rPr>
          <w:rFonts w:ascii="arial" w:eastAsia="arial" w:hAnsi="arial" w:cs="arial"/>
          <w:b w:val="0"/>
          <w:i w:val="0"/>
          <w:strike w:val="0"/>
          <w:noProof w:val="0"/>
          <w:color w:val="000000"/>
          <w:position w:val="0"/>
          <w:sz w:val="20"/>
          <w:u w:val="none"/>
          <w:vertAlign w:val="baseline"/>
        </w:rPr>
        <w:t>Movant also stated under oath that he was fully satisfied with the representation and advice given to him by defense counsel.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6:3-6.) "There is a strong presumption that the statements made during the colloquy are true." </w:t>
      </w:r>
      <w:bookmarkStart w:id="110" w:name="Bookmark_I67Y17442D6N3C0010000400"/>
      <w:bookmarkEnd w:id="110"/>
      <w:hyperlink r:id="rId37" w:history="1">
        <w:r>
          <w:rPr>
            <w:rFonts w:ascii="arial" w:eastAsia="arial" w:hAnsi="arial" w:cs="arial"/>
            <w:b w:val="0"/>
            <w:i/>
            <w:strike w:val="0"/>
            <w:noProof w:val="0"/>
            <w:color w:val="0077CC"/>
            <w:position w:val="0"/>
            <w:sz w:val="20"/>
            <w:u w:val="single"/>
            <w:vertAlign w:val="baseline"/>
          </w:rPr>
          <w:t>United States v. Medlock</w:t>
        </w:r>
      </w:hyperlink>
      <w:hyperlink r:id="rId37" w:history="1">
        <w:r>
          <w:rPr>
            <w:rFonts w:ascii="arial" w:eastAsia="arial" w:hAnsi="arial" w:cs="arial"/>
            <w:b w:val="0"/>
            <w:i/>
            <w:strike w:val="0"/>
            <w:noProof w:val="0"/>
            <w:color w:val="0077CC"/>
            <w:position w:val="0"/>
            <w:sz w:val="20"/>
            <w:u w:val="single"/>
            <w:vertAlign w:val="baseline"/>
          </w:rPr>
          <w:t>, 12 F.3d 185, 187 (11th Cir. 1994)</w:t>
        </w:r>
      </w:hyperlink>
      <w:r>
        <w:rPr>
          <w:rFonts w:ascii="arial" w:eastAsia="arial" w:hAnsi="arial" w:cs="arial"/>
          <w:b w:val="0"/>
          <w:i w:val="0"/>
          <w:strike w:val="0"/>
          <w:noProof w:val="0"/>
          <w:color w:val="000000"/>
          <w:position w:val="0"/>
          <w:sz w:val="20"/>
          <w:u w:val="none"/>
          <w:vertAlign w:val="baseline"/>
        </w:rPr>
        <w:t xml:space="preserve"> (citing </w:t>
      </w:r>
      <w:bookmarkStart w:id="111" w:name="Bookmark_I67Y17442D6N3C0030000400"/>
      <w:bookmarkEnd w:id="111"/>
      <w:hyperlink r:id="rId38" w:history="1">
        <w:r>
          <w:rPr>
            <w:rFonts w:ascii="arial" w:eastAsia="arial" w:hAnsi="arial" w:cs="arial"/>
            <w:b w:val="0"/>
            <w:i/>
            <w:strike w:val="0"/>
            <w:noProof w:val="0"/>
            <w:color w:val="0077CC"/>
            <w:position w:val="0"/>
            <w:sz w:val="20"/>
            <w:u w:val="single"/>
            <w:vertAlign w:val="baseline"/>
          </w:rPr>
          <w:t>United States v. Gonzalez-Mercado</w:t>
        </w:r>
      </w:hyperlink>
      <w:hyperlink r:id="rId38" w:history="1">
        <w:r>
          <w:rPr>
            <w:rFonts w:ascii="arial" w:eastAsia="arial" w:hAnsi="arial" w:cs="arial"/>
            <w:b w:val="0"/>
            <w:i/>
            <w:strike w:val="0"/>
            <w:noProof w:val="0"/>
            <w:color w:val="0077CC"/>
            <w:position w:val="0"/>
            <w:sz w:val="20"/>
            <w:u w:val="single"/>
            <w:vertAlign w:val="baseline"/>
          </w:rPr>
          <w:t>, 808 F.2d 796, 800 n.8 (11th Cir. 1987)</w:t>
        </w:r>
      </w:hyperlink>
      <w:r>
        <w:rPr>
          <w:rFonts w:ascii="arial" w:eastAsia="arial" w:hAnsi="arial" w:cs="arial"/>
          <w:b w:val="0"/>
          <w:i w:val="0"/>
          <w:strike w:val="0"/>
          <w:noProof w:val="0"/>
          <w:color w:val="000000"/>
          <w:position w:val="0"/>
          <w:sz w:val="20"/>
          <w:u w:val="none"/>
          <w:vertAlign w:val="baseline"/>
        </w:rPr>
        <w:t xml:space="preserve">). </w:t>
      </w:r>
      <w:bookmarkStart w:id="112" w:name="Bookmark_I67Y17442HM62W0010000400_2"/>
      <w:bookmarkEnd w:id="112"/>
      <w:bookmarkStart w:id="113" w:name="Bookmark_I67Y17442HM62W0030000400"/>
      <w:bookmarkEnd w:id="113"/>
      <w:r>
        <w:rPr>
          <w:rFonts w:ascii="arial" w:eastAsia="arial" w:hAnsi="arial" w:cs="arial"/>
          <w:b w:val="0"/>
          <w:i w:val="0"/>
          <w:strike w:val="0"/>
          <w:noProof w:val="0"/>
          <w:color w:val="000000"/>
          <w:position w:val="0"/>
          <w:sz w:val="20"/>
          <w:u w:val="none"/>
          <w:vertAlign w:val="baseline"/>
        </w:rPr>
        <w:t xml:space="preserve">"[W]hen a defendant makes statements under oath at a plea colloquy, he bears a heavy burden to show his statements were false." </w:t>
      </w:r>
      <w:bookmarkStart w:id="114" w:name="Bookmark_I67Y17442D6N3C0050000400"/>
      <w:bookmarkEnd w:id="114"/>
      <w:hyperlink r:id="rId39" w:history="1">
        <w:r>
          <w:rPr>
            <w:rFonts w:ascii="arial" w:eastAsia="arial" w:hAnsi="arial" w:cs="arial"/>
            <w:b w:val="0"/>
            <w:i/>
            <w:strike w:val="0"/>
            <w:noProof w:val="0"/>
            <w:color w:val="0077CC"/>
            <w:position w:val="0"/>
            <w:sz w:val="20"/>
            <w:u w:val="single"/>
            <w:vertAlign w:val="baseline"/>
          </w:rPr>
          <w:t>United States v. Rogers</w:t>
        </w:r>
      </w:hyperlink>
      <w:hyperlink r:id="rId39" w:history="1">
        <w:r>
          <w:rPr>
            <w:rFonts w:ascii="arial" w:eastAsia="arial" w:hAnsi="arial" w:cs="arial"/>
            <w:b w:val="0"/>
            <w:i/>
            <w:strike w:val="0"/>
            <w:noProof w:val="0"/>
            <w:color w:val="0077CC"/>
            <w:position w:val="0"/>
            <w:sz w:val="20"/>
            <w:u w:val="single"/>
            <w:vertAlign w:val="baseline"/>
          </w:rPr>
          <w:t>, 848 F.2d 166, 168 (11th Cir. 1988)</w:t>
        </w:r>
      </w:hyperlink>
      <w:r>
        <w:rPr>
          <w:rFonts w:ascii="arial" w:eastAsia="arial" w:hAnsi="arial" w:cs="arial"/>
          <w:b w:val="0"/>
          <w:i w:val="0"/>
          <w:strike w:val="0"/>
          <w:noProof w:val="0"/>
          <w:color w:val="000000"/>
          <w:position w:val="0"/>
          <w:sz w:val="20"/>
          <w:u w:val="none"/>
          <w:vertAlign w:val="baseline"/>
        </w:rPr>
        <w:t xml:space="preserve">. </w:t>
      </w:r>
      <w:bookmarkStart w:id="115" w:name="Bookmark_I67Y17442HM62W0030000400_2"/>
      <w:bookmarkEnd w:id="115"/>
      <w:r>
        <w:rPr>
          <w:rFonts w:ascii="arial" w:eastAsia="arial" w:hAnsi="arial" w:cs="arial"/>
          <w:b w:val="0"/>
          <w:i w:val="0"/>
          <w:strike w:val="0"/>
          <w:noProof w:val="0"/>
          <w:color w:val="000000"/>
          <w:position w:val="0"/>
          <w:sz w:val="20"/>
          <w:u w:val="none"/>
          <w:vertAlign w:val="baseline"/>
        </w:rPr>
        <w:t xml:space="preserve">Movant cannot overcome his "heavy burden" and show as false his statements during the colloquy that he had adequate time to review the case and defenses with defense counsel. </w:t>
      </w:r>
      <w:r>
        <w:rPr>
          <w:rFonts w:ascii="arial" w:eastAsia="arial" w:hAnsi="arial" w:cs="arial"/>
          <w:b w:val="0"/>
          <w:i/>
          <w:strike w:val="0"/>
          <w:noProof w:val="0"/>
          <w:color w:val="000000"/>
          <w:position w:val="0"/>
          <w:sz w:val="20"/>
          <w:u w:val="none"/>
          <w:vertAlign w:val="baseline"/>
        </w:rPr>
        <w:t xml:space="preserve">See </w:t>
      </w:r>
      <w:bookmarkStart w:id="116" w:name="Bookmark_I67Y17442HM62W0020000400"/>
      <w:bookmarkEnd w:id="116"/>
      <w:hyperlink r:id="rId39" w:history="1">
        <w:r>
          <w:rPr>
            <w:rFonts w:ascii="arial" w:eastAsia="arial" w:hAnsi="arial" w:cs="arial"/>
            <w:b w:val="0"/>
            <w:i/>
            <w:strike w:val="0"/>
            <w:noProof w:val="0"/>
            <w:color w:val="0077CC"/>
            <w:position w:val="0"/>
            <w:sz w:val="20"/>
            <w:u w:val="single"/>
            <w:vertAlign w:val="baseline"/>
          </w:rPr>
          <w:t>Rogers</w:t>
        </w:r>
      </w:hyperlink>
      <w:hyperlink r:id="rId39" w:history="1">
        <w:r>
          <w:rPr>
            <w:rFonts w:ascii="arial" w:eastAsia="arial" w:hAnsi="arial" w:cs="arial"/>
            <w:b w:val="0"/>
            <w:i/>
            <w:strike w:val="0"/>
            <w:noProof w:val="0"/>
            <w:color w:val="0077CC"/>
            <w:position w:val="0"/>
            <w:sz w:val="20"/>
            <w:u w:val="single"/>
            <w:vertAlign w:val="baseline"/>
          </w:rPr>
          <w:t>, 848 F.2d at 168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28"/>
      <w:bookmarkEnd w:id="117"/>
      <w:r>
        <w:rPr>
          <w:rFonts w:ascii="arial" w:eastAsia="arial" w:hAnsi="arial" w:cs="arial"/>
          <w:b w:val="0"/>
          <w:i w:val="0"/>
          <w:strike w:val="0"/>
          <w:noProof w:val="0"/>
          <w:color w:val="000000"/>
          <w:position w:val="0"/>
          <w:sz w:val="20"/>
          <w:u w:val="none"/>
          <w:vertAlign w:val="baseline"/>
        </w:rPr>
        <w:t>Finally, this Court rejects Movant's assertion that he did not understand the Factual Proffer. (ECF No. 1 at 4.) Movant was advised of the elements of the charges against him, and of his right to require the Government to prove each element of each offense beyond a reasonable doubt. (ECF-Cr. No. 176 at 12:1-8.) The colloquy and Factual Proffer were translated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mentioned, Movant swore under oath that he understood the contents of the Factual Proffer. (ECF-Cr. </w:t>
      </w:r>
      <w:bookmarkStart w:id="118" w:name="Bookmark_I67Y17442HM62W0050000400"/>
      <w:bookmarkEnd w:id="118"/>
      <w:r>
        <w:rPr>
          <w:rFonts w:ascii="arial" w:eastAsia="arial" w:hAnsi="arial" w:cs="arial"/>
          <w:b w:val="0"/>
          <w:i w:val="0"/>
          <w:strike w:val="0"/>
          <w:noProof w:val="0"/>
          <w:color w:val="000000"/>
          <w:position w:val="0"/>
          <w:sz w:val="20"/>
          <w:u w:val="none"/>
          <w:vertAlign w:val="baseline"/>
        </w:rPr>
        <w:t>No. 176 at 19:19-23.) This Court found that Movant was "fully competent and capable of entering an informed plea" and that "his plea of guilty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is a knowing and voluntary plea." (ECF-Cr. No. 176 at 21); </w:t>
      </w:r>
      <w:r>
        <w:rPr>
          <w:rFonts w:ascii="arial" w:eastAsia="arial" w:hAnsi="arial" w:cs="arial"/>
          <w:b w:val="0"/>
          <w:i/>
          <w:strike w:val="0"/>
          <w:noProof w:val="0"/>
          <w:color w:val="000000"/>
          <w:position w:val="0"/>
          <w:sz w:val="20"/>
          <w:u w:val="none"/>
          <w:vertAlign w:val="baseline"/>
        </w:rPr>
        <w:t xml:space="preserve">see </w:t>
      </w:r>
      <w:bookmarkStart w:id="119" w:name="Bookmark_I67Y17442HM62W0040000400"/>
      <w:bookmarkEnd w:id="119"/>
      <w:hyperlink r:id="rId40" w:history="1">
        <w:r>
          <w:rPr>
            <w:rFonts w:ascii="arial" w:eastAsia="arial" w:hAnsi="arial" w:cs="arial"/>
            <w:b w:val="0"/>
            <w:i/>
            <w:strike w:val="0"/>
            <w:noProof w:val="0"/>
            <w:color w:val="0077CC"/>
            <w:position w:val="0"/>
            <w:sz w:val="20"/>
            <w:u w:val="single"/>
            <w:vertAlign w:val="baseline"/>
          </w:rPr>
          <w:t>United States v. Greene</w:t>
        </w:r>
      </w:hyperlink>
      <w:hyperlink r:id="rId40" w:history="1">
        <w:r>
          <w:rPr>
            <w:rFonts w:ascii="arial" w:eastAsia="arial" w:hAnsi="arial" w:cs="arial"/>
            <w:b w:val="0"/>
            <w:i/>
            <w:strike w:val="0"/>
            <w:noProof w:val="0"/>
            <w:color w:val="0077CC"/>
            <w:position w:val="0"/>
            <w:sz w:val="20"/>
            <w:u w:val="single"/>
            <w:vertAlign w:val="baseline"/>
          </w:rPr>
          <w:t>, 767 F. App'x 793, 798 (11th Cir. 2019)</w:t>
        </w:r>
      </w:hyperlink>
      <w:r>
        <w:rPr>
          <w:rFonts w:ascii="arial" w:eastAsia="arial" w:hAnsi="arial" w:cs="arial"/>
          <w:b w:val="0"/>
          <w:i w:val="0"/>
          <w:strike w:val="0"/>
          <w:noProof w:val="0"/>
          <w:color w:val="000000"/>
          <w:position w:val="0"/>
          <w:sz w:val="20"/>
          <w:u w:val="none"/>
          <w:vertAlign w:val="baseline"/>
        </w:rPr>
        <w:t xml:space="preserve"> (finding that district court's positive assessment of defendant's understanding of plea agreement weighed in favor of finding that defendant understood agreement); </w:t>
      </w:r>
      <w:r>
        <w:rPr>
          <w:rFonts w:ascii="arial" w:eastAsia="arial" w:hAnsi="arial" w:cs="arial"/>
          <w:b w:val="0"/>
          <w:i/>
          <w:strike w:val="0"/>
          <w:noProof w:val="0"/>
          <w:color w:val="000000"/>
          <w:position w:val="0"/>
          <w:sz w:val="20"/>
          <w:u w:val="none"/>
          <w:vertAlign w:val="baseline"/>
        </w:rPr>
        <w:t xml:space="preserve">see also </w:t>
      </w:r>
      <w:bookmarkStart w:id="120" w:name="Bookmark_I67Y174528T4700010000400"/>
      <w:bookmarkEnd w:id="120"/>
      <w:hyperlink r:id="rId41" w:history="1">
        <w:r>
          <w:rPr>
            <w:rFonts w:ascii="arial" w:eastAsia="arial" w:hAnsi="arial" w:cs="arial"/>
            <w:b w:val="0"/>
            <w:i/>
            <w:strike w:val="0"/>
            <w:noProof w:val="0"/>
            <w:color w:val="0077CC"/>
            <w:position w:val="0"/>
            <w:sz w:val="20"/>
            <w:u w:val="single"/>
            <w:vertAlign w:val="baseline"/>
          </w:rPr>
          <w:t>United States v. Ruiz-Guifarro</w:t>
        </w:r>
      </w:hyperlink>
      <w:hyperlink r:id="rId41" w:history="1">
        <w:r>
          <w:rPr>
            <w:rFonts w:ascii="arial" w:eastAsia="arial" w:hAnsi="arial" w:cs="arial"/>
            <w:b w:val="0"/>
            <w:i/>
            <w:strike w:val="0"/>
            <w:noProof w:val="0"/>
            <w:color w:val="0077CC"/>
            <w:position w:val="0"/>
            <w:sz w:val="20"/>
            <w:u w:val="single"/>
            <w:vertAlign w:val="baseline"/>
          </w:rPr>
          <w:t>, 469 F. App'x 805, 807 (11th Cir. 2012)</w:t>
        </w:r>
      </w:hyperlink>
      <w:r>
        <w:rPr>
          <w:rFonts w:ascii="arial" w:eastAsia="arial" w:hAnsi="arial" w:cs="arial"/>
          <w:b w:val="0"/>
          <w:i w:val="0"/>
          <w:strike w:val="0"/>
          <w:noProof w:val="0"/>
          <w:color w:val="000000"/>
          <w:position w:val="0"/>
          <w:sz w:val="20"/>
          <w:u w:val="none"/>
          <w:vertAlign w:val="baseline"/>
        </w:rPr>
        <w:t xml:space="preserve"> ("To the extent a non-English speaking defendant did not understand or failed to note his misunderstanding as to the plea agreement, 'the district court cannot speculate, but rather must rely solely on the [defendant's] sworn statement that he committed the alleged offense, understood the possible consequences of his guilty plea, and waived his right to trial.'" (quoting </w:t>
      </w:r>
      <w:bookmarkStart w:id="121" w:name="Bookmark_I67Y174528T4700030000400"/>
      <w:bookmarkEnd w:id="121"/>
      <w:hyperlink r:id="rId38" w:history="1">
        <w:r>
          <w:rPr>
            <w:rFonts w:ascii="arial" w:eastAsia="arial" w:hAnsi="arial" w:cs="arial"/>
            <w:b w:val="0"/>
            <w:i/>
            <w:strike w:val="0"/>
            <w:noProof w:val="0"/>
            <w:color w:val="0077CC"/>
            <w:position w:val="0"/>
            <w:sz w:val="20"/>
            <w:u w:val="single"/>
            <w:vertAlign w:val="baseline"/>
          </w:rPr>
          <w:t>Gonzalez-Mercado</w:t>
        </w:r>
      </w:hyperlink>
      <w:hyperlink r:id="rId38" w:history="1">
        <w:r>
          <w:rPr>
            <w:rFonts w:ascii="arial" w:eastAsia="arial" w:hAnsi="arial" w:cs="arial"/>
            <w:b w:val="0"/>
            <w:i/>
            <w:strike w:val="0"/>
            <w:noProof w:val="0"/>
            <w:color w:val="0077CC"/>
            <w:position w:val="0"/>
            <w:sz w:val="20"/>
            <w:u w:val="single"/>
            <w:vertAlign w:val="baseline"/>
          </w:rPr>
          <w:t>, 808 F.2d at 799-800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29"/>
      <w:bookmarkEnd w:id="122"/>
      <w:r>
        <w:rPr>
          <w:rFonts w:ascii="arial" w:eastAsia="arial" w:hAnsi="arial" w:cs="arial"/>
          <w:b w:val="0"/>
          <w:i w:val="0"/>
          <w:strike w:val="0"/>
          <w:noProof w:val="0"/>
          <w:color w:val="000000"/>
          <w:position w:val="0"/>
          <w:sz w:val="20"/>
          <w:u w:val="none"/>
          <w:vertAlign w:val="baseline"/>
        </w:rPr>
        <w:t>For these reasons, this Court finds that defense counsel acted competently by investigating defenses and communicating with Movant.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mallCaps/>
          <w:strike w:val="0"/>
          <w:noProof w:val="0"/>
          <w:color w:val="000000"/>
          <w:position w:val="0"/>
          <w:sz w:val="20"/>
          <w:u w:val="none"/>
          <w:vertAlign w:val="baseline"/>
        </w:rPr>
        <w:t>Strickland's</w:t>
      </w:r>
      <w:r>
        <w:rPr>
          <w:rFonts w:ascii="arial" w:eastAsia="arial" w:hAnsi="arial" w:cs="arial"/>
          <w:b/>
          <w:i w:val="0"/>
          <w:smallCaps/>
          <w:strike w:val="0"/>
          <w:noProof w:val="0"/>
          <w:color w:val="000000"/>
          <w:position w:val="0"/>
          <w:sz w:val="20"/>
          <w:u w:val="none"/>
          <w:vertAlign w:val="baseline"/>
        </w:rPr>
        <w:t xml:space="preserve"> Second Prong: Prejudice</w:t>
      </w:r>
    </w:p>
    <w:p>
      <w:pPr>
        <w:keepNext w:val="0"/>
        <w:spacing w:before="200" w:after="0" w:line="260" w:lineRule="atLeast"/>
        <w:ind w:left="0" w:right="0" w:firstLine="0"/>
        <w:jc w:val="both"/>
      </w:pPr>
      <w:bookmarkStart w:id="123" w:name="Bookmark_para_30"/>
      <w:bookmarkEnd w:id="123"/>
      <w:bookmarkStart w:id="124" w:name="Bookmark_I2R8VPMH4R700001K7400007"/>
      <w:bookmarkEnd w:id="124"/>
      <w:bookmarkStart w:id="125" w:name="Bookmark_I67Y17452N1PY20010000400"/>
      <w:bookmarkEnd w:id="125"/>
      <w:bookmarkStart w:id="126" w:name="Bookmark_I67Y17452N1PY20030000400"/>
      <w:bookmarkEnd w:id="126"/>
      <w:r>
        <w:rPr>
          <w:rFonts w:ascii="arial" w:eastAsia="arial" w:hAnsi="arial" w:cs="arial"/>
          <w:b w:val="0"/>
          <w:i w:val="0"/>
          <w:strike w:val="0"/>
          <w:noProof w:val="0"/>
          <w:color w:val="000000"/>
          <w:position w:val="0"/>
          <w:sz w:val="20"/>
          <w:u w:val="none"/>
          <w:vertAlign w:val="baseline"/>
        </w:rPr>
        <w:t xml:space="preserve">Even were counsel to have performed deficiently, Movant has not shown prejudice under </w:t>
      </w:r>
      <w:bookmarkStart w:id="127" w:name="Bookmark_I67Y174528T4700050000400"/>
      <w:bookmarkEnd w:id="127"/>
      <w:hyperlink r:id="rId25" w:history="1">
        <w:r>
          <w:rPr>
            <w:rFonts w:ascii="arial" w:eastAsia="arial" w:hAnsi="arial" w:cs="arial"/>
            <w:b w:val="0"/>
            <w:i/>
            <w:strike w:val="0"/>
            <w:noProof w:val="0"/>
            <w:color w:val="0077CC"/>
            <w:position w:val="0"/>
            <w:sz w:val="20"/>
            <w:u w:val="single"/>
            <w:vertAlign w:val="baseline"/>
          </w:rPr>
          <w:t>Strickland's</w:t>
        </w:r>
      </w:hyperlink>
      <w:r>
        <w:rPr>
          <w:rFonts w:ascii="arial" w:eastAsia="arial" w:hAnsi="arial" w:cs="arial"/>
          <w:b w:val="0"/>
          <w:i w:val="0"/>
          <w:strike w:val="0"/>
          <w:noProof w:val="0"/>
          <w:color w:val="000000"/>
          <w:position w:val="0"/>
          <w:sz w:val="20"/>
          <w:u w:val="none"/>
          <w:vertAlign w:val="baseline"/>
        </w:rPr>
        <w:t xml:space="preserve"> second prong. "[I]n order to satisfy the 'prejudice' requirement, the defendant must show that there is a reasonable probability that, but for counsel's errors, he would not have pleaded guilty and would have insisted on going to trial." </w:t>
      </w:r>
      <w:bookmarkStart w:id="128" w:name="Bookmark_I67Y17452N1PY20020000400"/>
      <w:bookmarkEnd w:id="128"/>
      <w:hyperlink r:id="rId42" w:history="1">
        <w:r>
          <w:rPr>
            <w:rFonts w:ascii="arial" w:eastAsia="arial" w:hAnsi="arial" w:cs="arial"/>
            <w:b w:val="0"/>
            <w:i/>
            <w:strike w:val="0"/>
            <w:noProof w:val="0"/>
            <w:color w:val="0077CC"/>
            <w:position w:val="0"/>
            <w:sz w:val="20"/>
            <w:u w:val="single"/>
            <w:vertAlign w:val="baseline"/>
          </w:rPr>
          <w:t>Hill v. Lockhart</w:t>
        </w:r>
      </w:hyperlink>
      <w:hyperlink r:id="rId42" w:history="1">
        <w:r>
          <w:rPr>
            <w:rFonts w:ascii="arial" w:eastAsia="arial" w:hAnsi="arial" w:cs="arial"/>
            <w:b w:val="0"/>
            <w:i/>
            <w:strike w:val="0"/>
            <w:noProof w:val="0"/>
            <w:color w:val="0077CC"/>
            <w:position w:val="0"/>
            <w:sz w:val="20"/>
            <w:u w:val="single"/>
            <w:vertAlign w:val="baseline"/>
          </w:rPr>
          <w:t>, 474 U.S. 52, 59, 106 S. Ct. 366, 88 L. Ed. 2d 203 (1985)</w:t>
        </w:r>
      </w:hyperlink>
      <w:r>
        <w:rPr>
          <w:rFonts w:ascii="arial" w:eastAsia="arial" w:hAnsi="arial" w:cs="arial"/>
          <w:b w:val="0"/>
          <w:i w:val="0"/>
          <w:strike w:val="0"/>
          <w:noProof w:val="0"/>
          <w:color w:val="000000"/>
          <w:position w:val="0"/>
          <w:sz w:val="20"/>
          <w:u w:val="none"/>
          <w:vertAlign w:val="baseline"/>
        </w:rPr>
        <w:t>. "This assessment, in turn, will depend in large part on a prediction whether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evidence likely would have changed the outcome of a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instant case, Movant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state that he would have proceeded to trial had defense counsel performed competently, and he, therefore, does not make a claim to prejudice under </w:t>
      </w:r>
      <w:bookmarkStart w:id="129" w:name="Bookmark_I67Y17452N1PY20030000400_2"/>
      <w:bookmarkEnd w:id="129"/>
      <w:bookmarkStart w:id="130" w:name="Bookmark_I67Y17452N1PY20010000400_2"/>
      <w:bookmarkEnd w:id="130"/>
      <w:r>
        <w:rPr>
          <w:rFonts w:ascii="arial" w:eastAsia="arial" w:hAnsi="arial" w:cs="arial"/>
          <w:b w:val="0"/>
          <w:i/>
          <w:strike w:val="0"/>
          <w:noProof w:val="0"/>
          <w:color w:val="000000"/>
          <w:position w:val="0"/>
          <w:sz w:val="20"/>
          <w:u w:val="none"/>
          <w:vertAlign w:val="baseline"/>
        </w:rPr>
        <w:t xml:space="preserve">Strickland.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(denying habeas claim where petitioner "did not allege . . . that, had counsel correctly informed him about his parole eligibility date, he would have pleaded not guilty and insisted on going to trial.").</w:t>
      </w:r>
    </w:p>
    <w:p>
      <w:pPr>
        <w:keepNext w:val="0"/>
        <w:spacing w:before="240" w:after="0" w:line="260" w:lineRule="atLeast"/>
        <w:ind w:left="0" w:right="0" w:firstLine="0"/>
        <w:jc w:val="both"/>
      </w:pPr>
      <w:bookmarkStart w:id="131" w:name="Bookmark_para_31"/>
      <w:bookmarkEnd w:id="131"/>
      <w:r>
        <w:rPr>
          <w:rFonts w:ascii="arial" w:eastAsia="arial" w:hAnsi="arial" w:cs="arial"/>
          <w:b w:val="0"/>
          <w:i w:val="0"/>
          <w:strike w:val="0"/>
          <w:noProof w:val="0"/>
          <w:color w:val="000000"/>
          <w:position w:val="0"/>
          <w:sz w:val="20"/>
          <w:u w:val="none"/>
          <w:vertAlign w:val="baseline"/>
        </w:rPr>
        <w:t xml:space="preserve">Moreover, even if this case had gone to trial, it is unlikely that Movant would have been acquitted or received a more favorable sentence.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only defense Movant raises in his Motion is that he believed he was going to rob the Victims but did not believe they were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t>
      </w:r>
      <w:bookmarkStart w:id="132" w:name="Bookmark_I67Y17452N1PY20050000400"/>
      <w:bookmarkEnd w:id="132"/>
      <w:r>
        <w:rPr>
          <w:rFonts w:ascii="arial" w:eastAsia="arial" w:hAnsi="arial" w:cs="arial"/>
          <w:b w:val="0"/>
          <w:i w:val="0"/>
          <w:strike w:val="0"/>
          <w:noProof w:val="0"/>
          <w:color w:val="000000"/>
          <w:position w:val="0"/>
          <w:sz w:val="20"/>
          <w:u w:val="none"/>
          <w:vertAlign w:val="baseline"/>
        </w:rPr>
        <w:t xml:space="preserve">(ECF No. 1-1 at 12.) However, the key inquiry for a jury would have been whether Movant helped co-conspirators in their efforts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Victims. The Eleventh Circuit has held that the phrase "encourages or induces" in </w:t>
      </w:r>
      <w:hyperlink r:id="rId13"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"includes the act of'helping' an alien come to the United States." </w:t>
      </w:r>
      <w:bookmarkStart w:id="133" w:name="Bookmark_I67Y17452N1PY20040000400"/>
      <w:bookmarkEnd w:id="133"/>
      <w:hyperlink r:id="rId43" w:history="1">
        <w:r>
          <w:rPr>
            <w:rFonts w:ascii="arial" w:eastAsia="arial" w:hAnsi="arial" w:cs="arial"/>
            <w:b w:val="0"/>
            <w:i/>
            <w:strike w:val="0"/>
            <w:noProof w:val="0"/>
            <w:color w:val="0077CC"/>
            <w:position w:val="0"/>
            <w:sz w:val="20"/>
            <w:u w:val="single"/>
            <w:vertAlign w:val="baseline"/>
          </w:rPr>
          <w:t>United States v. Chkuaseli</w:t>
        </w:r>
      </w:hyperlink>
      <w:hyperlink r:id="rId43" w:history="1">
        <w:r>
          <w:rPr>
            <w:rFonts w:ascii="arial" w:eastAsia="arial" w:hAnsi="arial" w:cs="arial"/>
            <w:b w:val="0"/>
            <w:i/>
            <w:strike w:val="0"/>
            <w:noProof w:val="0"/>
            <w:color w:val="0077CC"/>
            <w:position w:val="0"/>
            <w:sz w:val="20"/>
            <w:u w:val="single"/>
            <w:vertAlign w:val="baseline"/>
          </w:rPr>
          <w:t>, 731 F. App'x 747, 753 (11th Cir. 2018)</w:t>
        </w:r>
      </w:hyperlink>
      <w:r>
        <w:rPr>
          <w:rFonts w:ascii="arial" w:eastAsia="arial" w:hAnsi="arial" w:cs="arial"/>
          <w:b w:val="0"/>
          <w:i w:val="0"/>
          <w:strike w:val="0"/>
          <w:noProof w:val="0"/>
          <w:color w:val="000000"/>
          <w:position w:val="0"/>
          <w:sz w:val="20"/>
          <w:u w:val="none"/>
          <w:vertAlign w:val="baseline"/>
        </w:rPr>
        <w:t xml:space="preserve"> (citing </w:t>
      </w:r>
      <w:bookmarkStart w:id="134" w:name="Bookmark_I67Y17452SF7T40010000400"/>
      <w:bookmarkEnd w:id="134"/>
      <w:hyperlink r:id="rId44" w:history="1">
        <w:r>
          <w:rPr>
            <w:rFonts w:ascii="arial" w:eastAsia="arial" w:hAnsi="arial" w:cs="arial"/>
            <w:b w:val="0"/>
            <w:i/>
            <w:strike w:val="0"/>
            <w:noProof w:val="0"/>
            <w:color w:val="0077CC"/>
            <w:position w:val="0"/>
            <w:sz w:val="20"/>
            <w:u w:val="single"/>
            <w:vertAlign w:val="baseline"/>
          </w:rPr>
          <w:t>United States v. Lopez</w:t>
        </w:r>
      </w:hyperlink>
      <w:hyperlink r:id="rId44" w:history="1">
        <w:r>
          <w:rPr>
            <w:rFonts w:ascii="arial" w:eastAsia="arial" w:hAnsi="arial" w:cs="arial"/>
            <w:b w:val="0"/>
            <w:i/>
            <w:strike w:val="0"/>
            <w:noProof w:val="0"/>
            <w:color w:val="0077CC"/>
            <w:position w:val="0"/>
            <w:sz w:val="20"/>
            <w:u w:val="single"/>
            <w:vertAlign w:val="baseline"/>
          </w:rPr>
          <w:t>, 590 F.3d 1238, 1248 (11th Cir. 2009)</w:t>
        </w:r>
      </w:hyperlink>
      <w:r>
        <w:rPr>
          <w:rFonts w:ascii="arial" w:eastAsia="arial" w:hAnsi="arial" w:cs="arial"/>
          <w:b w:val="0"/>
          <w:i w:val="0"/>
          <w:strike w:val="0"/>
          <w:noProof w:val="0"/>
          <w:color w:val="000000"/>
          <w:position w:val="0"/>
          <w:sz w:val="20"/>
          <w:u w:val="none"/>
          <w:vertAlign w:val="baseline"/>
        </w:rPr>
        <w:t>). The Factual Proffer makes clear that Movant understood the Victims were traveling to the United States. (ECF-Cr. No. 101 at 3.) Movant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also stated that Ibarguen recruited him to help with the boat trip and that Movant "was responsible for getting excess water out of the vessel . . . ." (ECF-Cr. </w:t>
      </w:r>
      <w:bookmarkStart w:id="135" w:name="Bookmark_I67Y17452SF7T40040000400"/>
      <w:bookmarkEnd w:id="135"/>
      <w:r>
        <w:rPr>
          <w:rFonts w:ascii="arial" w:eastAsia="arial" w:hAnsi="arial" w:cs="arial"/>
          <w:b w:val="0"/>
          <w:i w:val="0"/>
          <w:strike w:val="0"/>
          <w:noProof w:val="0"/>
          <w:color w:val="000000"/>
          <w:position w:val="0"/>
          <w:sz w:val="20"/>
          <w:u w:val="none"/>
          <w:vertAlign w:val="baseline"/>
        </w:rPr>
        <w:t xml:space="preserve">No. 118 ¶ 18.) Therefore, the Government likely would have proven at trial that Movant helped with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knew, or recklessly disregarded the fact, that the Victims' coming to the United States was illegal. </w:t>
      </w:r>
      <w:r>
        <w:rPr>
          <w:rFonts w:ascii="arial" w:eastAsia="arial" w:hAnsi="arial" w:cs="arial"/>
          <w:b w:val="0"/>
          <w:i/>
          <w:strike w:val="0"/>
          <w:noProof w:val="0"/>
          <w:color w:val="000000"/>
          <w:position w:val="0"/>
          <w:sz w:val="20"/>
          <w:u w:val="none"/>
          <w:vertAlign w:val="baseline"/>
        </w:rPr>
        <w:t xml:space="preserve">See </w:t>
      </w:r>
      <w:bookmarkStart w:id="136" w:name="Bookmark_I67Y17452SF7T40030000400"/>
      <w:bookmarkEnd w:id="136"/>
      <w:hyperlink r:id="rId43" w:history="1">
        <w:r>
          <w:rPr>
            <w:rFonts w:ascii="arial" w:eastAsia="arial" w:hAnsi="arial" w:cs="arial"/>
            <w:b w:val="0"/>
            <w:i/>
            <w:strike w:val="0"/>
            <w:noProof w:val="0"/>
            <w:color w:val="0077CC"/>
            <w:position w:val="0"/>
            <w:sz w:val="20"/>
            <w:u w:val="single"/>
            <w:vertAlign w:val="baseline"/>
          </w:rPr>
          <w:t>Chkuaseli</w:t>
        </w:r>
      </w:hyperlink>
      <w:hyperlink r:id="rId43" w:history="1">
        <w:r>
          <w:rPr>
            <w:rFonts w:ascii="arial" w:eastAsia="arial" w:hAnsi="arial" w:cs="arial"/>
            <w:b w:val="0"/>
            <w:i/>
            <w:strike w:val="0"/>
            <w:noProof w:val="0"/>
            <w:color w:val="0077CC"/>
            <w:position w:val="0"/>
            <w:sz w:val="20"/>
            <w:u w:val="single"/>
            <w:vertAlign w:val="baseline"/>
          </w:rPr>
          <w:t>, 731 F. App'x at 753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32"/>
      <w:bookmarkEnd w:id="137"/>
      <w:r>
        <w:rPr>
          <w:rFonts w:ascii="arial" w:eastAsia="arial" w:hAnsi="arial" w:cs="arial"/>
          <w:b w:val="0"/>
          <w:i w:val="0"/>
          <w:strike w:val="0"/>
          <w:noProof w:val="0"/>
          <w:color w:val="000000"/>
          <w:position w:val="0"/>
          <w:sz w:val="20"/>
          <w:u w:val="none"/>
          <w:vertAlign w:val="baseline"/>
        </w:rPr>
        <w:t xml:space="preserve">Movant also argues that defense counsel was ineffective because he failed to diligently seek out exculpatory evidence. (ECF No. 1-1 at 15.) Specifically, Movant states "[t]here is good reason to believe that the government has, or had[,] in their possession or knowledge, evidence reflecting that [Movant] did not know about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efforts" prior to September 7, 2016. </w:t>
      </w:r>
      <w:bookmarkStart w:id="138" w:name="Bookmark_I67Y17452HM6370010000400"/>
      <w:bookmarkEnd w:id="13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n.5.) But Movant cannot show prejudice on this claim because he does not specify what evidence would have been uncovered through any further investigation. </w:t>
      </w:r>
      <w:r>
        <w:rPr>
          <w:rFonts w:ascii="arial" w:eastAsia="arial" w:hAnsi="arial" w:cs="arial"/>
          <w:b w:val="0"/>
          <w:i/>
          <w:strike w:val="0"/>
          <w:noProof w:val="0"/>
          <w:color w:val="000000"/>
          <w:position w:val="0"/>
          <w:sz w:val="20"/>
          <w:u w:val="none"/>
          <w:vertAlign w:val="baseline"/>
        </w:rPr>
        <w:t xml:space="preserve">See </w:t>
      </w:r>
      <w:bookmarkStart w:id="139" w:name="Bookmark_I67Y17452SF7T40050000400"/>
      <w:bookmarkEnd w:id="139"/>
      <w:hyperlink r:id="rId45" w:history="1">
        <w:r>
          <w:rPr>
            <w:rFonts w:ascii="arial" w:eastAsia="arial" w:hAnsi="arial" w:cs="arial"/>
            <w:b w:val="0"/>
            <w:i/>
            <w:strike w:val="0"/>
            <w:noProof w:val="0"/>
            <w:color w:val="0077CC"/>
            <w:position w:val="0"/>
            <w:sz w:val="20"/>
            <w:u w:val="single"/>
            <w:vertAlign w:val="baseline"/>
          </w:rPr>
          <w:t>Fifield v. Sec'y, Dep't of Corr.</w:t>
        </w:r>
      </w:hyperlink>
      <w:hyperlink r:id="rId45" w:history="1">
        <w:r>
          <w:rPr>
            <w:rFonts w:ascii="arial" w:eastAsia="arial" w:hAnsi="arial" w:cs="arial"/>
            <w:b w:val="0"/>
            <w:i/>
            <w:strike w:val="0"/>
            <w:noProof w:val="0"/>
            <w:color w:val="0077CC"/>
            <w:position w:val="0"/>
            <w:sz w:val="20"/>
            <w:u w:val="single"/>
            <w:vertAlign w:val="baseline"/>
          </w:rPr>
          <w:t>, 849 F. App'x 829, 835 (11th Cir. 2021)</w:t>
        </w:r>
      </w:hyperlink>
      <w:r>
        <w:rPr>
          <w:rFonts w:ascii="arial" w:eastAsia="arial" w:hAnsi="arial" w:cs="arial"/>
          <w:b w:val="0"/>
          <w:i w:val="0"/>
          <w:strike w:val="0"/>
          <w:noProof w:val="0"/>
          <w:color w:val="000000"/>
          <w:position w:val="0"/>
          <w:sz w:val="20"/>
          <w:u w:val="none"/>
          <w:vertAlign w:val="baseline"/>
        </w:rPr>
        <w:t xml:space="preserve"> ("Without allegations about what evidence could have been found with proper investigation, [this Court] cannot find that [Movant] was prejudiced.").</w:t>
      </w:r>
    </w:p>
    <w:p>
      <w:pPr>
        <w:keepNext w:val="0"/>
        <w:spacing w:before="200" w:after="0" w:line="260" w:lineRule="atLeast"/>
        <w:ind w:left="0" w:right="0" w:firstLine="0"/>
        <w:jc w:val="both"/>
      </w:pPr>
      <w:bookmarkStart w:id="140" w:name="Bookmark_para_33"/>
      <w:bookmarkEnd w:id="140"/>
      <w:r>
        <w:rPr>
          <w:rFonts w:ascii="arial" w:eastAsia="arial" w:hAnsi="arial" w:cs="arial"/>
          <w:b w:val="0"/>
          <w:i w:val="0"/>
          <w:strike w:val="0"/>
          <w:noProof w:val="0"/>
          <w:color w:val="000000"/>
          <w:position w:val="0"/>
          <w:sz w:val="20"/>
          <w:u w:val="none"/>
          <w:vertAlign w:val="baseline"/>
        </w:rPr>
        <w:t>Movant has not shown a reasonable likelihood of prevailing on any defense at trial, and for that reason, he has not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demonstrated prejudice. Ground One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Ground Two: Ineffective Assistance of Counsel for Failing to Obtain a Mental Health Evaluation for Sentencing</w:t>
      </w:r>
    </w:p>
    <w:p>
      <w:pPr>
        <w:keepNext w:val="0"/>
        <w:spacing w:before="200" w:after="0" w:line="260" w:lineRule="atLeast"/>
        <w:ind w:left="0" w:right="0" w:firstLine="0"/>
        <w:jc w:val="both"/>
      </w:pPr>
      <w:bookmarkStart w:id="141" w:name="Bookmark_para_34"/>
      <w:bookmarkEnd w:id="141"/>
      <w:r>
        <w:rPr>
          <w:rFonts w:ascii="arial" w:eastAsia="arial" w:hAnsi="arial" w:cs="arial"/>
          <w:b w:val="0"/>
          <w:i w:val="0"/>
          <w:strike w:val="0"/>
          <w:noProof w:val="0"/>
          <w:color w:val="000000"/>
          <w:position w:val="0"/>
          <w:sz w:val="20"/>
          <w:u w:val="none"/>
          <w:vertAlign w:val="baseline"/>
        </w:rPr>
        <w:t>Movant alleges that defense counsel was ineffective for failing "to obtain a psychosexual or mental health evaluation for mitigation purposes." (ECF No. 1-1 at 12.) Specifically, Movant alleges that he "was sexually abused and mentally abused" in the past but that defense counsel "was only concerned with general 'competency.'"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35"/>
      <w:bookmarkEnd w:id="142"/>
      <w:r>
        <w:rPr>
          <w:rFonts w:ascii="arial" w:eastAsia="arial" w:hAnsi="arial" w:cs="arial"/>
          <w:b w:val="0"/>
          <w:i w:val="0"/>
          <w:strike w:val="0"/>
          <w:noProof w:val="0"/>
          <w:color w:val="000000"/>
          <w:position w:val="0"/>
          <w:sz w:val="20"/>
          <w:u w:val="none"/>
          <w:vertAlign w:val="baseline"/>
        </w:rPr>
        <w:t xml:space="preserve">This Court finds no deficient performance. The first time Movant disclosed the abuse he experienced was to the probation office—not to defense counsel. (ECF-Cr. </w:t>
      </w:r>
      <w:bookmarkStart w:id="143" w:name="Bookmark_I67Y17452HM6370030000400"/>
      <w:bookmarkEnd w:id="143"/>
      <w:r>
        <w:rPr>
          <w:rFonts w:ascii="arial" w:eastAsia="arial" w:hAnsi="arial" w:cs="arial"/>
          <w:b w:val="0"/>
          <w:i w:val="0"/>
          <w:strike w:val="0"/>
          <w:noProof w:val="0"/>
          <w:color w:val="000000"/>
          <w:position w:val="0"/>
          <w:sz w:val="20"/>
          <w:u w:val="none"/>
          <w:vertAlign w:val="baseline"/>
        </w:rPr>
        <w:t xml:space="preserve">No. 118 ¶ 49.) Movant does not allege that he specifically requested defense counsel order an evaluation for sentencing. When a "defendant has given counsel reason to believe that pursuing certain investigations would be fruitless or even harmful, counsel's failure to pursue those investigations may not later be challenged as reasonable." </w:t>
      </w:r>
      <w:bookmarkStart w:id="144" w:name="Bookmark_I67Y17452HM6370020000400"/>
      <w:bookmarkEnd w:id="144"/>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36"/>
      <w:bookmarkEnd w:id="145"/>
      <w:r>
        <w:rPr>
          <w:rFonts w:ascii="arial" w:eastAsia="arial" w:hAnsi="arial" w:cs="arial"/>
          <w:b w:val="0"/>
          <w:i w:val="0"/>
          <w:strike w:val="0"/>
          <w:noProof w:val="0"/>
          <w:color w:val="000000"/>
          <w:position w:val="0"/>
          <w:sz w:val="20"/>
          <w:u w:val="none"/>
          <w:vertAlign w:val="baseline"/>
        </w:rPr>
        <w:t xml:space="preserve">Further, defense counsel's decision not to make an issue out of Movant's mental health during sentencing was a "strategic decision" because he focused on other issues. </w:t>
      </w:r>
      <w:bookmarkStart w:id="146" w:name="Bookmark_I67Y17452HM6370050000400"/>
      <w:bookmarkEnd w:id="14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("Strategic choices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made after thorough investigation . .. are virtually unchallengeable.")' Defense counsel's arguments during sentencing focused on obtaining a second-degree murder cross reference under </w:t>
      </w:r>
      <w:hyperlink r:id="rId15" w:history="1">
        <w:r>
          <w:rPr>
            <w:rFonts w:ascii="arial" w:eastAsia="arial" w:hAnsi="arial" w:cs="arial"/>
            <w:b w:val="0"/>
            <w:i/>
            <w:strike w:val="0"/>
            <w:noProof w:val="0"/>
            <w:color w:val="0077CC"/>
            <w:position w:val="0"/>
            <w:sz w:val="20"/>
            <w:u w:val="single"/>
            <w:vertAlign w:val="baseline"/>
          </w:rPr>
          <w:t>U.S.S.G. § 2L1.1</w:t>
        </w:r>
      </w:hyperlink>
      <w:r>
        <w:rPr>
          <w:rFonts w:ascii="arial" w:eastAsia="arial" w:hAnsi="arial" w:cs="arial"/>
          <w:b w:val="0"/>
          <w:i w:val="0"/>
          <w:strike w:val="0"/>
          <w:noProof w:val="0"/>
          <w:color w:val="000000"/>
          <w:position w:val="0"/>
          <w:sz w:val="20"/>
          <w:u w:val="none"/>
          <w:vertAlign w:val="baseline"/>
        </w:rPr>
        <w:t xml:space="preserve"> instead of a first-degree murder reference. (ECF-Cr. No. 177 at 13:13-14:23); </w:t>
      </w:r>
      <w:r>
        <w:rPr>
          <w:rFonts w:ascii="arial" w:eastAsia="arial" w:hAnsi="arial" w:cs="arial"/>
          <w:b w:val="0"/>
          <w:i/>
          <w:strike w:val="0"/>
          <w:noProof w:val="0"/>
          <w:color w:val="000000"/>
          <w:position w:val="0"/>
          <w:sz w:val="20"/>
          <w:u w:val="none"/>
          <w:vertAlign w:val="baseline"/>
        </w:rPr>
        <w:t xml:space="preserve">see </w:t>
      </w:r>
      <w:bookmarkStart w:id="147" w:name="Bookmark_I67Y17452HM6370040000400"/>
      <w:bookmarkEnd w:id="147"/>
      <w:hyperlink r:id="rId46" w:history="1">
        <w:r>
          <w:rPr>
            <w:rFonts w:ascii="arial" w:eastAsia="arial" w:hAnsi="arial" w:cs="arial"/>
            <w:b w:val="0"/>
            <w:i/>
            <w:strike w:val="0"/>
            <w:noProof w:val="0"/>
            <w:color w:val="0077CC"/>
            <w:position w:val="0"/>
            <w:sz w:val="20"/>
            <w:u w:val="single"/>
            <w:vertAlign w:val="baseline"/>
          </w:rPr>
          <w:t>Daire v. Lattimore</w:t>
        </w:r>
      </w:hyperlink>
      <w:hyperlink r:id="rId46" w:history="1">
        <w:r>
          <w:rPr>
            <w:rFonts w:ascii="arial" w:eastAsia="arial" w:hAnsi="arial" w:cs="arial"/>
            <w:b w:val="0"/>
            <w:i/>
            <w:strike w:val="0"/>
            <w:noProof w:val="0"/>
            <w:color w:val="0077CC"/>
            <w:position w:val="0"/>
            <w:sz w:val="20"/>
            <w:u w:val="single"/>
            <w:vertAlign w:val="baseline"/>
          </w:rPr>
          <w:t>, 818 F.3d 454, 465 (9th Cir. 2016)</w:t>
        </w:r>
      </w:hyperlink>
      <w:r>
        <w:rPr>
          <w:rFonts w:ascii="arial" w:eastAsia="arial" w:hAnsi="arial" w:cs="arial"/>
          <w:b w:val="0"/>
          <w:i w:val="0"/>
          <w:strike w:val="0"/>
          <w:noProof w:val="0"/>
          <w:color w:val="000000"/>
          <w:position w:val="0"/>
          <w:sz w:val="20"/>
          <w:u w:val="none"/>
          <w:vertAlign w:val="baseline"/>
        </w:rPr>
        <w:t xml:space="preserve"> (ruling no evidentiary hearing necessary at noncapital sentencing where "the records as a whole suggests that [the petitioner's] attorney devised an informed defense and a reasonable mitigating strategy.")</w:t>
      </w:r>
    </w:p>
    <w:p>
      <w:pPr>
        <w:keepNext w:val="0"/>
        <w:spacing w:before="240" w:after="0" w:line="260" w:lineRule="atLeast"/>
        <w:ind w:left="0" w:right="0" w:firstLine="0"/>
        <w:jc w:val="both"/>
      </w:pPr>
      <w:bookmarkStart w:id="148" w:name="Bookmark_para_37"/>
      <w:bookmarkEnd w:id="148"/>
      <w:bookmarkStart w:id="149" w:name="Bookmark_I67Y17462SF7TC0020000400"/>
      <w:bookmarkEnd w:id="149"/>
      <w:r>
        <w:rPr>
          <w:rFonts w:ascii="arial" w:eastAsia="arial" w:hAnsi="arial" w:cs="arial"/>
          <w:b w:val="0"/>
          <w:i w:val="0"/>
          <w:strike w:val="0"/>
          <w:noProof w:val="0"/>
          <w:color w:val="000000"/>
          <w:position w:val="0"/>
          <w:sz w:val="20"/>
          <w:u w:val="none"/>
          <w:vertAlign w:val="baseline"/>
        </w:rPr>
        <w:t xml:space="preserve">Even if defense counsel performed incompetently, this Court finds that Movant has not shown prejudice. Movant provides no authority for the proposition that the details of his mental health history at a noncapital sentencing would have mitigated his sentence. Indeed, even in the penalty phase of a capital trial, "[t]he lesson to be drawn from our decisions is not that counsel's performance is always, or even usually, deficient if counsel fails to present available mitigating circumstance evidence." </w:t>
      </w:r>
      <w:bookmarkStart w:id="150" w:name="Bookmark_I67Y17462SF7TC0010000400"/>
      <w:bookmarkEnd w:id="150"/>
      <w:hyperlink r:id="rId31" w:history="1">
        <w:r>
          <w:rPr>
            <w:rFonts w:ascii="arial" w:eastAsia="arial" w:hAnsi="arial" w:cs="arial"/>
            <w:b w:val="0"/>
            <w:i/>
            <w:strike w:val="0"/>
            <w:noProof w:val="0"/>
            <w:color w:val="0077CC"/>
            <w:position w:val="0"/>
            <w:sz w:val="20"/>
            <w:u w:val="single"/>
            <w:vertAlign w:val="baseline"/>
          </w:rPr>
          <w:t>Waters v. Thomas</w:t>
        </w:r>
      </w:hyperlink>
      <w:hyperlink r:id="rId31" w:history="1">
        <w:r>
          <w:rPr>
            <w:rFonts w:ascii="arial" w:eastAsia="arial" w:hAnsi="arial" w:cs="arial"/>
            <w:b w:val="0"/>
            <w:i/>
            <w:strike w:val="0"/>
            <w:noProof w:val="0"/>
            <w:color w:val="0077CC"/>
            <w:position w:val="0"/>
            <w:sz w:val="20"/>
            <w:u w:val="single"/>
            <w:vertAlign w:val="baseline"/>
          </w:rPr>
          <w:t>, 46 F.3d 1506, 1511 (11th Cir. 1995)</w:t>
        </w:r>
      </w:hyperlink>
      <w:r>
        <w:rPr>
          <w:rFonts w:ascii="arial" w:eastAsia="arial" w:hAnsi="arial" w:cs="arial"/>
          <w:b w:val="0"/>
          <w:i w:val="0"/>
          <w:strike w:val="0"/>
          <w:noProof w:val="0"/>
          <w:color w:val="000000"/>
          <w:position w:val="0"/>
          <w:sz w:val="20"/>
          <w:u w:val="none"/>
          <w:vertAlign w:val="baseline"/>
        </w:rPr>
        <w:t>. To put it differently, the abuse that Movant experienced in his past is not a mitigating factor as a matter of law.</w:t>
      </w:r>
    </w:p>
    <w:p>
      <w:pPr>
        <w:keepNext w:val="0"/>
        <w:spacing w:before="240" w:after="0" w:line="260" w:lineRule="atLeast"/>
        <w:ind w:left="0" w:right="0" w:firstLine="0"/>
        <w:jc w:val="both"/>
      </w:pPr>
      <w:bookmarkStart w:id="151" w:name="Bookmark_para_38"/>
      <w:bookmarkEnd w:id="151"/>
      <w:bookmarkStart w:id="152" w:name="Bookmark_I67Y17462SF7TC0040000400"/>
      <w:bookmarkEnd w:id="152"/>
      <w:r>
        <w:rPr>
          <w:rFonts w:ascii="arial" w:eastAsia="arial" w:hAnsi="arial" w:cs="arial"/>
          <w:b w:val="0"/>
          <w:i w:val="0"/>
          <w:strike w:val="0"/>
          <w:noProof w:val="0"/>
          <w:color w:val="000000"/>
          <w:position w:val="0"/>
          <w:sz w:val="20"/>
          <w:u w:val="none"/>
          <w:vertAlign w:val="baseline"/>
        </w:rPr>
        <w:t>In fact, there are instances when presenting a defendant's mental health history includes a "history of deception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criminality" which "substantially undercut[] any potential benefit. . . mitigation testimony might have had." </w:t>
      </w:r>
      <w:bookmarkStart w:id="153" w:name="Bookmark_I67Y17462SF7TC0030000400"/>
      <w:bookmarkEnd w:id="153"/>
      <w:hyperlink r:id="rId47" w:history="1">
        <w:r>
          <w:rPr>
            <w:rFonts w:ascii="arial" w:eastAsia="arial" w:hAnsi="arial" w:cs="arial"/>
            <w:b w:val="0"/>
            <w:i/>
            <w:strike w:val="0"/>
            <w:noProof w:val="0"/>
            <w:color w:val="0077CC"/>
            <w:position w:val="0"/>
            <w:sz w:val="20"/>
            <w:u w:val="single"/>
            <w:vertAlign w:val="baseline"/>
          </w:rPr>
          <w:t>Land v. Allen</w:t>
        </w:r>
      </w:hyperlink>
      <w:hyperlink r:id="rId47" w:history="1">
        <w:r>
          <w:rPr>
            <w:rFonts w:ascii="arial" w:eastAsia="arial" w:hAnsi="arial" w:cs="arial"/>
            <w:b w:val="0"/>
            <w:i/>
            <w:strike w:val="0"/>
            <w:noProof w:val="0"/>
            <w:color w:val="0077CC"/>
            <w:position w:val="0"/>
            <w:sz w:val="20"/>
            <w:u w:val="single"/>
            <w:vertAlign w:val="baseline"/>
          </w:rPr>
          <w:t>, 573 F.3d 1211, 1222 (11th Cir. 2009)</w:t>
        </w:r>
      </w:hyperlink>
      <w:r>
        <w:rPr>
          <w:rFonts w:ascii="arial" w:eastAsia="arial" w:hAnsi="arial" w:cs="arial"/>
          <w:b w:val="0"/>
          <w:i w:val="0"/>
          <w:strike w:val="0"/>
          <w:noProof w:val="0"/>
          <w:color w:val="000000"/>
          <w:position w:val="0"/>
          <w:sz w:val="20"/>
          <w:u w:val="none"/>
          <w:vertAlign w:val="baseline"/>
        </w:rPr>
        <w:t xml:space="preserve"> (discussing defendant with antisocial personality disorder). In this case, defense counsel took care to object to references to Movant's mental state in the PSI: "The next objection was Paragraph 19 in the PSI. This was kind of disturbing because it goes through [Movant's co-defendant's] statements that [Movant] was a member of the military forces, he was messed up, bad ideology . . . ." (ECF-Cr. </w:t>
      </w:r>
      <w:bookmarkStart w:id="154" w:name="Bookmark_I67Y17462SF7TH0010000400"/>
      <w:bookmarkEnd w:id="154"/>
      <w:r>
        <w:rPr>
          <w:rFonts w:ascii="arial" w:eastAsia="arial" w:hAnsi="arial" w:cs="arial"/>
          <w:b w:val="0"/>
          <w:i w:val="0"/>
          <w:strike w:val="0"/>
          <w:noProof w:val="0"/>
          <w:color w:val="000000"/>
          <w:position w:val="0"/>
          <w:sz w:val="20"/>
          <w:u w:val="none"/>
          <w:vertAlign w:val="baseline"/>
        </w:rPr>
        <w:t xml:space="preserve">No. 177 at 21:2-19.) </w:t>
      </w:r>
      <w:bookmarkStart w:id="155" w:name="Bookmark_I67Y17462SF7TH0010000400_2"/>
      <w:bookmarkEnd w:id="155"/>
      <w:r>
        <w:rPr>
          <w:rFonts w:ascii="arial" w:eastAsia="arial" w:hAnsi="arial" w:cs="arial"/>
          <w:b w:val="0"/>
          <w:i w:val="0"/>
          <w:strike w:val="0"/>
          <w:noProof w:val="0"/>
          <w:color w:val="000000"/>
          <w:position w:val="0"/>
          <w:sz w:val="20"/>
          <w:u w:val="none"/>
          <w:vertAlign w:val="baseline"/>
        </w:rPr>
        <w:t xml:space="preserve">Further, given that Movant's co-defendant already raised the issue of Movant's mental state, defense counsel had reason to believe putting on evidence of Movant's mental health may have been counterproductive. </w:t>
      </w:r>
      <w:r>
        <w:rPr>
          <w:rFonts w:ascii="arial" w:eastAsia="arial" w:hAnsi="arial" w:cs="arial"/>
          <w:b w:val="0"/>
          <w:i/>
          <w:strike w:val="0"/>
          <w:noProof w:val="0"/>
          <w:color w:val="000000"/>
          <w:position w:val="0"/>
          <w:sz w:val="20"/>
          <w:u w:val="none"/>
          <w:vertAlign w:val="baseline"/>
        </w:rPr>
        <w:t xml:space="preserve">See </w:t>
      </w:r>
      <w:bookmarkStart w:id="156" w:name="Bookmark_I67Y17462SF7TC0050000400"/>
      <w:bookmarkEnd w:id="156"/>
      <w:hyperlink r:id="rId29" w:history="1">
        <w:r>
          <w:rPr>
            <w:rFonts w:ascii="arial" w:eastAsia="arial" w:hAnsi="arial" w:cs="arial"/>
            <w:b w:val="0"/>
            <w:i/>
            <w:strike w:val="0"/>
            <w:noProof w:val="0"/>
            <w:color w:val="0077CC"/>
            <w:position w:val="0"/>
            <w:sz w:val="20"/>
            <w:u w:val="single"/>
            <w:vertAlign w:val="baseline"/>
          </w:rPr>
          <w:t>Chandler</w:t>
        </w:r>
      </w:hyperlink>
      <w:hyperlink r:id="rId29" w:history="1">
        <w:r>
          <w:rPr>
            <w:rFonts w:ascii="arial" w:eastAsia="arial" w:hAnsi="arial" w:cs="arial"/>
            <w:b w:val="0"/>
            <w:i/>
            <w:strike w:val="0"/>
            <w:noProof w:val="0"/>
            <w:color w:val="0077CC"/>
            <w:position w:val="0"/>
            <w:sz w:val="20"/>
            <w:u w:val="single"/>
            <w:vertAlign w:val="baseline"/>
          </w:rPr>
          <w:t>, 218 F.3d at 1321</w:t>
        </w:r>
      </w:hyperlink>
      <w:r>
        <w:rPr>
          <w:rFonts w:ascii="arial" w:eastAsia="arial" w:hAnsi="arial" w:cs="arial"/>
          <w:b w:val="0"/>
          <w:i w:val="0"/>
          <w:strike w:val="0"/>
          <w:noProof w:val="0"/>
          <w:color w:val="000000"/>
          <w:position w:val="0"/>
          <w:sz w:val="20"/>
          <w:u w:val="none"/>
          <w:vertAlign w:val="baseline"/>
        </w:rPr>
        <w:t xml:space="preserve">; </w:t>
      </w:r>
      <w:bookmarkStart w:id="157" w:name="Bookmark_I67Y17462SF7TH0020000400"/>
      <w:bookmarkEnd w:id="157"/>
      <w:hyperlink r:id="rId48" w:history="1">
        <w:r>
          <w:rPr>
            <w:rFonts w:ascii="arial" w:eastAsia="arial" w:hAnsi="arial" w:cs="arial"/>
            <w:b w:val="0"/>
            <w:i/>
            <w:strike w:val="0"/>
            <w:noProof w:val="0"/>
            <w:color w:val="0077CC"/>
            <w:position w:val="0"/>
            <w:sz w:val="20"/>
            <w:u w:val="single"/>
            <w:vertAlign w:val="baseline"/>
          </w:rPr>
          <w:t>Cummings v. Sec'y for Dep't of Corr.</w:t>
        </w:r>
      </w:hyperlink>
      <w:hyperlink r:id="rId48" w:history="1">
        <w:r>
          <w:rPr>
            <w:rFonts w:ascii="arial" w:eastAsia="arial" w:hAnsi="arial" w:cs="arial"/>
            <w:b w:val="0"/>
            <w:i/>
            <w:strike w:val="0"/>
            <w:noProof w:val="0"/>
            <w:color w:val="0077CC"/>
            <w:position w:val="0"/>
            <w:sz w:val="20"/>
            <w:u w:val="single"/>
            <w:vertAlign w:val="baseline"/>
          </w:rPr>
          <w:t>, 588 F.3d 1331, 1368 (11th Cir. 2009)</w:t>
        </w:r>
      </w:hyperlink>
      <w:r>
        <w:rPr>
          <w:rFonts w:ascii="arial" w:eastAsia="arial" w:hAnsi="arial" w:cs="arial"/>
          <w:b w:val="0"/>
          <w:i w:val="0"/>
          <w:strike w:val="0"/>
          <w:noProof w:val="0"/>
          <w:color w:val="000000"/>
          <w:position w:val="0"/>
          <w:sz w:val="20"/>
          <w:u w:val="none"/>
          <w:vertAlign w:val="baseline"/>
        </w:rPr>
        <w:t xml:space="preserve"> ("[T]he mitigating nature of [petitioner's] proposed penalty-phase evidence was weak and would have been wholly offset by the double-edged nature of some of that testimony . . . .").</w:t>
      </w:r>
    </w:p>
    <w:p>
      <w:pPr>
        <w:keepNext w:val="0"/>
        <w:spacing w:before="200" w:after="0" w:line="260" w:lineRule="atLeast"/>
        <w:ind w:left="0" w:right="0" w:firstLine="0"/>
        <w:jc w:val="both"/>
      </w:pPr>
      <w:bookmarkStart w:id="158" w:name="Bookmark_para_39"/>
      <w:bookmarkEnd w:id="158"/>
      <w:r>
        <w:rPr>
          <w:rFonts w:ascii="arial" w:eastAsia="arial" w:hAnsi="arial" w:cs="arial"/>
          <w:b w:val="0"/>
          <w:i w:val="0"/>
          <w:strike w:val="0"/>
          <w:noProof w:val="0"/>
          <w:color w:val="000000"/>
          <w:position w:val="0"/>
          <w:sz w:val="20"/>
          <w:u w:val="none"/>
          <w:vertAlign w:val="baseline"/>
        </w:rPr>
        <w:t>Therefore, Movant has not shown that counsel performed deficiently by failing to investigate or present Movant's mental health issues at sentencing. Even were defense counsel's performance deficient, it was not prejudicial because it did not change the result of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proceedings. Accordingly, Ground Two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Evidentiary Hearing</w:t>
      </w:r>
    </w:p>
    <w:p>
      <w:pPr>
        <w:keepNext w:val="0"/>
        <w:spacing w:before="240" w:after="0" w:line="260" w:lineRule="atLeast"/>
        <w:ind w:left="0" w:right="0" w:firstLine="0"/>
        <w:jc w:val="both"/>
      </w:pPr>
      <w:bookmarkStart w:id="159" w:name="Bookmark_para_40"/>
      <w:bookmarkEnd w:id="159"/>
      <w:bookmarkStart w:id="160" w:name="Bookmark_I67Y17462SF7TH0050000400"/>
      <w:bookmarkEnd w:id="160"/>
      <w:r>
        <w:rPr>
          <w:rFonts w:ascii="arial" w:eastAsia="arial" w:hAnsi="arial" w:cs="arial"/>
          <w:b w:val="0"/>
          <w:i w:val="0"/>
          <w:strike w:val="0"/>
          <w:noProof w:val="0"/>
          <w:color w:val="000000"/>
          <w:position w:val="0"/>
          <w:sz w:val="20"/>
          <w:u w:val="none"/>
          <w:vertAlign w:val="baseline"/>
        </w:rPr>
        <w:t xml:space="preserve">Movant is not entitled to an evidentiary hearing because "the motion and the files and records of the case conclusively show that [Movant] is entitled to no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2255(b)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1" w:name="Bookmark_I67Y17462SF7TH0040000400"/>
      <w:bookmarkEnd w:id="161"/>
      <w:hyperlink r:id="rId49" w:history="1">
        <w:r>
          <w:rPr>
            <w:rFonts w:ascii="arial" w:eastAsia="arial" w:hAnsi="arial" w:cs="arial"/>
            <w:b w:val="0"/>
            <w:i/>
            <w:strike w:val="0"/>
            <w:noProof w:val="0"/>
            <w:color w:val="0077CC"/>
            <w:position w:val="0"/>
            <w:sz w:val="20"/>
            <w:u w:val="single"/>
            <w:vertAlign w:val="baseline"/>
          </w:rPr>
          <w:t>Schriro v. Landrigan</w:t>
        </w:r>
      </w:hyperlink>
      <w:hyperlink r:id="rId49" w:history="1">
        <w:r>
          <w:rPr>
            <w:rFonts w:ascii="arial" w:eastAsia="arial" w:hAnsi="arial" w:cs="arial"/>
            <w:b w:val="0"/>
            <w:i/>
            <w:strike w:val="0"/>
            <w:noProof w:val="0"/>
            <w:color w:val="0077CC"/>
            <w:position w:val="0"/>
            <w:sz w:val="20"/>
            <w:u w:val="single"/>
            <w:vertAlign w:val="baseline"/>
          </w:rPr>
          <w:t>, 550 U.S. 465, 473-75, 127 S. Ct. 1933, 167 L. Ed. 2d 836 (2007)</w:t>
        </w:r>
      </w:hyperlink>
      <w:r>
        <w:rPr>
          <w:rFonts w:ascii="arial" w:eastAsia="arial" w:hAnsi="arial" w:cs="arial"/>
          <w:b w:val="0"/>
          <w:i w:val="0"/>
          <w:strike w:val="0"/>
          <w:noProof w:val="0"/>
          <w:color w:val="000000"/>
          <w:position w:val="0"/>
          <w:sz w:val="20"/>
          <w:u w:val="none"/>
          <w:vertAlign w:val="baseline"/>
        </w:rPr>
        <w:t xml:space="preserve"> (holding that, if record refutes factual allegations in petition or otherwise precludes habeas relief, a district court is not required to hold an evidentiary hearing).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mallCaps/>
          <w:strike w:val="0"/>
          <w:noProof w:val="0"/>
          <w:color w:val="000000"/>
          <w:position w:val="0"/>
          <w:sz w:val="20"/>
          <w:u w:val="none"/>
          <w:vertAlign w:val="baseline"/>
        </w:rPr>
        <w:t>Certificate of Appealability</w:t>
      </w:r>
    </w:p>
    <w:p>
      <w:pPr>
        <w:keepNext w:val="0"/>
        <w:spacing w:before="240" w:after="0" w:line="260" w:lineRule="atLeast"/>
        <w:ind w:left="0" w:right="0" w:firstLine="0"/>
        <w:jc w:val="both"/>
      </w:pPr>
      <w:bookmarkStart w:id="162" w:name="Bookmark_para_41"/>
      <w:bookmarkEnd w:id="162"/>
      <w:bookmarkStart w:id="163" w:name="Bookmark_I67Y17462N1PYR0020000400"/>
      <w:bookmarkEnd w:id="163"/>
      <w:r>
        <w:rPr>
          <w:rFonts w:ascii="arial" w:eastAsia="arial" w:hAnsi="arial" w:cs="arial"/>
          <w:b w:val="0"/>
          <w:i w:val="0"/>
          <w:strike w:val="0"/>
          <w:noProof w:val="0"/>
          <w:color w:val="000000"/>
          <w:position w:val="0"/>
          <w:sz w:val="20"/>
          <w:u w:val="none"/>
          <w:vertAlign w:val="baseline"/>
        </w:rPr>
        <w:t xml:space="preserve">A prisoner seeking to appeal a district court's final order denying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has no absolute entitlement to appeal, and to do so, a petitioner must obtain a certificate of appealability.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w:t>
      </w:r>
      <w:bookmarkStart w:id="164" w:name="Bookmark_I67Y17462N1PYR0010000400"/>
      <w:bookmarkEnd w:id="164"/>
      <w:hyperlink r:id="rId51" w:history="1">
        <w:r>
          <w:rPr>
            <w:rFonts w:ascii="arial" w:eastAsia="arial" w:hAnsi="arial" w:cs="arial"/>
            <w:b w:val="0"/>
            <w:i/>
            <w:strike w:val="0"/>
            <w:noProof w:val="0"/>
            <w:color w:val="0077CC"/>
            <w:position w:val="0"/>
            <w:sz w:val="20"/>
            <w:u w:val="single"/>
            <w:vertAlign w:val="baseline"/>
          </w:rPr>
          <w:t>Harbison v. Bell</w:t>
        </w:r>
      </w:hyperlink>
      <w:hyperlink r:id="rId51" w:history="1">
        <w:r>
          <w:rPr>
            <w:rFonts w:ascii="arial" w:eastAsia="arial" w:hAnsi="arial" w:cs="arial"/>
            <w:b w:val="0"/>
            <w:i/>
            <w:strike w:val="0"/>
            <w:noProof w:val="0"/>
            <w:color w:val="0077CC"/>
            <w:position w:val="0"/>
            <w:sz w:val="20"/>
            <w:u w:val="single"/>
            <w:vertAlign w:val="baseline"/>
          </w:rPr>
          <w:t>, 556 U.S. 180, 183, 129 S. Ct. 1481, 173 L. Ed. 2d 347 (2009)</w:t>
        </w:r>
      </w:hyperlink>
      <w:r>
        <w:rPr>
          <w:rFonts w:ascii="arial" w:eastAsia="arial" w:hAnsi="arial" w:cs="arial"/>
          <w:b w:val="0"/>
          <w:i w:val="0"/>
          <w:strike w:val="0"/>
          <w:noProof w:val="0"/>
          <w:color w:val="000000"/>
          <w:position w:val="0"/>
          <w:sz w:val="20"/>
          <w:u w:val="none"/>
          <w:vertAlign w:val="baseline"/>
        </w:rPr>
        <w:t xml:space="preserve"> (citing </w:t>
      </w:r>
      <w:bookmarkStart w:id="165" w:name="Bookmark_I67Y17462N1PYR0030000400"/>
      <w:bookmarkEnd w:id="165"/>
      <w:hyperlink r:id="rId52" w:history="1">
        <w:r>
          <w:rPr>
            <w:rFonts w:ascii="arial" w:eastAsia="arial" w:hAnsi="arial" w:cs="arial"/>
            <w:b w:val="0"/>
            <w:i/>
            <w:strike w:val="0"/>
            <w:noProof w:val="0"/>
            <w:color w:val="0077CC"/>
            <w:position w:val="0"/>
            <w:sz w:val="20"/>
            <w:u w:val="single"/>
            <w:vertAlign w:val="baseline"/>
          </w:rPr>
          <w:t>Slack v. McDaniel</w:t>
        </w:r>
      </w:hyperlink>
      <w:hyperlink r:id="rId52" w:history="1">
        <w:r>
          <w:rPr>
            <w:rFonts w:ascii="arial" w:eastAsia="arial" w:hAnsi="arial" w:cs="arial"/>
            <w:b w:val="0"/>
            <w:i/>
            <w:strike w:val="0"/>
            <w:noProof w:val="0"/>
            <w:color w:val="0077CC"/>
            <w:position w:val="0"/>
            <w:sz w:val="20"/>
            <w:u w:val="single"/>
            <w:vertAlign w:val="baseline"/>
          </w:rPr>
          <w:t>, 529 U.S. 473, 484-85,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166" w:name="Bookmark_I67Y17462N1PYR0050000400"/>
      <w:bookmarkEnd w:id="166"/>
      <w:hyperlink r:id="rId53" w:history="1">
        <w:r>
          <w:rPr>
            <w:rFonts w:ascii="arial" w:eastAsia="arial" w:hAnsi="arial" w:cs="arial"/>
            <w:b w:val="0"/>
            <w:i/>
            <w:strike w:val="0"/>
            <w:noProof w:val="0"/>
            <w:color w:val="0077CC"/>
            <w:position w:val="0"/>
            <w:sz w:val="20"/>
            <w:u w:val="single"/>
            <w:vertAlign w:val="baseline"/>
          </w:rPr>
          <w:t>Wilkinson v. Dotson</w:t>
        </w:r>
      </w:hyperlink>
      <w:hyperlink r:id="rId53" w:history="1">
        <w:r>
          <w:rPr>
            <w:rFonts w:ascii="arial" w:eastAsia="arial" w:hAnsi="arial" w:cs="arial"/>
            <w:b w:val="0"/>
            <w:i/>
            <w:strike w:val="0"/>
            <w:noProof w:val="0"/>
            <w:color w:val="0077CC"/>
            <w:position w:val="0"/>
            <w:sz w:val="20"/>
            <w:u w:val="single"/>
            <w:vertAlign w:val="baseline"/>
          </w:rPr>
          <w:t>, 544 U.S. 74, 78-83, 125 S. Ct. 1242, 161 L. Ed. 2d 253 (2005)</w:t>
        </w:r>
      </w:hyperlink>
      <w:r>
        <w:rPr>
          <w:rFonts w:ascii="arial" w:eastAsia="arial" w:hAnsi="arial" w:cs="arial"/>
          <w:b w:val="0"/>
          <w:i w:val="0"/>
          <w:strike w:val="0"/>
          <w:noProof w:val="0"/>
          <w:color w:val="000000"/>
          <w:position w:val="0"/>
          <w:sz w:val="20"/>
          <w:u w:val="none"/>
          <w:vertAlign w:val="baseline"/>
        </w:rPr>
        <w:t xml:space="preserve">). </w:t>
      </w:r>
      <w:bookmarkStart w:id="167" w:name="Bookmark_I67Y17472HM63V0030000400"/>
      <w:bookmarkEnd w:id="167"/>
      <w:r>
        <w:rPr>
          <w:rFonts w:ascii="arial" w:eastAsia="arial" w:hAnsi="arial" w:cs="arial"/>
          <w:b w:val="0"/>
          <w:i w:val="0"/>
          <w:strike w:val="0"/>
          <w:noProof w:val="0"/>
          <w:color w:val="000000"/>
          <w:position w:val="0"/>
          <w:sz w:val="20"/>
          <w:u w:val="none"/>
          <w:vertAlign w:val="baseline"/>
        </w:rPr>
        <w:t xml:space="preserve">A Court may issue a certificate of appealability only if Movant makes "a substantial showing of the denial of a constitutional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 2253(c)(2)</w:t>
        </w:r>
      </w:hyperlink>
      <w:r>
        <w:rPr>
          <w:rFonts w:ascii="arial" w:eastAsia="arial" w:hAnsi="arial" w:cs="arial"/>
          <w:b w:val="0"/>
          <w:i w:val="0"/>
          <w:strike w:val="0"/>
          <w:noProof w:val="0"/>
          <w:color w:val="000000"/>
          <w:position w:val="0"/>
          <w:sz w:val="20"/>
          <w:u w:val="none"/>
          <w:vertAlign w:val="baseline"/>
        </w:rPr>
        <w:t xml:space="preserve">. </w:t>
      </w:r>
      <w:bookmarkStart w:id="168" w:name="Bookmark_I67Y17472HM63V0030000400_2"/>
      <w:bookmarkEnd w:id="168"/>
      <w:r>
        <w:rPr>
          <w:rFonts w:ascii="arial" w:eastAsia="arial" w:hAnsi="arial" w:cs="arial"/>
          <w:b w:val="0"/>
          <w:i w:val="0"/>
          <w:strike w:val="0"/>
          <w:noProof w:val="0"/>
          <w:color w:val="000000"/>
          <w:position w:val="0"/>
          <w:sz w:val="20"/>
          <w:u w:val="none"/>
          <w:vertAlign w:val="baseline"/>
        </w:rPr>
        <w:t xml:space="preserve">Where a district court has rejected Movant's constitutional claims on the merits, Movant must demonstrate that reasonable jurists would find the district court's assessment of the constitutional claims debatable or wrong. </w:t>
      </w:r>
      <w:r>
        <w:rPr>
          <w:rFonts w:ascii="arial" w:eastAsia="arial" w:hAnsi="arial" w:cs="arial"/>
          <w:b w:val="0"/>
          <w:i/>
          <w:strike w:val="0"/>
          <w:noProof w:val="0"/>
          <w:color w:val="000000"/>
          <w:position w:val="0"/>
          <w:sz w:val="20"/>
          <w:u w:val="none"/>
          <w:vertAlign w:val="baseline"/>
        </w:rPr>
        <w:t xml:space="preserve">See </w:t>
      </w:r>
      <w:bookmarkStart w:id="169" w:name="Bookmark_I67Y17472HM63V0020000400"/>
      <w:bookmarkEnd w:id="169"/>
      <w:hyperlink r:id="rId52" w:history="1">
        <w:r>
          <w:rPr>
            <w:rFonts w:ascii="arial" w:eastAsia="arial" w:hAnsi="arial" w:cs="arial"/>
            <w:b w:val="0"/>
            <w:i/>
            <w:strike w:val="0"/>
            <w:noProof w:val="0"/>
            <w:color w:val="0077CC"/>
            <w:position w:val="0"/>
            <w:sz w:val="20"/>
            <w:u w:val="single"/>
            <w:vertAlign w:val="baseline"/>
          </w:rPr>
          <w:t>Slack</w:t>
        </w:r>
      </w:hyperlink>
      <w:hyperlink r:id="rId52"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 Upon its careful consideration of the record and for the reasons explained herein, this Court denies a certificate of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70" w:name="Bookmark_para_42"/>
      <w:bookmarkEnd w:id="170"/>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i w:val="0"/>
          <w:strike w:val="0"/>
          <w:noProof w:val="0"/>
          <w:color w:val="000000"/>
          <w:position w:val="0"/>
          <w:sz w:val="20"/>
          <w:u w:val="none"/>
          <w:vertAlign w:val="baseline"/>
        </w:rPr>
        <w:t> [*23] </w:t>
      </w:r>
      <w:r>
        <w:rPr>
          <w:rFonts w:ascii="arial" w:eastAsia="arial" w:hAnsi="arial" w:cs="arial"/>
          <w:b/>
          <w:i w:val="0"/>
          <w:strike w:val="0"/>
          <w:noProof w:val="0"/>
          <w:color w:val="000000"/>
          <w:position w:val="0"/>
          <w:sz w:val="20"/>
          <w:u w:val="none"/>
          <w:vertAlign w:val="baseline"/>
        </w:rPr>
        <w:t xml:space="preserve">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171" w:name="Bookmark_para_43"/>
      <w:bookmarkEnd w:id="171"/>
      <w:r>
        <w:rPr>
          <w:rFonts w:ascii="arial" w:eastAsia="arial" w:hAnsi="arial" w:cs="arial"/>
          <w:b w:val="0"/>
          <w:i w:val="0"/>
          <w:strike w:val="0"/>
          <w:noProof w:val="0"/>
          <w:color w:val="000000"/>
          <w:position w:val="0"/>
          <w:sz w:val="20"/>
          <w:u w:val="none"/>
          <w:vertAlign w:val="baseline"/>
        </w:rPr>
        <w:t xml:space="preserve">1. The Motion, (ECF No. l;ECFNo. 1-1),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2" w:name="Bookmark_para_44"/>
      <w:bookmarkEnd w:id="172"/>
      <w:r>
        <w:rPr>
          <w:rFonts w:ascii="arial" w:eastAsia="arial" w:hAnsi="arial" w:cs="arial"/>
          <w:b w:val="0"/>
          <w:i w:val="0"/>
          <w:strike w:val="0"/>
          <w:noProof w:val="0"/>
          <w:color w:val="000000"/>
          <w:position w:val="0"/>
          <w:sz w:val="20"/>
          <w:u w:val="none"/>
          <w:vertAlign w:val="baseline"/>
        </w:rPr>
        <w:t xml:space="preserve">2. 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3" w:name="Bookmark_para_45"/>
      <w:bookmarkEnd w:id="173"/>
      <w:r>
        <w:rPr>
          <w:rFonts w:ascii="arial" w:eastAsia="arial" w:hAnsi="arial" w:cs="arial"/>
          <w:b w:val="0"/>
          <w:i w:val="0"/>
          <w:strike w:val="0"/>
          <w:noProof w:val="0"/>
          <w:color w:val="000000"/>
          <w:position w:val="0"/>
          <w:sz w:val="20"/>
          <w:u w:val="none"/>
          <w:vertAlign w:val="baseline"/>
        </w:rPr>
        <w:t xml:space="preserve">3. The Clerk is </w:t>
      </w:r>
      <w:r>
        <w:rPr>
          <w:rFonts w:ascii="arial" w:eastAsia="arial" w:hAnsi="arial" w:cs="arial"/>
          <w:b/>
          <w:i w:val="0"/>
          <w:strike w:val="0"/>
          <w:noProof w:val="0"/>
          <w:color w:val="000000"/>
          <w:position w:val="0"/>
          <w:sz w:val="20"/>
          <w:u w:val="none"/>
          <w:vertAlign w:val="baseline"/>
        </w:rPr>
        <w:t>DIRECTED</w:t>
      </w:r>
      <w:r>
        <w:rPr>
          <w:rFonts w:ascii="arial" w:eastAsia="arial" w:hAnsi="arial" w:cs="arial"/>
          <w:b w:val="0"/>
          <w:i w:val="0"/>
          <w:strike w:val="0"/>
          <w:noProof w:val="0"/>
          <w:color w:val="000000"/>
          <w:position w:val="0"/>
          <w:sz w:val="20"/>
          <w:u w:val="none"/>
          <w:vertAlign w:val="baseline"/>
        </w:rPr>
        <w:t xml:space="preserve"> to send a copy of this Order to Movant at the address listed on CM/ECF.</w:t>
      </w:r>
    </w:p>
    <w:p>
      <w:pPr>
        <w:keepNext w:val="0"/>
        <w:spacing w:before="200" w:after="0" w:line="260" w:lineRule="atLeast"/>
        <w:ind w:left="400" w:right="0" w:firstLine="0"/>
        <w:jc w:val="both"/>
      </w:pPr>
      <w:bookmarkStart w:id="174" w:name="Bookmark_para_46"/>
      <w:bookmarkEnd w:id="174"/>
      <w:r>
        <w:rPr>
          <w:rFonts w:ascii="arial" w:eastAsia="arial" w:hAnsi="arial" w:cs="arial"/>
          <w:b w:val="0"/>
          <w:i w:val="0"/>
          <w:strike w:val="0"/>
          <w:noProof w:val="0"/>
          <w:color w:val="000000"/>
          <w:position w:val="0"/>
          <w:sz w:val="20"/>
          <w:u w:val="none"/>
          <w:vertAlign w:val="baseline"/>
        </w:rPr>
        <w:t xml:space="preserve">4. This case is </w:t>
      </w:r>
      <w:r>
        <w:rPr>
          <w:rFonts w:ascii="arial" w:eastAsia="arial" w:hAnsi="arial" w:cs="arial"/>
          <w:b/>
          <w:i w:val="0"/>
          <w:strike w:val="0"/>
          <w:noProof w:val="0"/>
          <w:color w:val="000000"/>
          <w:position w:val="0"/>
          <w:sz w:val="20"/>
          <w:u w:val="none"/>
          <w:vertAlign w:val="baseline"/>
        </w:rPr>
        <w:t>CLOSED</w:t>
      </w:r>
      <w:r>
        <w:rPr>
          <w:rFonts w:ascii="arial" w:eastAsia="arial" w:hAnsi="arial" w:cs="arial"/>
          <w:b w:val="0"/>
          <w:i w:val="0"/>
          <w:strike w:val="0"/>
          <w:noProof w:val="0"/>
          <w:color w:val="000000"/>
          <w:position w:val="0"/>
          <w:sz w:val="20"/>
          <w:u w:val="none"/>
          <w:vertAlign w:val="baseline"/>
        </w:rPr>
        <w:t xml:space="preserve">, and all pending motions are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75" w:name="Bookmark_para_47"/>
      <w:bookmarkEnd w:id="175"/>
      <w:r>
        <w:rPr>
          <w:rFonts w:ascii="arial" w:eastAsia="arial" w:hAnsi="arial" w:cs="arial"/>
          <w:b w:val="0"/>
          <w:i w:val="0"/>
          <w:strike w:val="0"/>
          <w:noProof w:val="0"/>
          <w:color w:val="000000"/>
          <w:position w:val="0"/>
          <w:sz w:val="20"/>
          <w:u w:val="none"/>
          <w:vertAlign w:val="baseline"/>
        </w:rPr>
        <w:t>5. A final judgment in Respondent's favor shall enter via separate order.</w:t>
      </w:r>
    </w:p>
    <w:p>
      <w:pPr>
        <w:keepNext w:val="0"/>
        <w:spacing w:before="200" w:after="0" w:line="260" w:lineRule="atLeast"/>
        <w:ind w:left="0" w:right="0" w:firstLine="0"/>
        <w:jc w:val="both"/>
      </w:pPr>
      <w:bookmarkStart w:id="176" w:name="Bookmark_para_48"/>
      <w:bookmarkEnd w:id="17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this 30 of March 2023.</w:t>
      </w:r>
    </w:p>
    <w:p>
      <w:pPr>
        <w:keepNext w:val="0"/>
        <w:spacing w:before="200" w:after="0" w:line="260" w:lineRule="atLeast"/>
        <w:ind w:left="0" w:right="0" w:firstLine="0"/>
        <w:jc w:val="both"/>
      </w:pPr>
      <w:bookmarkStart w:id="177" w:name="Bookmark_para_49"/>
      <w:bookmarkEnd w:id="177"/>
      <w:r>
        <w:rPr>
          <w:rFonts w:ascii="arial" w:eastAsia="arial" w:hAnsi="arial" w:cs="arial"/>
          <w:b w:val="0"/>
          <w:i w:val="0"/>
          <w:strike w:val="0"/>
          <w:noProof w:val="0"/>
          <w:color w:val="000000"/>
          <w:position w:val="0"/>
          <w:sz w:val="20"/>
          <w:u w:val="none"/>
          <w:vertAlign w:val="baseline"/>
        </w:rPr>
        <w:t>/s/ Jose E. Martinez</w:t>
      </w:r>
    </w:p>
    <w:p>
      <w:pPr>
        <w:keepNext w:val="0"/>
        <w:spacing w:before="200" w:after="0" w:line="260" w:lineRule="atLeast"/>
        <w:ind w:left="0" w:right="0" w:firstLine="0"/>
        <w:jc w:val="both"/>
      </w:pPr>
      <w:bookmarkStart w:id="178" w:name="Bookmark_para_50"/>
      <w:bookmarkEnd w:id="178"/>
      <w:r>
        <w:rPr>
          <w:rFonts w:ascii="arial" w:eastAsia="arial" w:hAnsi="arial" w:cs="arial"/>
          <w:b w:val="0"/>
          <w:i w:val="0"/>
          <w:strike w:val="0"/>
          <w:noProof w:val="0"/>
          <w:color w:val="000000"/>
          <w:position w:val="0"/>
          <w:sz w:val="20"/>
          <w:u w:val="none"/>
          <w:vertAlign w:val="baseline"/>
        </w:rPr>
        <w:t>JOSE E. MARTINEZ</w:t>
      </w:r>
    </w:p>
    <w:p>
      <w:pPr>
        <w:keepNext w:val="0"/>
        <w:spacing w:before="200" w:after="0" w:line="260" w:lineRule="atLeast"/>
        <w:ind w:left="0" w:right="0" w:firstLine="0"/>
        <w:jc w:val="both"/>
      </w:pPr>
      <w:bookmarkStart w:id="179" w:name="Bookmark_para_51"/>
      <w:bookmarkEnd w:id="17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40" w:after="0" w:line="260" w:lineRule="atLeast"/>
        <w:ind w:left="0" w:right="0" w:firstLine="0"/>
        <w:jc w:val="both"/>
      </w:pPr>
      <w:bookmarkStart w:id="180" w:name="Bookmark_para_52"/>
      <w:bookmarkEnd w:id="180"/>
      <w:r>
        <w:rPr>
          <w:rFonts w:ascii="arial" w:eastAsia="arial" w:hAnsi="arial" w:cs="arial"/>
          <w:b w:val="0"/>
          <w:i w:val="0"/>
          <w:strike w:val="0"/>
          <w:noProof w:val="0"/>
          <w:color w:val="000000"/>
          <w:position w:val="0"/>
          <w:sz w:val="20"/>
          <w:u w:val="none"/>
          <w:vertAlign w:val="baseline"/>
        </w:rPr>
        <w:t xml:space="preserve">Pursuant to </w:t>
      </w:r>
      <w:hyperlink r:id="rId54" w:history="1">
        <w:r>
          <w:rPr>
            <w:rFonts w:ascii="arial" w:eastAsia="arial" w:hAnsi="arial" w:cs="arial"/>
            <w:b w:val="0"/>
            <w:i/>
            <w:strike w:val="0"/>
            <w:noProof w:val="0"/>
            <w:color w:val="0077CC"/>
            <w:position w:val="0"/>
            <w:sz w:val="20"/>
            <w:u w:val="single"/>
            <w:vertAlign w:val="baseline"/>
          </w:rPr>
          <w:t>Federal Rule of Civil Procedure 58</w:t>
        </w:r>
      </w:hyperlink>
      <w:r>
        <w:rPr>
          <w:rFonts w:ascii="arial" w:eastAsia="arial" w:hAnsi="arial" w:cs="arial"/>
          <w:b w:val="0"/>
          <w:i w:val="0"/>
          <w:strike w:val="0"/>
          <w:noProof w:val="0"/>
          <w:color w:val="000000"/>
          <w:position w:val="0"/>
          <w:sz w:val="20"/>
          <w:u w:val="none"/>
          <w:vertAlign w:val="baseline"/>
        </w:rPr>
        <w:t xml:space="preserve">, and in accordance with the reasons stated in this Court's Order Denying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(the "Order"), (ECF No. 15), judgment is entered in favor of Respondent, the United States of America, and against Movant, Jhoan Stiven Carreazo Asprilla.</w:t>
      </w:r>
    </w:p>
    <w:p>
      <w:pPr>
        <w:keepNext w:val="0"/>
        <w:spacing w:before="200" w:after="0" w:line="260" w:lineRule="atLeast"/>
        <w:ind w:left="0" w:right="0" w:firstLine="0"/>
        <w:jc w:val="both"/>
      </w:pPr>
      <w:bookmarkStart w:id="181" w:name="Bookmark_para_53"/>
      <w:bookmarkEnd w:id="181"/>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this 30 of March 2023.</w:t>
      </w:r>
    </w:p>
    <w:p>
      <w:pPr>
        <w:keepNext w:val="0"/>
        <w:spacing w:before="200" w:after="0" w:line="260" w:lineRule="atLeast"/>
        <w:ind w:left="0" w:right="0" w:firstLine="0"/>
        <w:jc w:val="both"/>
      </w:pPr>
      <w:bookmarkStart w:id="182" w:name="Bookmark_para_54"/>
      <w:bookmarkEnd w:id="182"/>
      <w:r>
        <w:rPr>
          <w:rFonts w:ascii="arial" w:eastAsia="arial" w:hAnsi="arial" w:cs="arial"/>
          <w:b w:val="0"/>
          <w:i w:val="0"/>
          <w:strike w:val="0"/>
          <w:noProof w:val="0"/>
          <w:color w:val="000000"/>
          <w:position w:val="0"/>
          <w:sz w:val="20"/>
          <w:u w:val="none"/>
          <w:vertAlign w:val="baseline"/>
        </w:rPr>
        <w:t>/s/ Jose E. Martinez</w:t>
      </w:r>
    </w:p>
    <w:p>
      <w:pPr>
        <w:keepNext w:val="0"/>
        <w:spacing w:before="200" w:after="0" w:line="260" w:lineRule="atLeast"/>
        <w:ind w:left="0" w:right="0" w:firstLine="0"/>
        <w:jc w:val="both"/>
      </w:pPr>
      <w:bookmarkStart w:id="183" w:name="Bookmark_para_55"/>
      <w:bookmarkEnd w:id="183"/>
      <w:r>
        <w:rPr>
          <w:rFonts w:ascii="arial" w:eastAsia="arial" w:hAnsi="arial" w:cs="arial"/>
          <w:b w:val="0"/>
          <w:i w:val="0"/>
          <w:strike w:val="0"/>
          <w:noProof w:val="0"/>
          <w:color w:val="000000"/>
          <w:position w:val="0"/>
          <w:sz w:val="20"/>
          <w:u w:val="none"/>
          <w:vertAlign w:val="baseline"/>
        </w:rPr>
        <w:t>JOSE E. MARTINEZ</w:t>
      </w:r>
    </w:p>
    <w:p>
      <w:pPr>
        <w:keepNext w:val="0"/>
        <w:spacing w:before="200" w:after="0" w:line="260" w:lineRule="atLeast"/>
        <w:ind w:left="0" w:right="0" w:firstLine="0"/>
        <w:jc w:val="both"/>
      </w:pPr>
      <w:bookmarkStart w:id="184" w:name="Bookmark_para_56"/>
      <w:bookmarkEnd w:id="18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Citations to Movant's underlying criminal case, 17-20013-CR-JEM, are referred to herein as "ECF-Cr."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Ibarguen and Valencia were Movant's co-defendants in Movant's criminal trial; Weir was indicted in the same Indictment but remains a fugitive. </w:t>
      </w:r>
      <w:bookmarkStart w:id="16" w:name="Bookmark_I67Y17402SF7R70030000400"/>
      <w:bookmarkEnd w:id="16"/>
      <w:hyperlink r:id="rId1" w:history="1">
        <w:r>
          <w:rPr>
            <w:rFonts w:ascii="arial" w:eastAsia="arial" w:hAnsi="arial" w:cs="arial"/>
            <w:b w:val="0"/>
            <w:i/>
            <w:strike w:val="0"/>
            <w:noProof w:val="0"/>
            <w:color w:val="0077CC"/>
            <w:position w:val="0"/>
            <w:sz w:val="18"/>
            <w:u w:val="single"/>
            <w:vertAlign w:val="baseline"/>
          </w:rPr>
          <w:t>Asprilla</w:t>
        </w:r>
      </w:hyperlink>
      <w:hyperlink r:id="rId1" w:history="1">
        <w:r>
          <w:rPr>
            <w:rFonts w:ascii="arial" w:eastAsia="arial" w:hAnsi="arial" w:cs="arial"/>
            <w:b w:val="0"/>
            <w:i/>
            <w:strike w:val="0"/>
            <w:noProof w:val="0"/>
            <w:color w:val="0077CC"/>
            <w:position w:val="0"/>
            <w:sz w:val="18"/>
            <w:u w:val="single"/>
            <w:vertAlign w:val="baseline"/>
          </w:rPr>
          <w:t>, 821 F. App'x at 953 n.3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9" w:name="Bookmark_fnpara_3"/>
      <w:bookmarkEnd w:id="109"/>
      <w:r>
        <w:rPr>
          <w:rFonts w:ascii="arial" w:eastAsia="arial" w:hAnsi="arial" w:cs="arial"/>
          <w:b w:val="0"/>
          <w:i w:val="0"/>
          <w:strike w:val="0"/>
          <w:noProof w:val="0"/>
          <w:color w:val="000000"/>
          <w:position w:val="0"/>
          <w:sz w:val="18"/>
          <w:u w:val="none"/>
          <w:vertAlign w:val="baseline"/>
        </w:rPr>
        <w:t>Defense counsel submitted an affidavit as Exhibit B to Government's Response. (Ex. B, ECF No. 12.) Counsel avers he "met with [Movant] on a number of occasions always with a certified Spanish interpreter or a Spanish-speaking attorney. During [his] visits [they] discussed the discovery, the evidence against [Movant], and [Movant's] options at trial and upon pleading guilty."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 Defense counsel pursued potential defenses such as lack of jurisdiction and explained to Movant "that there were no facts and law to support a motion to dismiss on subject matter grounds."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3-6.) Defense counsel notes that Movant "decided to plead guilty (twice) and ask for mercy from the Court."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Asprilla v. United States, 2023 U.S. Dist. LEXIS 55832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VR-6CM1-JCJ5-23T0-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60BW-HH51-F4NT-X134-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SGR-CKX2-D6RV-H0CF-00000-00&amp;context=1519360" TargetMode="External" /><Relationship Id="rId15" Type="http://schemas.openxmlformats.org/officeDocument/2006/relationships/hyperlink" Target="https://advance.lexis.com/api/document?collection=statutes-legislation&amp;id=urn:contentItem:8TWM-B3H2-8T6X-7295-00000-00&amp;context=1519360" TargetMode="External" /><Relationship Id="rId16" Type="http://schemas.openxmlformats.org/officeDocument/2006/relationships/hyperlink" Target="https://advance.lexis.com/api/document?collection=statutes-legislation&amp;id=urn:contentItem:8SGR-CKX2-D6RV-H0RW-00000-00&amp;context=1519360" TargetMode="External" /><Relationship Id="rId17" Type="http://schemas.openxmlformats.org/officeDocument/2006/relationships/hyperlink" Target="https://advance.lexis.com/api/document?collection=statutes-legislation&amp;id=urn:contentItem:8SGR-CKX2-D6RV-H0CG-00000-00&amp;context=1519360" TargetMode="External" /><Relationship Id="rId18" Type="http://schemas.openxmlformats.org/officeDocument/2006/relationships/hyperlink" Target="https://advance.lexis.com/api/document?collection=statutes-legislation&amp;id=urn:contentItem:8TV4-SKM2-8T6X-72T1-00000-00&amp;context=1519360" TargetMode="External" /><Relationship Id="rId19" Type="http://schemas.openxmlformats.org/officeDocument/2006/relationships/hyperlink" Target="https://advance.lexis.com/api/document?collection=cases&amp;id=urn:contentItem:3S4X-DB70-003B-S53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C5B-5SH0-0038-X2XS-00000-00&amp;context=1519360" TargetMode="External" /><Relationship Id="rId21" Type="http://schemas.openxmlformats.org/officeDocument/2006/relationships/hyperlink" Target="https://advance.lexis.com/api/document?collection=cases&amp;id=urn:contentItem:837R-0WM1-652R-B3BJ-00000-00&amp;context=1519360" TargetMode="External" /><Relationship Id="rId22" Type="http://schemas.openxmlformats.org/officeDocument/2006/relationships/hyperlink" Target="https://advance.lexis.com/api/document?collection=cases&amp;id=urn:contentItem:3S4X-5M60-003B-S0VR-00000-00&amp;context=1519360" TargetMode="External" /><Relationship Id="rId23" Type="http://schemas.openxmlformats.org/officeDocument/2006/relationships/hyperlink" Target="https://advance.lexis.com/api/document?collection=cases&amp;id=urn:contentItem:5PJ4-8C21-F04K-X0YW-00000-00&amp;context=1519360" TargetMode="External" /><Relationship Id="rId24" Type="http://schemas.openxmlformats.org/officeDocument/2006/relationships/hyperlink" Target="https://advance.lexis.com/api/document?collection=statutes-legislation&amp;id=urn:contentItem:8T9R-T4F2-D6RV-H37N-00000-00&amp;context=1519360" TargetMode="External" /><Relationship Id="rId25" Type="http://schemas.openxmlformats.org/officeDocument/2006/relationships/hyperlink" Target="https://advance.lexis.com/api/document?collection=cases&amp;id=urn:contentItem:3S4X-3FN0-003B-S3TN-00000-00&amp;context=1519360" TargetMode="External" /><Relationship Id="rId26" Type="http://schemas.openxmlformats.org/officeDocument/2006/relationships/hyperlink" Target="https://advance.lexis.com/api/document?collection=cases&amp;id=urn:contentItem:58VT-58J1-F04K-X086-00000-00&amp;context=1519360" TargetMode="External" /><Relationship Id="rId27" Type="http://schemas.openxmlformats.org/officeDocument/2006/relationships/hyperlink" Target="https://advance.lexis.com/api/document?collection=cases&amp;id=urn:contentItem:4S1B-RX70-TXFX-G2X2-00000-00&amp;context=1519360" TargetMode="External" /><Relationship Id="rId28" Type="http://schemas.openxmlformats.org/officeDocument/2006/relationships/hyperlink" Target="https://advance.lexis.com/api/document?collection=cases&amp;id=urn:contentItem:4N6Y-BFG0-0038-X1WY-00000-00&amp;context=1519360" TargetMode="External" /><Relationship Id="rId29" Type="http://schemas.openxmlformats.org/officeDocument/2006/relationships/hyperlink" Target="https://advance.lexis.com/api/document?collection=cases&amp;id=urn:contentItem:40XP-H1B0-0038-X0X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470-003B-44KY-00000-00&amp;context=1519360" TargetMode="External" /><Relationship Id="rId31" Type="http://schemas.openxmlformats.org/officeDocument/2006/relationships/hyperlink" Target="https://advance.lexis.com/api/document?collection=cases&amp;id=urn:contentItem:3S4X-GN50-001T-D44X-00000-00&amp;context=1519360" TargetMode="External" /><Relationship Id="rId32" Type="http://schemas.openxmlformats.org/officeDocument/2006/relationships/hyperlink" Target="https://advance.lexis.com/api/document?collection=cases&amp;id=urn:contentItem:5CMM-78M1-F04K-X0H1-00000-00&amp;context=1519360" TargetMode="External" /><Relationship Id="rId33" Type="http://schemas.openxmlformats.org/officeDocument/2006/relationships/hyperlink" Target="https://advance.lexis.com/api/document?collection=cases&amp;id=urn:contentItem:3S4X-B6G0-001B-K0XJ-00000-00&amp;context=1519360" TargetMode="External" /><Relationship Id="rId34" Type="http://schemas.openxmlformats.org/officeDocument/2006/relationships/hyperlink" Target="https://advance.lexis.com/api/document?collection=cases&amp;id=urn:contentItem:56SJ-J3N1-F04K-X448-00000-00&amp;context=1519360" TargetMode="External" /><Relationship Id="rId35" Type="http://schemas.openxmlformats.org/officeDocument/2006/relationships/hyperlink" Target="https://advance.lexis.com/api/document?collection=cases&amp;id=urn:contentItem:533C-9WH1-652R-B1SY-00000-00&amp;context=1519360" TargetMode="External" /><Relationship Id="rId36" Type="http://schemas.openxmlformats.org/officeDocument/2006/relationships/hyperlink" Target="https://advance.lexis.com/api/document?collection=cases&amp;id=urn:contentItem:59KG-N8G1-F04K-X0T3-00000-00&amp;context=1519360" TargetMode="External" /><Relationship Id="rId37" Type="http://schemas.openxmlformats.org/officeDocument/2006/relationships/hyperlink" Target="https://advance.lexis.com/api/document?collection=cases&amp;id=urn:contentItem:3S4X-93T0-003B-P3JG-00000-00&amp;context=1519360" TargetMode="External" /><Relationship Id="rId38" Type="http://schemas.openxmlformats.org/officeDocument/2006/relationships/hyperlink" Target="https://advance.lexis.com/api/document?collection=cases&amp;id=urn:contentItem:3S4X-CT70-001B-K20C-00000-00&amp;context=1519360" TargetMode="External" /><Relationship Id="rId39" Type="http://schemas.openxmlformats.org/officeDocument/2006/relationships/hyperlink" Target="https://advance.lexis.com/api/document?collection=cases&amp;id=urn:contentItem:3S4X-0F30-001B-K1C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VT3-N9H1-JX8W-M1F3-00000-00&amp;context=1519360" TargetMode="External" /><Relationship Id="rId41" Type="http://schemas.openxmlformats.org/officeDocument/2006/relationships/hyperlink" Target="https://advance.lexis.com/api/document?collection=cases&amp;id=urn:contentItem:55C9-S251-F04K-X001-00000-00&amp;context=1519360" TargetMode="External" /><Relationship Id="rId42" Type="http://schemas.openxmlformats.org/officeDocument/2006/relationships/hyperlink" Target="https://advance.lexis.com/api/document?collection=cases&amp;id=urn:contentItem:3S4X-9390-0039-N241-00000-00&amp;context=1519360" TargetMode="External" /><Relationship Id="rId43" Type="http://schemas.openxmlformats.org/officeDocument/2006/relationships/hyperlink" Target="https://advance.lexis.com/api/document?collection=cases&amp;id=urn:contentItem:5S5S-5XJ1-DXPM-S273-00000-00&amp;context=1519360" TargetMode="External" /><Relationship Id="rId44" Type="http://schemas.openxmlformats.org/officeDocument/2006/relationships/hyperlink" Target="https://advance.lexis.com/api/document?collection=cases&amp;id=urn:contentItem:7XCG-7180-YB0V-S00F-00000-00&amp;context=1519360" TargetMode="External" /><Relationship Id="rId45" Type="http://schemas.openxmlformats.org/officeDocument/2006/relationships/hyperlink" Target="https://advance.lexis.com/api/document?collection=cases&amp;id=urn:contentItem:625W-3BT1-F06F-2463-00000-00&amp;context=1519360" TargetMode="External" /><Relationship Id="rId46" Type="http://schemas.openxmlformats.org/officeDocument/2006/relationships/hyperlink" Target="https://advance.lexis.com/api/document?collection=cases&amp;id=urn:contentItem:5J9J-9N31-F04K-V3DF-00000-00&amp;context=1519360" TargetMode="External" /><Relationship Id="rId47" Type="http://schemas.openxmlformats.org/officeDocument/2006/relationships/hyperlink" Target="https://advance.lexis.com/api/document?collection=cases&amp;id=urn:contentItem:4WS9-1TS0-TXFX-G2NY-00000-00&amp;context=1519360" TargetMode="External" /><Relationship Id="rId48" Type="http://schemas.openxmlformats.org/officeDocument/2006/relationships/hyperlink" Target="https://advance.lexis.com/api/document?collection=cases&amp;id=urn:contentItem:7X88-WJ10-YB0V-S04S-00000-00&amp;context=1519360" TargetMode="External" /><Relationship Id="rId49" Type="http://schemas.openxmlformats.org/officeDocument/2006/relationships/hyperlink" Target="https://advance.lexis.com/api/document?collection=cases&amp;id=urn:contentItem:4NR5-CNW0-004B-Y00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G9-5HW2-D6RV-H0VG-00000-00&amp;context=1519360" TargetMode="External" /><Relationship Id="rId51" Type="http://schemas.openxmlformats.org/officeDocument/2006/relationships/hyperlink" Target="https://advance.lexis.com/api/document?collection=cases&amp;id=urn:contentItem:4VYX-70V0-TXFX-136F-00000-00&amp;context=1519360" TargetMode="External" /><Relationship Id="rId52" Type="http://schemas.openxmlformats.org/officeDocument/2006/relationships/hyperlink" Target="https://advance.lexis.com/api/document?collection=cases&amp;id=urn:contentItem:4048-DFS0-004C-001X-00000-00&amp;context=1519360" TargetMode="External" /><Relationship Id="rId53" Type="http://schemas.openxmlformats.org/officeDocument/2006/relationships/hyperlink" Target="https://advance.lexis.com/api/document?collection=cases&amp;id=urn:contentItem:4FN0-JYD0-004B-Y01H-00000-00&amp;context=1519360" TargetMode="External" /><Relationship Id="rId54" Type="http://schemas.openxmlformats.org/officeDocument/2006/relationships/hyperlink" Target="https://advance.lexis.com/api/document?collection=statutes-legislation&amp;id=urn:contentItem:5GYC-2421-6N19-F169-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Y-KGP1-F1WF-M11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0BW-HH51-F4NT-X13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Asprilla v. United States, 2023 U.S. Dist. LEXIS 55832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urn:user:PA186186283</vt:lpwstr>
  </property>
</Properties>
</file>