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Benavides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Brownsville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Decided; August 30,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1:23-CV-122; CRIMINAL NO. 1:20-CR-038-2</w:t>
      </w:r>
    </w:p>
    <w:p>
      <w:pPr>
        <w:keepNext w:val="0"/>
        <w:spacing w:after="0" w:line="240" w:lineRule="atLeast"/>
        <w:ind w:right="0"/>
        <w:jc w:val="both"/>
      </w:pPr>
      <w:bookmarkStart w:id="0" w:name="Bookmark_4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153051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5615467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LISA BERENICE BENAVIDES, Petitioner, VS. UNITED STATES OF AMERICA,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United States v. Benavides, 2024 U.S. App. LEXIS 2868 (5th Cir. Tex., Feb. 7,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Benavides, 2022 U.S. App. LEXIS 16129, 2022 WL 2101521 (5th Cir. Tex., June 10,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enhancement, alien, sentencing, two-level, unpubl</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(1:20cr38): Financial Litigation, LEAD ATTORNEY, U S Attorney's Office, Houston, TX USA; Oscar Ponce, LEAD ATTORNEY, United States Attorney's Office, Brownsville, TX USA; Appellate Division, U.S. Attorney's Office, Houston, TX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Lisa Berenice Benavides, Petitioner (1:23-cv-00122), Pro se, Aliceville,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(1:23-cv-00122): Appellate Division, LEAD ATTORNEY, U.S. Attorney's Office, Southern District of Texas, Houston, TX.</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Fernando Rodriguez, Jr.,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Fernando Rodriguez, Jr.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AND OPINION</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On August 21, 2023, Petitioner Lisa Berenice Benavides filed a motion to vacate, set aside or correct her sentence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(Petition, Doc. 1).</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District courts have an independent obligation to review the record and the pleadings. "[I]f it plainly appears" that the petitioner is not entitled to relief, a court "must dismiss" the petition without ordering the Government to respond. </w:t>
      </w:r>
      <w:hyperlink r:id="rId13" w:history="1">
        <w:r>
          <w:rPr>
            <w:rFonts w:ascii="arial" w:eastAsia="arial" w:hAnsi="arial" w:cs="arial"/>
            <w:b w:val="0"/>
            <w:i/>
            <w:strike w:val="0"/>
            <w:noProof w:val="0"/>
            <w:color w:val="0077CC"/>
            <w:position w:val="0"/>
            <w:sz w:val="20"/>
            <w:u w:val="single"/>
            <w:vertAlign w:val="baseline"/>
          </w:rPr>
          <w:t>Rule 4(b) of the Rules Governing Section 2255 Proceedings.</w:t>
        </w:r>
      </w:hyperlink>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In the current matter, after conducting that review and based on the record and the applicable law, the Court concludes that Benavides is not entitled to the relief she requests.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Criminal Proceedings &amp; Sentencing</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In January 2020,</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Benavides was indicted on one count of illegally transporting an alien and two counts of illegally harboring an alien for financial gain. </w:t>
      </w:r>
      <w:r>
        <w:rPr>
          <w:rFonts w:ascii="arial" w:eastAsia="arial" w:hAnsi="arial" w:cs="arial"/>
          <w:b w:val="0"/>
          <w:i/>
          <w:strike w:val="0"/>
          <w:noProof w:val="0"/>
          <w:color w:val="000000"/>
          <w:position w:val="0"/>
          <w:sz w:val="20"/>
          <w:u w:val="none"/>
          <w:vertAlign w:val="baseline"/>
        </w:rPr>
        <w:t>U.S. v. Benavides</w:t>
      </w:r>
      <w:r>
        <w:rPr>
          <w:rFonts w:ascii="arial" w:eastAsia="arial" w:hAnsi="arial" w:cs="arial"/>
          <w:b w:val="0"/>
          <w:i w:val="0"/>
          <w:strike w:val="0"/>
          <w:noProof w:val="0"/>
          <w:color w:val="000000"/>
          <w:position w:val="0"/>
          <w:sz w:val="20"/>
          <w:u w:val="none"/>
          <w:vertAlign w:val="baseline"/>
        </w:rPr>
        <w:t>, Criminal No. 1:20-038-2 [hereafter "CR"]. (Indictment, CR-Doc. 13) In a Superseding Indictment, the Government charged her with those same crimes, but with a different co-defendant. (Superseding Indictment, CR-Doc. 40)</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In November 2020, Benavides pled guilty, without a written plea agreement, to one count of illegally harboring an alien for financial gain.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CR-Minute Entry for November 3, 2020)</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At sentencing, the final Pre-Sentence Investigation Report assessed Benavides with a base offense level of 12. (PSR, CR-Doc. 154, 14) Benavides also received several enhancements for Specific Offense Characteristics, including:</w:t>
      </w:r>
    </w:p>
    <w:p>
      <w:pPr>
        <w:keepNext w:val="0"/>
        <w:spacing w:before="200" w:after="0" w:line="26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 A three-level enhancement under </w:t>
      </w:r>
      <w:hyperlink r:id="rId14" w:history="1">
        <w:r>
          <w:rPr>
            <w:rFonts w:ascii="arial" w:eastAsia="arial" w:hAnsi="arial" w:cs="arial"/>
            <w:b w:val="0"/>
            <w:i/>
            <w:strike w:val="0"/>
            <w:noProof w:val="0"/>
            <w:color w:val="0077CC"/>
            <w:position w:val="0"/>
            <w:sz w:val="20"/>
            <w:u w:val="single"/>
            <w:vertAlign w:val="baseline"/>
          </w:rPr>
          <w:t>§ 2L1.1(b)(2)(A)</w:t>
        </w:r>
      </w:hyperlink>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more than 6 and fewer than 24 aliens;</w:t>
      </w:r>
    </w:p>
    <w:p>
      <w:pPr>
        <w:keepNext w:val="0"/>
        <w:spacing w:before="240" w:after="0" w:line="26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 A five-level enhancement under </w:t>
      </w:r>
      <w:hyperlink r:id="rId14" w:history="1">
        <w:r>
          <w:rPr>
            <w:rFonts w:ascii="arial" w:eastAsia="arial" w:hAnsi="arial" w:cs="arial"/>
            <w:b w:val="0"/>
            <w:i/>
            <w:strike w:val="0"/>
            <w:noProof w:val="0"/>
            <w:color w:val="0077CC"/>
            <w:position w:val="0"/>
            <w:sz w:val="20"/>
            <w:u w:val="single"/>
            <w:vertAlign w:val="baseline"/>
          </w:rPr>
          <w:t>§ 2L1.1(b)(5)(B)</w:t>
        </w:r>
      </w:hyperlink>
      <w:r>
        <w:rPr>
          <w:rFonts w:ascii="arial" w:eastAsia="arial" w:hAnsi="arial" w:cs="arial"/>
          <w:b w:val="0"/>
          <w:i w:val="0"/>
          <w:strike w:val="0"/>
          <w:noProof w:val="0"/>
          <w:color w:val="000000"/>
          <w:position w:val="0"/>
          <w:sz w:val="20"/>
          <w:u w:val="none"/>
          <w:vertAlign w:val="baseline"/>
        </w:rPr>
        <w:t xml:space="preserve"> because Benavides used a dangerous weapon in the commission of the offense when she strangled an alien with a computer power cord and stuffed paper in the alien's mouth;</w:t>
      </w:r>
    </w:p>
    <w:p>
      <w:pPr>
        <w:keepNext w:val="0"/>
        <w:spacing w:before="200"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 A two-level enhancement under </w:t>
      </w:r>
      <w:hyperlink r:id="rId14"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for "intentionally or recklessly creating a substantial risk of death or serious bodily injury,"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based on Benavides stuffing toilet paper in an alien's mouth, covering the alien's mouth with her hands, and then watching as a co-defendant began choking the alien and striking his face;</w:t>
      </w:r>
    </w:p>
    <w:p>
      <w:pPr>
        <w:keepNext w:val="0"/>
        <w:spacing w:before="240"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 A two-level enhancement under </w:t>
      </w:r>
      <w:hyperlink r:id="rId14" w:history="1">
        <w:r>
          <w:rPr>
            <w:rFonts w:ascii="arial" w:eastAsia="arial" w:hAnsi="arial" w:cs="arial"/>
            <w:b w:val="0"/>
            <w:i/>
            <w:strike w:val="0"/>
            <w:noProof w:val="0"/>
            <w:color w:val="0077CC"/>
            <w:position w:val="0"/>
            <w:sz w:val="20"/>
            <w:u w:val="single"/>
            <w:vertAlign w:val="baseline"/>
          </w:rPr>
          <w:t>§ 2L1.1(b)(7)(A)</w:t>
        </w:r>
      </w:hyperlink>
      <w:r>
        <w:rPr>
          <w:rFonts w:ascii="arial" w:eastAsia="arial" w:hAnsi="arial" w:cs="arial"/>
          <w:b w:val="0"/>
          <w:i w:val="0"/>
          <w:strike w:val="0"/>
          <w:noProof w:val="0"/>
          <w:color w:val="000000"/>
          <w:position w:val="0"/>
          <w:sz w:val="20"/>
          <w:u w:val="none"/>
          <w:vertAlign w:val="baseline"/>
        </w:rPr>
        <w:t xml:space="preserve"> because at least one alien sustained a bodily injury as a result of Benavides's actions; and</w:t>
      </w:r>
    </w:p>
    <w:p>
      <w:pPr>
        <w:keepNext w:val="0"/>
        <w:spacing w:before="200"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 A two-level enhancement under </w:t>
      </w:r>
      <w:hyperlink r:id="rId14" w:history="1">
        <w:r>
          <w:rPr>
            <w:rFonts w:ascii="arial" w:eastAsia="arial" w:hAnsi="arial" w:cs="arial"/>
            <w:b w:val="0"/>
            <w:i/>
            <w:strike w:val="0"/>
            <w:noProof w:val="0"/>
            <w:color w:val="0077CC"/>
            <w:position w:val="0"/>
            <w:sz w:val="20"/>
            <w:u w:val="single"/>
            <w:vertAlign w:val="baseline"/>
          </w:rPr>
          <w:t>§ 2L1.1(b)(8)(A)</w:t>
        </w:r>
      </w:hyperlink>
      <w:r>
        <w:rPr>
          <w:rFonts w:ascii="arial" w:eastAsia="arial" w:hAnsi="arial" w:cs="arial"/>
          <w:b w:val="0"/>
          <w:i w:val="0"/>
          <w:strike w:val="0"/>
          <w:noProof w:val="0"/>
          <w:color w:val="000000"/>
          <w:position w:val="0"/>
          <w:sz w:val="20"/>
          <w:u w:val="none"/>
          <w:vertAlign w:val="baseline"/>
        </w:rPr>
        <w:t xml:space="preserve"> because "an alien was involuntarily detained through coercion or threat, or in connection with a demand for payment, (i) after the alien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or (ii) while the alien was transported or harbored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Benavides also received a two-level enhancement under § 3B1.1(c) for being a leader or organizer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applying a three-level reduction for her acceptance of responsibility, the Court assessed a Total Offense Level of 25.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Benavides scored a criminal history category of V, which, when coupled with an offense level of 25, led to a sentencing guideline range of 100 to 125 months. (PSR, CR-Doc. 154, 16-22) As a statutory maximum of ten years imprisonment applied, the high end was adjusted downward to 120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w:t>
      </w:r>
    </w:p>
    <w:p>
      <w:pPr>
        <w:keepNext w:val="0"/>
        <w:spacing w:before="24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Prior to the sentencing hearing, Benavides's counsel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filed an objection to the Pre-Sentence Investigation Report, challenging the five-level enhancement under </w:t>
      </w:r>
      <w:hyperlink r:id="rId14" w:history="1">
        <w:r>
          <w:rPr>
            <w:rFonts w:ascii="arial" w:eastAsia="arial" w:hAnsi="arial" w:cs="arial"/>
            <w:b w:val="0"/>
            <w:i/>
            <w:strike w:val="0"/>
            <w:noProof w:val="0"/>
            <w:color w:val="0077CC"/>
            <w:position w:val="0"/>
            <w:sz w:val="20"/>
            <w:u w:val="single"/>
            <w:vertAlign w:val="baseline"/>
          </w:rPr>
          <w:t>§ 2L1.1(b)(5)(B)</w:t>
        </w:r>
      </w:hyperlink>
      <w:r>
        <w:rPr>
          <w:rFonts w:ascii="arial" w:eastAsia="arial" w:hAnsi="arial" w:cs="arial"/>
          <w:b w:val="0"/>
          <w:i w:val="0"/>
          <w:strike w:val="0"/>
          <w:noProof w:val="0"/>
          <w:color w:val="000000"/>
          <w:position w:val="0"/>
          <w:sz w:val="20"/>
          <w:u w:val="none"/>
          <w:vertAlign w:val="baseline"/>
        </w:rPr>
        <w:t xml:space="preserve"> on the grounds that insufficient evidence demonstrated that Benavides used a computer power cord against any alien. (Objs., CR-Doc. 167) At the sentencing hearing, the Government presented testimony in support of the five-level enhancement from a Homeland Security Investigations agent. The Court overruled the objection.</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The Court sentenced Benavides to 100 months of incarceration and a three-year term of supervised release. (Judgment, CR-Doc. 196) On the Government's oral motion, the Court dismissed the remaining counts against Benavides. (Transcript, CR-Doc. 202,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Direct Appeal</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Benavides timely filed a Notice of Appeal (CR-Doc. 186). As relevant here, Benavides argued on direct appeal that she should not have been assessed the five-level enhancement for using a dangerous weapon and the two-level enhancement for creating a substantial risk of death or injury because the same underlying conduct formed the basis of both enhancements.</w:t>
      </w:r>
    </w:p>
    <w:p>
      <w:pPr>
        <w:keepNext w:val="0"/>
        <w:spacing w:before="200" w:after="0" w:line="260" w:lineRule="atLeast"/>
        <w:ind w:left="0" w:right="0" w:firstLine="0"/>
        <w:jc w:val="both"/>
      </w:pPr>
      <w:bookmarkStart w:id="24" w:name="Bookmark_para_16"/>
      <w:bookmarkEnd w:id="24"/>
      <w:bookmarkStart w:id="25" w:name="Bookmark_I6930V0D2SF84X0020000400"/>
      <w:bookmarkEnd w:id="25"/>
      <w:r>
        <w:rPr>
          <w:rFonts w:ascii="arial" w:eastAsia="arial" w:hAnsi="arial" w:cs="arial"/>
          <w:b w:val="0"/>
          <w:i w:val="0"/>
          <w:strike w:val="0"/>
          <w:noProof w:val="0"/>
          <w:color w:val="000000"/>
          <w:position w:val="0"/>
          <w:sz w:val="20"/>
          <w:u w:val="none"/>
          <w:vertAlign w:val="baseline"/>
        </w:rPr>
        <w:t>On June 10, 2022, the Fifth Circuit affirmed Benavides's custodial sentence, but reversed and remanded as to the restitution order issued at sentencing.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6" w:name="Bookmark_I6930V0D2SF84X0010000400"/>
      <w:bookmarkEnd w:id="26"/>
      <w:hyperlink r:id="rId11" w:history="1">
        <w:r>
          <w:rPr>
            <w:rFonts w:ascii="arial" w:eastAsia="arial" w:hAnsi="arial" w:cs="arial"/>
            <w:b w:val="0"/>
            <w:i/>
            <w:strike w:val="0"/>
            <w:noProof w:val="0"/>
            <w:color w:val="0077CC"/>
            <w:position w:val="0"/>
            <w:sz w:val="20"/>
            <w:u w:val="single"/>
            <w:vertAlign w:val="baseline"/>
          </w:rPr>
          <w:t>United States v. Benavides</w:t>
        </w:r>
      </w:hyperlink>
      <w:hyperlink r:id="rId11" w:history="1">
        <w:r>
          <w:rPr>
            <w:rFonts w:ascii="arial" w:eastAsia="arial" w:hAnsi="arial" w:cs="arial"/>
            <w:b w:val="0"/>
            <w:i/>
            <w:strike w:val="0"/>
            <w:noProof w:val="0"/>
            <w:color w:val="0077CC"/>
            <w:position w:val="0"/>
            <w:sz w:val="20"/>
            <w:u w:val="single"/>
            <w:vertAlign w:val="baseline"/>
          </w:rPr>
          <w:t>, 2022 U.S. App. LEXIS 16129, 2022 WL 2101521, at *1 (5th Cir. 2022)</w:t>
        </w:r>
      </w:hyperlink>
      <w:r>
        <w:rPr>
          <w:rFonts w:ascii="arial" w:eastAsia="arial" w:hAnsi="arial" w:cs="arial"/>
          <w:b w:val="0"/>
          <w:i w:val="0"/>
          <w:strike w:val="0"/>
          <w:noProof w:val="0"/>
          <w:color w:val="000000"/>
          <w:position w:val="0"/>
          <w:sz w:val="20"/>
          <w:u w:val="none"/>
          <w:vertAlign w:val="baseline"/>
        </w:rPr>
        <w:t xml:space="preserve"> (unpubl.). As to Benavides's argument regarding the two challenged enhancements, the Fifth Circuit concluded that different conduct supported each of the enhancements, rendering their application appropriate.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7" w:name="Bookmark_para_17"/>
      <w:bookmarkEnd w:id="27"/>
      <w:bookmarkStart w:id="28" w:name="Bookmark_I6930V0D2SF84X0040000400"/>
      <w:bookmarkEnd w:id="28"/>
      <w:r>
        <w:rPr>
          <w:rFonts w:ascii="arial" w:eastAsia="arial" w:hAnsi="arial" w:cs="arial"/>
          <w:b w:val="0"/>
          <w:i w:val="0"/>
          <w:strike w:val="0"/>
          <w:noProof w:val="0"/>
          <w:color w:val="000000"/>
          <w:position w:val="0"/>
          <w:sz w:val="20"/>
          <w:u w:val="none"/>
          <w:vertAlign w:val="baseline"/>
        </w:rPr>
        <w:t xml:space="preserve">Neither the Fifth Circuit's nor the Supreme Court's docket reflects the filing of a petition for a writ of certiorari with the Supreme Court. As a result, Benavides's conviction became final on September 8, 2022, when the time for filing such a petition expired. </w:t>
      </w:r>
      <w:r>
        <w:rPr>
          <w:rFonts w:ascii="arial" w:eastAsia="arial" w:hAnsi="arial" w:cs="arial"/>
          <w:b w:val="0"/>
          <w:i/>
          <w:strike w:val="0"/>
          <w:noProof w:val="0"/>
          <w:color w:val="000000"/>
          <w:position w:val="0"/>
          <w:sz w:val="20"/>
          <w:u w:val="none"/>
          <w:vertAlign w:val="baseline"/>
        </w:rPr>
        <w:t xml:space="preserve">See </w:t>
      </w:r>
      <w:bookmarkStart w:id="29" w:name="Bookmark_I6930V0D2SF84X0030000400"/>
      <w:bookmarkEnd w:id="29"/>
      <w:hyperlink r:id="rId15" w:history="1">
        <w:r>
          <w:rPr>
            <w:rFonts w:ascii="arial" w:eastAsia="arial" w:hAnsi="arial" w:cs="arial"/>
            <w:b w:val="0"/>
            <w:i/>
            <w:strike w:val="0"/>
            <w:noProof w:val="0"/>
            <w:color w:val="0077CC"/>
            <w:position w:val="0"/>
            <w:sz w:val="20"/>
            <w:u w:val="single"/>
            <w:vertAlign w:val="baseline"/>
          </w:rPr>
          <w:t>Clay v. United States</w:t>
        </w:r>
      </w:hyperlink>
      <w:hyperlink r:id="rId15" w:history="1">
        <w:r>
          <w:rPr>
            <w:rFonts w:ascii="arial" w:eastAsia="arial" w:hAnsi="arial" w:cs="arial"/>
            <w:b w:val="0"/>
            <w:i/>
            <w:strike w:val="0"/>
            <w:noProof w:val="0"/>
            <w:color w:val="0077CC"/>
            <w:position w:val="0"/>
            <w:sz w:val="20"/>
            <w:u w:val="single"/>
            <w:vertAlign w:val="baseline"/>
          </w:rPr>
          <w:t>, 537 U.S. 522, 532, 123 S. Ct. 1072, 155 L. Ed. 2d 88 (2003)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Habeas Petition</w:t>
      </w:r>
    </w:p>
    <w:p>
      <w:pPr>
        <w:keepNext w:val="0"/>
        <w:spacing w:before="20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 xml:space="preserve">Benavides timely filed the instant habeas petition, raising a single claim that the Court "improperly engaged in double-counting by assessing a </w:t>
      </w:r>
      <w:hyperlink r:id="rId14" w:history="1">
        <w:r>
          <w:rPr>
            <w:rFonts w:ascii="arial" w:eastAsia="arial" w:hAnsi="arial" w:cs="arial"/>
            <w:b w:val="0"/>
            <w:i/>
            <w:strike w:val="0"/>
            <w:noProof w:val="0"/>
            <w:color w:val="0077CC"/>
            <w:position w:val="0"/>
            <w:sz w:val="20"/>
            <w:u w:val="single"/>
            <w:vertAlign w:val="baseline"/>
          </w:rPr>
          <w:t>U.S.S.G. § 2L1.1(b)(5)</w:t>
        </w:r>
      </w:hyperlink>
      <w:r>
        <w:rPr>
          <w:rFonts w:ascii="arial" w:eastAsia="arial" w:hAnsi="arial" w:cs="arial"/>
          <w:b w:val="0"/>
          <w:i w:val="0"/>
          <w:strike w:val="0"/>
          <w:noProof w:val="0"/>
          <w:color w:val="000000"/>
          <w:position w:val="0"/>
          <w:sz w:val="20"/>
          <w:u w:val="none"/>
          <w:vertAlign w:val="baseline"/>
        </w:rPr>
        <w:t xml:space="preserve"> dangerous weapon enhancement as well as a </w:t>
      </w:r>
      <w:hyperlink r:id="rId14"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risk of bodily enhancement." (Pet., Doc. 1, 4) She argues that "[b]oth enhancements should not have been applied as these were not seperate (sic) 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As the Court can resolve the Petition solely on the record, the Court has not ordered the Government to respond.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35" w:name="Bookmark_para_20"/>
      <w:bookmarkEnd w:id="35"/>
      <w:bookmarkStart w:id="36" w:name="Bookmark_I6930V0F2D6NSF0030000400"/>
      <w:bookmarkEnd w:id="36"/>
      <w:r>
        <w:rPr>
          <w:rFonts w:ascii="arial" w:eastAsia="arial" w:hAnsi="arial" w:cs="arial"/>
          <w:b w:val="0"/>
          <w:i w:val="0"/>
          <w:strike w:val="0"/>
          <w:noProof w:val="0"/>
          <w:color w:val="000000"/>
          <w:position w:val="0"/>
          <w:sz w:val="20"/>
          <w:u w:val="none"/>
          <w:vertAlign w:val="baseline"/>
        </w:rPr>
        <w:t xml:space="preserve">Benavides seeks relief pursuant to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bookmarkStart w:id="37" w:name="Bookmark_I6930V0F2D6NSF0050000400"/>
      <w:bookmarkEnd w:id="37"/>
      <w:r>
        <w:rPr>
          <w:rFonts w:ascii="arial" w:eastAsia="arial" w:hAnsi="arial" w:cs="arial"/>
          <w:b w:val="0"/>
          <w:i w:val="0"/>
          <w:strike w:val="0"/>
          <w:noProof w:val="0"/>
          <w:color w:val="000000"/>
          <w:position w:val="0"/>
          <w:sz w:val="20"/>
          <w:u w:val="none"/>
          <w:vertAlign w:val="baseline"/>
        </w:rPr>
        <w:t>"In a habeas action, federal courts stand willing to review issues of jurisdiction, allegations of substantial constitutional violations, and claims that exceptional circumstances resulted 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fundamental miscarriage of justice." </w:t>
      </w:r>
      <w:bookmarkStart w:id="38" w:name="Bookmark_I6930V0F2D6NSF0020000400"/>
      <w:bookmarkEnd w:id="38"/>
      <w:hyperlink r:id="rId16" w:history="1">
        <w:r>
          <w:rPr>
            <w:rFonts w:ascii="arial" w:eastAsia="arial" w:hAnsi="arial" w:cs="arial"/>
            <w:b w:val="0"/>
            <w:i/>
            <w:strike w:val="0"/>
            <w:noProof w:val="0"/>
            <w:color w:val="0077CC"/>
            <w:position w:val="0"/>
            <w:sz w:val="20"/>
            <w:u w:val="single"/>
            <w:vertAlign w:val="baseline"/>
          </w:rPr>
          <w:t>Lawrence v. McCarthy</w:t>
        </w:r>
      </w:hyperlink>
      <w:hyperlink r:id="rId16" w:history="1">
        <w:r>
          <w:rPr>
            <w:rFonts w:ascii="arial" w:eastAsia="arial" w:hAnsi="arial" w:cs="arial"/>
            <w:b w:val="0"/>
            <w:i/>
            <w:strike w:val="0"/>
            <w:noProof w:val="0"/>
            <w:color w:val="0077CC"/>
            <w:position w:val="0"/>
            <w:sz w:val="20"/>
            <w:u w:val="single"/>
            <w:vertAlign w:val="baseline"/>
          </w:rPr>
          <w:t>, 344 F.3d 467, 474 (5th Cir. 2003)</w:t>
        </w:r>
      </w:hyperlink>
      <w:r>
        <w:rPr>
          <w:rFonts w:ascii="arial" w:eastAsia="arial" w:hAnsi="arial" w:cs="arial"/>
          <w:b w:val="0"/>
          <w:i w:val="0"/>
          <w:strike w:val="0"/>
          <w:noProof w:val="0"/>
          <w:color w:val="000000"/>
          <w:position w:val="0"/>
          <w:sz w:val="20"/>
          <w:u w:val="none"/>
          <w:vertAlign w:val="baseline"/>
        </w:rPr>
        <w:t xml:space="preserve">. Where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petitioner exhausts or waives her direct appeal, courts may presume that she was fairly convicted. </w:t>
      </w:r>
      <w:bookmarkStart w:id="39" w:name="Bookmark_I6930V0F2D6NSF0050000400_2"/>
      <w:bookmarkEnd w:id="39"/>
      <w:bookmarkStart w:id="40" w:name="Bookmark_I6930V0F2D6NSF0040000400"/>
      <w:bookmarkEnd w:id="40"/>
      <w:hyperlink r:id="rId17" w:history="1">
        <w:r>
          <w:rPr>
            <w:rFonts w:ascii="arial" w:eastAsia="arial" w:hAnsi="arial" w:cs="arial"/>
            <w:b w:val="0"/>
            <w:i/>
            <w:strike w:val="0"/>
            <w:noProof w:val="0"/>
            <w:color w:val="0077CC"/>
            <w:position w:val="0"/>
            <w:sz w:val="20"/>
            <w:u w:val="single"/>
            <w:vertAlign w:val="baseline"/>
          </w:rPr>
          <w:t>United States v. Willis</w:t>
        </w:r>
      </w:hyperlink>
      <w:hyperlink r:id="rId17" w:history="1">
        <w:r>
          <w:rPr>
            <w:rFonts w:ascii="arial" w:eastAsia="arial" w:hAnsi="arial" w:cs="arial"/>
            <w:b w:val="0"/>
            <w:i/>
            <w:strike w:val="0"/>
            <w:noProof w:val="0"/>
            <w:color w:val="0077CC"/>
            <w:position w:val="0"/>
            <w:sz w:val="20"/>
            <w:u w:val="single"/>
            <w:vertAlign w:val="baseline"/>
          </w:rPr>
          <w:t>, 273 F.3d 592, 595 (5th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21"/>
      <w:bookmarkEnd w:id="41"/>
      <w:bookmarkStart w:id="42" w:name="Bookmark_I6930V0F2HM6RK0020000400"/>
      <w:bookmarkEnd w:id="42"/>
      <w:r>
        <w:rPr>
          <w:rFonts w:ascii="arial" w:eastAsia="arial" w:hAnsi="arial" w:cs="arial"/>
          <w:b w:val="0"/>
          <w:i w:val="0"/>
          <w:strike w:val="0"/>
          <w:noProof w:val="0"/>
          <w:color w:val="000000"/>
          <w:position w:val="0"/>
          <w:sz w:val="20"/>
          <w:u w:val="none"/>
          <w:vertAlign w:val="baseline"/>
        </w:rPr>
        <w:t xml:space="preserve">A court may consider and decide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without requiring the production of the prisoner at a hearing. </w:t>
      </w:r>
      <w:hyperlink r:id="rId12" w:history="1">
        <w:r>
          <w:rPr>
            <w:rFonts w:ascii="arial" w:eastAsia="arial" w:hAnsi="arial" w:cs="arial"/>
            <w:b w:val="0"/>
            <w:i/>
            <w:strike w:val="0"/>
            <w:noProof w:val="0"/>
            <w:color w:val="0077CC"/>
            <w:position w:val="0"/>
            <w:sz w:val="20"/>
            <w:u w:val="single"/>
            <w:vertAlign w:val="baseline"/>
          </w:rPr>
          <w:t>28 U.S.C. § 2255(c)</w:t>
        </w:r>
      </w:hyperlink>
      <w:r>
        <w:rPr>
          <w:rFonts w:ascii="arial" w:eastAsia="arial" w:hAnsi="arial" w:cs="arial"/>
          <w:b w:val="0"/>
          <w:i w:val="0"/>
          <w:strike w:val="0"/>
          <w:noProof w:val="0"/>
          <w:color w:val="000000"/>
          <w:position w:val="0"/>
          <w:sz w:val="20"/>
          <w:u w:val="none"/>
          <w:vertAlign w:val="baseline"/>
        </w:rPr>
        <w:t xml:space="preserve">. The court need not conduct a hearing where the information available in the record and the clarity of the facts demonstrate a clear absence of entitlement to relief. </w:t>
      </w:r>
      <w:bookmarkStart w:id="43" w:name="Bookmark_I6930V0F2HM6RK0010000400"/>
      <w:bookmarkEnd w:id="43"/>
      <w:hyperlink r:id="rId18" w:history="1">
        <w:r>
          <w:rPr>
            <w:rFonts w:ascii="arial" w:eastAsia="arial" w:hAnsi="arial" w:cs="arial"/>
            <w:b w:val="0"/>
            <w:i/>
            <w:strike w:val="0"/>
            <w:noProof w:val="0"/>
            <w:color w:val="0077CC"/>
            <w:position w:val="0"/>
            <w:sz w:val="20"/>
            <w:u w:val="single"/>
            <w:vertAlign w:val="baseline"/>
          </w:rPr>
          <w:t>United States v. Bartholomew</w:t>
        </w:r>
      </w:hyperlink>
      <w:hyperlink r:id="rId18" w:history="1">
        <w:r>
          <w:rPr>
            <w:rFonts w:ascii="arial" w:eastAsia="arial" w:hAnsi="arial" w:cs="arial"/>
            <w:b w:val="0"/>
            <w:i/>
            <w:strike w:val="0"/>
            <w:noProof w:val="0"/>
            <w:color w:val="0077CC"/>
            <w:position w:val="0"/>
            <w:sz w:val="20"/>
            <w:u w:val="single"/>
            <w:vertAlign w:val="baseline"/>
          </w:rPr>
          <w:t>, 974 F.2d 39, 41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22"/>
      <w:bookmarkEnd w:id="44"/>
      <w:bookmarkStart w:id="45" w:name="Bookmark_I6930V0F2HM6RK0040000400"/>
      <w:bookmarkEnd w:id="45"/>
      <w:r>
        <w:rPr>
          <w:rFonts w:ascii="arial" w:eastAsia="arial" w:hAnsi="arial" w:cs="arial"/>
          <w:b w:val="0"/>
          <w:i w:val="0"/>
          <w:strike w:val="0"/>
          <w:noProof w:val="0"/>
          <w:color w:val="000000"/>
          <w:position w:val="0"/>
          <w:sz w:val="20"/>
          <w:u w:val="none"/>
          <w:vertAlign w:val="baseline"/>
        </w:rPr>
        <w:t xml:space="preserve">In the present case, as Benavides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the Court applies a liberal construction to her Petition to ensure that her claims are not unfairly dismissed because of her unfamiliarity with the law. </w:t>
      </w:r>
      <w:bookmarkStart w:id="46" w:name="Bookmark_I6930V0F2HM6RK0030000400"/>
      <w:bookmarkEnd w:id="46"/>
      <w:hyperlink r:id="rId19" w:history="1">
        <w:r>
          <w:rPr>
            <w:rFonts w:ascii="arial" w:eastAsia="arial" w:hAnsi="arial" w:cs="arial"/>
            <w:b w:val="0"/>
            <w:i/>
            <w:strike w:val="0"/>
            <w:noProof w:val="0"/>
            <w:color w:val="0077CC"/>
            <w:position w:val="0"/>
            <w:sz w:val="20"/>
            <w:u w:val="single"/>
            <w:vertAlign w:val="baseline"/>
          </w:rPr>
          <w:t>Haines v. Kerner</w:t>
        </w:r>
      </w:hyperlink>
      <w:hyperlink r:id="rId19"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Even applying this lenient standard, however, the Court concludes that Benavides is not entitled to relief.</w:t>
      </w:r>
    </w:p>
    <w:p>
      <w:pPr>
        <w:keepNext w:val="0"/>
        <w:spacing w:before="240" w:after="0" w:line="260" w:lineRule="atLeast"/>
        <w:ind w:left="0" w:right="0" w:firstLine="0"/>
        <w:jc w:val="both"/>
      </w:pPr>
      <w:bookmarkStart w:id="47" w:name="Bookmark_para_23"/>
      <w:bookmarkEnd w:id="47"/>
      <w:r>
        <w:rPr>
          <w:rFonts w:ascii="arial" w:eastAsia="arial" w:hAnsi="arial" w:cs="arial"/>
          <w:b w:val="0"/>
          <w:i w:val="0"/>
          <w:strike w:val="0"/>
          <w:noProof w:val="0"/>
          <w:color w:val="000000"/>
          <w:position w:val="0"/>
          <w:sz w:val="20"/>
          <w:u w:val="none"/>
          <w:vertAlign w:val="baseline"/>
        </w:rPr>
        <w:t xml:space="preserve">The Fifth Circuit's decision in connection with Benavides's direct appeal forecloses her lawsuit. In her Petition, Benavides presents the same argument she urged to the Fifth Circuit—i.e., that the sentencing court engaged in double-counting by assessing enhancements under both </w:t>
      </w:r>
      <w:hyperlink r:id="rId14"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w:t>
      </w:r>
      <w:bookmarkStart w:id="48" w:name="Bookmark_I6930V0F2SF8510010000400"/>
      <w:bookmarkEnd w:id="48"/>
      <w:r>
        <w:rPr>
          <w:rFonts w:ascii="arial" w:eastAsia="arial" w:hAnsi="arial" w:cs="arial"/>
          <w:b w:val="0"/>
          <w:i w:val="0"/>
          <w:strike w:val="0"/>
          <w:noProof w:val="0"/>
          <w:color w:val="000000"/>
          <w:position w:val="0"/>
          <w:sz w:val="20"/>
          <w:u w:val="none"/>
          <w:vertAlign w:val="baseline"/>
        </w:rPr>
        <w:t>Benavides argued that the district court incorrectly relied on the same conduct to support both enhancements. On appeal, the Fifth Circuit rejected this argument, explaining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the record demonstrated that "the </w:t>
      </w:r>
      <w:hyperlink r:id="rId14"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enhancement was supported by different conduct than the </w:t>
      </w:r>
      <w:hyperlink r:id="rId14" w:history="1">
        <w:r>
          <w:rPr>
            <w:rFonts w:ascii="arial" w:eastAsia="arial" w:hAnsi="arial" w:cs="arial"/>
            <w:b w:val="0"/>
            <w:i/>
            <w:strike w:val="0"/>
            <w:noProof w:val="0"/>
            <w:color w:val="0077CC"/>
            <w:position w:val="0"/>
            <w:sz w:val="20"/>
            <w:u w:val="single"/>
            <w:vertAlign w:val="baseline"/>
          </w:rPr>
          <w:t>§ 2L1.1(b)(5)</w:t>
        </w:r>
      </w:hyperlink>
      <w:r>
        <w:rPr>
          <w:rFonts w:ascii="arial" w:eastAsia="arial" w:hAnsi="arial" w:cs="arial"/>
          <w:b w:val="0"/>
          <w:i w:val="0"/>
          <w:strike w:val="0"/>
          <w:noProof w:val="0"/>
          <w:color w:val="000000"/>
          <w:position w:val="0"/>
          <w:sz w:val="20"/>
          <w:u w:val="none"/>
          <w:vertAlign w:val="baseline"/>
        </w:rPr>
        <w:t xml:space="preserve"> enhancement". </w:t>
      </w:r>
      <w:bookmarkStart w:id="49" w:name="Bookmark_I6930V0F2SF8510030000400"/>
      <w:bookmarkEnd w:id="49"/>
      <w:bookmarkStart w:id="50" w:name="Bookmark_I6930V0F2HM6RK0050000400"/>
      <w:bookmarkEnd w:id="50"/>
      <w:hyperlink r:id="rId11" w:history="1">
        <w:r>
          <w:rPr>
            <w:rFonts w:ascii="arial" w:eastAsia="arial" w:hAnsi="arial" w:cs="arial"/>
            <w:b w:val="0"/>
            <w:i/>
            <w:strike w:val="0"/>
            <w:noProof w:val="0"/>
            <w:color w:val="0077CC"/>
            <w:position w:val="0"/>
            <w:sz w:val="20"/>
            <w:u w:val="single"/>
            <w:vertAlign w:val="baseline"/>
          </w:rPr>
          <w:t>Benavides</w:t>
        </w:r>
      </w:hyperlink>
      <w:hyperlink r:id="rId11" w:history="1">
        <w:r>
          <w:rPr>
            <w:rFonts w:ascii="arial" w:eastAsia="arial" w:hAnsi="arial" w:cs="arial"/>
            <w:b w:val="0"/>
            <w:i/>
            <w:strike w:val="0"/>
            <w:noProof w:val="0"/>
            <w:color w:val="0077CC"/>
            <w:position w:val="0"/>
            <w:sz w:val="20"/>
            <w:u w:val="single"/>
            <w:vertAlign w:val="baseline"/>
          </w:rPr>
          <w:t>, 2022 U.S. App. LEXIS 16129, 2022 WL 2101521, at *1</w:t>
        </w:r>
      </w:hyperlink>
      <w:r>
        <w:rPr>
          <w:rFonts w:ascii="arial" w:eastAsia="arial" w:hAnsi="arial" w:cs="arial"/>
          <w:b w:val="0"/>
          <w:i w:val="0"/>
          <w:strike w:val="0"/>
          <w:noProof w:val="0"/>
          <w:color w:val="000000"/>
          <w:position w:val="0"/>
          <w:sz w:val="20"/>
          <w:u w:val="none"/>
          <w:vertAlign w:val="baseline"/>
        </w:rPr>
        <w:t xml:space="preserve">. </w:t>
      </w:r>
      <w:bookmarkStart w:id="51" w:name="Bookmark_I6930V0F2SF8510030000400_2"/>
      <w:bookmarkEnd w:id="51"/>
      <w:bookmarkStart w:id="52" w:name="Bookmark_I6930V0F2SF8510050000400"/>
      <w:bookmarkEnd w:id="52"/>
      <w:r>
        <w:rPr>
          <w:rFonts w:ascii="arial" w:eastAsia="arial" w:hAnsi="arial" w:cs="arial"/>
          <w:b w:val="0"/>
          <w:i w:val="0"/>
          <w:strike w:val="0"/>
          <w:noProof w:val="0"/>
          <w:color w:val="000000"/>
          <w:position w:val="0"/>
          <w:sz w:val="20"/>
          <w:u w:val="none"/>
          <w:vertAlign w:val="baseline"/>
        </w:rPr>
        <w:t xml:space="preserve">The Fifth Circuit's decision represents "the law of the case" for purposes of Benavides's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t>
      </w:r>
      <w:bookmarkStart w:id="53" w:name="Bookmark_I6930V0F2SF8510020000400"/>
      <w:bookmarkEnd w:id="53"/>
      <w:hyperlink r:id="rId20" w:history="1">
        <w:r>
          <w:rPr>
            <w:rFonts w:ascii="arial" w:eastAsia="arial" w:hAnsi="arial" w:cs="arial"/>
            <w:b w:val="0"/>
            <w:i/>
            <w:strike w:val="0"/>
            <w:noProof w:val="0"/>
            <w:color w:val="0077CC"/>
            <w:position w:val="0"/>
            <w:sz w:val="20"/>
            <w:u w:val="single"/>
            <w:vertAlign w:val="baseline"/>
          </w:rPr>
          <w:t>United States v. Goudeau</w:t>
        </w:r>
      </w:hyperlink>
      <w:hyperlink r:id="rId20" w:history="1">
        <w:r>
          <w:rPr>
            <w:rFonts w:ascii="arial" w:eastAsia="arial" w:hAnsi="arial" w:cs="arial"/>
            <w:b w:val="0"/>
            <w:i/>
            <w:strike w:val="0"/>
            <w:noProof w:val="0"/>
            <w:color w:val="0077CC"/>
            <w:position w:val="0"/>
            <w:sz w:val="20"/>
            <w:u w:val="single"/>
            <w:vertAlign w:val="baseline"/>
          </w:rPr>
          <w:t>, 512 Fed. App'x. 390, 393 (5th Cir. 2013)</w:t>
        </w:r>
      </w:hyperlink>
      <w:r>
        <w:rPr>
          <w:rFonts w:ascii="arial" w:eastAsia="arial" w:hAnsi="arial" w:cs="arial"/>
          <w:b w:val="0"/>
          <w:i w:val="0"/>
          <w:strike w:val="0"/>
          <w:noProof w:val="0"/>
          <w:color w:val="000000"/>
          <w:position w:val="0"/>
          <w:sz w:val="20"/>
          <w:u w:val="none"/>
          <w:vertAlign w:val="baseline"/>
        </w:rPr>
        <w:t xml:space="preserve"> (unpubl.). </w:t>
      </w:r>
      <w:bookmarkStart w:id="54" w:name="Bookmark_I6930V0F2SF8510050000400_2"/>
      <w:bookmarkEnd w:id="54"/>
      <w:r>
        <w:rPr>
          <w:rFonts w:ascii="arial" w:eastAsia="arial" w:hAnsi="arial" w:cs="arial"/>
          <w:b w:val="0"/>
          <w:i w:val="0"/>
          <w:strike w:val="0"/>
          <w:noProof w:val="0"/>
          <w:color w:val="000000"/>
          <w:position w:val="0"/>
          <w:sz w:val="20"/>
          <w:u w:val="none"/>
          <w:vertAlign w:val="baseline"/>
        </w:rPr>
        <w:t xml:space="preserve">And "issues raised and disposed of in a previous appeal from an original judgment of conviction are not considered in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motions." </w:t>
      </w:r>
      <w:bookmarkStart w:id="55" w:name="Bookmark_I6930V0F2SF8510040000400"/>
      <w:bookmarkEnd w:id="55"/>
      <w:hyperlink r:id="rId21" w:history="1">
        <w:r>
          <w:rPr>
            <w:rFonts w:ascii="arial" w:eastAsia="arial" w:hAnsi="arial" w:cs="arial"/>
            <w:b w:val="0"/>
            <w:i/>
            <w:strike w:val="0"/>
            <w:noProof w:val="0"/>
            <w:color w:val="0077CC"/>
            <w:position w:val="0"/>
            <w:sz w:val="20"/>
            <w:u w:val="single"/>
            <w:vertAlign w:val="baseline"/>
          </w:rPr>
          <w:t>United States v. Kalish</w:t>
        </w:r>
      </w:hyperlink>
      <w:hyperlink r:id="rId21" w:history="1">
        <w:r>
          <w:rPr>
            <w:rFonts w:ascii="arial" w:eastAsia="arial" w:hAnsi="arial" w:cs="arial"/>
            <w:b w:val="0"/>
            <w:i/>
            <w:strike w:val="0"/>
            <w:noProof w:val="0"/>
            <w:color w:val="0077CC"/>
            <w:position w:val="0"/>
            <w:sz w:val="20"/>
            <w:u w:val="single"/>
            <w:vertAlign w:val="baseline"/>
          </w:rPr>
          <w:t>, 780 F.2d 506, 508 (5th Cir. 1986)</w:t>
        </w:r>
      </w:hyperlink>
      <w:r>
        <w:rPr>
          <w:rFonts w:ascii="arial" w:eastAsia="arial" w:hAnsi="arial" w:cs="arial"/>
          <w:b w:val="0"/>
          <w:i w:val="0"/>
          <w:strike w:val="0"/>
          <w:noProof w:val="0"/>
          <w:color w:val="000000"/>
          <w:position w:val="0"/>
          <w:sz w:val="20"/>
          <w:u w:val="none"/>
          <w:vertAlign w:val="baseline"/>
        </w:rPr>
        <w:t xml:space="preserve"> (citing </w:t>
      </w:r>
      <w:bookmarkStart w:id="56" w:name="Bookmark_I6930V0G2SF8520010000400"/>
      <w:bookmarkEnd w:id="56"/>
      <w:hyperlink r:id="rId22" w:history="1">
        <w:r>
          <w:rPr>
            <w:rFonts w:ascii="arial" w:eastAsia="arial" w:hAnsi="arial" w:cs="arial"/>
            <w:b w:val="0"/>
            <w:i/>
            <w:strike w:val="0"/>
            <w:noProof w:val="0"/>
            <w:color w:val="0077CC"/>
            <w:position w:val="0"/>
            <w:sz w:val="20"/>
            <w:u w:val="single"/>
            <w:vertAlign w:val="baseline"/>
          </w:rPr>
          <w:t>U.S. v. Jones</w:t>
        </w:r>
      </w:hyperlink>
      <w:hyperlink r:id="rId22" w:history="1">
        <w:r>
          <w:rPr>
            <w:rFonts w:ascii="arial" w:eastAsia="arial" w:hAnsi="arial" w:cs="arial"/>
            <w:b w:val="0"/>
            <w:i/>
            <w:strike w:val="0"/>
            <w:noProof w:val="0"/>
            <w:color w:val="0077CC"/>
            <w:position w:val="0"/>
            <w:sz w:val="20"/>
            <w:u w:val="single"/>
            <w:vertAlign w:val="baseline"/>
          </w:rPr>
          <w:t>, 614 F.2d 80, 82 (5th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24"/>
      <w:bookmarkEnd w:id="57"/>
      <w:bookmarkStart w:id="58" w:name="Bookmark_I631CT931FB00006T0H00001"/>
      <w:bookmarkEnd w:id="58"/>
      <w:bookmarkStart w:id="59" w:name="Bookmark_I6930V0G2SF8520040000400"/>
      <w:bookmarkEnd w:id="59"/>
      <w:r>
        <w:rPr>
          <w:rFonts w:ascii="arial" w:eastAsia="arial" w:hAnsi="arial" w:cs="arial"/>
          <w:b w:val="0"/>
          <w:i w:val="0"/>
          <w:strike w:val="0"/>
          <w:noProof w:val="0"/>
          <w:color w:val="000000"/>
          <w:position w:val="0"/>
          <w:sz w:val="20"/>
          <w:u w:val="none"/>
          <w:vertAlign w:val="baseline"/>
        </w:rPr>
        <w:t xml:space="preserve">Some exceptions apply. Lower courts may re-examine an appellate court's decision if "(i) the evidence on a subsequent trial was substantially different, (ii) controlling authority has since made a contrary decision of the law applicable to such issues, or (iii) the decision was clearly erroneous and would work a manifest injustice." </w:t>
      </w:r>
      <w:bookmarkStart w:id="60" w:name="Bookmark_I6930V0G2SF8520030000400"/>
      <w:bookmarkEnd w:id="60"/>
      <w:hyperlink r:id="rId23" w:history="1">
        <w:r>
          <w:rPr>
            <w:rFonts w:ascii="arial" w:eastAsia="arial" w:hAnsi="arial" w:cs="arial"/>
            <w:b w:val="0"/>
            <w:i/>
            <w:strike w:val="0"/>
            <w:noProof w:val="0"/>
            <w:color w:val="0077CC"/>
            <w:position w:val="0"/>
            <w:sz w:val="20"/>
            <w:u w:val="single"/>
            <w:vertAlign w:val="baseline"/>
          </w:rPr>
          <w:t>United States v. Williams</w:t>
        </w:r>
      </w:hyperlink>
      <w:hyperlink r:id="rId23" w:history="1">
        <w:r>
          <w:rPr>
            <w:rFonts w:ascii="arial" w:eastAsia="arial" w:hAnsi="arial" w:cs="arial"/>
            <w:b w:val="0"/>
            <w:i/>
            <w:strike w:val="0"/>
            <w:noProof w:val="0"/>
            <w:color w:val="0077CC"/>
            <w:position w:val="0"/>
            <w:sz w:val="20"/>
            <w:u w:val="single"/>
            <w:vertAlign w:val="baseline"/>
          </w:rPr>
          <w:t>, 517 F.3d 801, 806-07 (5th Cir. 2008)</w:t>
        </w:r>
      </w:hyperlink>
      <w:r>
        <w:rPr>
          <w:rFonts w:ascii="arial" w:eastAsia="arial" w:hAnsi="arial" w:cs="arial"/>
          <w:b w:val="0"/>
          <w:i w:val="0"/>
          <w:strike w:val="0"/>
          <w:noProof w:val="0"/>
          <w:color w:val="000000"/>
          <w:position w:val="0"/>
          <w:sz w:val="20"/>
          <w:u w:val="none"/>
          <w:vertAlign w:val="baseline"/>
        </w:rPr>
        <w:t>. Benavides has not shown that any of these exceptions applies.</w:t>
      </w:r>
    </w:p>
    <w:p>
      <w:pPr>
        <w:keepNext w:val="0"/>
        <w:spacing w:before="240" w:after="0" w:line="260" w:lineRule="atLeast"/>
        <w:ind w:left="0" w:right="0" w:firstLine="0"/>
        <w:jc w:val="both"/>
      </w:pPr>
      <w:bookmarkStart w:id="61" w:name="Bookmark_para_25"/>
      <w:bookmarkEnd w:id="61"/>
      <w:bookmarkStart w:id="62" w:name="Bookmark_I6930V0G2SF8530010000400"/>
      <w:bookmarkEnd w:id="62"/>
      <w:r>
        <w:rPr>
          <w:rFonts w:ascii="arial" w:eastAsia="arial" w:hAnsi="arial" w:cs="arial"/>
          <w:b w:val="0"/>
          <w:i w:val="0"/>
          <w:strike w:val="0"/>
          <w:noProof w:val="0"/>
          <w:color w:val="000000"/>
          <w:position w:val="0"/>
          <w:sz w:val="20"/>
          <w:u w:val="none"/>
          <w:vertAlign w:val="baseline"/>
        </w:rPr>
        <w:t xml:space="preserve">Benavides also contends, based on her argument concerning the two enhancements, that the Court should "adjust" her guideline range. (Petition, Doc. 1, 12) This argument represents a claim involving a technical application of the guidelines. </w:t>
      </w:r>
      <w:bookmarkStart w:id="63" w:name="Bookmark_I6930V0G2SF8530030000400"/>
      <w:bookmarkEnd w:id="63"/>
      <w:r>
        <w:rPr>
          <w:rFonts w:ascii="arial" w:eastAsia="arial" w:hAnsi="arial" w:cs="arial"/>
          <w:b w:val="0"/>
          <w:i/>
          <w:strike w:val="0"/>
          <w:noProof w:val="0"/>
          <w:color w:val="000000"/>
          <w:position w:val="0"/>
          <w:sz w:val="20"/>
          <w:u w:val="none"/>
          <w:vertAlign w:val="baseline"/>
        </w:rPr>
        <w:t xml:space="preserve">See </w:t>
      </w:r>
      <w:bookmarkStart w:id="64" w:name="Bookmark_I6930V0G2SF8520050000400"/>
      <w:bookmarkEnd w:id="64"/>
      <w:hyperlink r:id="rId24" w:history="1">
        <w:r>
          <w:rPr>
            <w:rFonts w:ascii="arial" w:eastAsia="arial" w:hAnsi="arial" w:cs="arial"/>
            <w:b w:val="0"/>
            <w:i/>
            <w:strike w:val="0"/>
            <w:noProof w:val="0"/>
            <w:color w:val="0077CC"/>
            <w:position w:val="0"/>
            <w:sz w:val="20"/>
            <w:u w:val="single"/>
            <w:vertAlign w:val="baseline"/>
          </w:rPr>
          <w:t>United States v. Cervantes</w:t>
        </w:r>
      </w:hyperlink>
      <w:hyperlink r:id="rId24" w:history="1">
        <w:r>
          <w:rPr>
            <w:rFonts w:ascii="arial" w:eastAsia="arial" w:hAnsi="arial" w:cs="arial"/>
            <w:b w:val="0"/>
            <w:i/>
            <w:strike w:val="0"/>
            <w:noProof w:val="0"/>
            <w:color w:val="0077CC"/>
            <w:position w:val="0"/>
            <w:sz w:val="20"/>
            <w:u w:val="single"/>
            <w:vertAlign w:val="baseline"/>
          </w:rPr>
          <w:t>, 132 F.3d 1106, 1109 (5th Cir. 1998)</w:t>
        </w:r>
      </w:hyperlink>
      <w:r>
        <w:rPr>
          <w:rFonts w:ascii="arial" w:eastAsia="arial" w:hAnsi="arial" w:cs="arial"/>
          <w:b w:val="0"/>
          <w:i w:val="0"/>
          <w:strike w:val="0"/>
          <w:noProof w:val="0"/>
          <w:color w:val="000000"/>
          <w:position w:val="0"/>
          <w:sz w:val="20"/>
          <w:u w:val="none"/>
          <w:vertAlign w:val="baseline"/>
        </w:rPr>
        <w:t xml:space="preserve"> (error in calculating sentence was a technical application of the Guidelines). </w:t>
      </w:r>
      <w:bookmarkStart w:id="65" w:name="Bookmark_I6930V0G2SF8530030000400_2"/>
      <w:bookmarkEnd w:id="65"/>
      <w:bookmarkStart w:id="66" w:name="Bookmark_I6930V0G2SF8530050000400"/>
      <w:bookmarkEnd w:id="66"/>
      <w:r>
        <w:rPr>
          <w:rFonts w:ascii="arial" w:eastAsia="arial" w:hAnsi="arial" w:cs="arial"/>
          <w:b w:val="0"/>
          <w:i w:val="0"/>
          <w:strike w:val="0"/>
          <w:noProof w:val="0"/>
          <w:color w:val="000000"/>
          <w:position w:val="0"/>
          <w:sz w:val="20"/>
          <w:u w:val="none"/>
          <w:vertAlign w:val="baseline"/>
        </w:rPr>
        <w:t xml:space="preserve">Such a claim is not cognizable in a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t>
      </w:r>
      <w:r>
        <w:rPr>
          <w:rFonts w:ascii="arial" w:eastAsia="arial" w:hAnsi="arial" w:cs="arial"/>
          <w:b w:val="0"/>
          <w:i/>
          <w:strike w:val="0"/>
          <w:noProof w:val="0"/>
          <w:color w:val="000000"/>
          <w:position w:val="0"/>
          <w:sz w:val="20"/>
          <w:u w:val="none"/>
          <w:vertAlign w:val="baseline"/>
        </w:rPr>
        <w:t xml:space="preserve">See </w:t>
      </w:r>
      <w:bookmarkStart w:id="67" w:name="Bookmark_I6930V0G2SF8530020000400"/>
      <w:bookmarkEnd w:id="67"/>
      <w:hyperlink r:id="rId25" w:history="1">
        <w:r>
          <w:rPr>
            <w:rFonts w:ascii="arial" w:eastAsia="arial" w:hAnsi="arial" w:cs="arial"/>
            <w:b w:val="0"/>
            <w:i/>
            <w:strike w:val="0"/>
            <w:noProof w:val="0"/>
            <w:color w:val="0077CC"/>
            <w:position w:val="0"/>
            <w:sz w:val="20"/>
            <w:u w:val="single"/>
            <w:vertAlign w:val="baseline"/>
          </w:rPr>
          <w:t>United States v. Licon</w:t>
        </w:r>
      </w:hyperlink>
      <w:hyperlink r:id="rId25" w:history="1">
        <w:r>
          <w:rPr>
            <w:rFonts w:ascii="arial" w:eastAsia="arial" w:hAnsi="arial" w:cs="arial"/>
            <w:b w:val="0"/>
            <w:i/>
            <w:strike w:val="0"/>
            <w:noProof w:val="0"/>
            <w:color w:val="0077CC"/>
            <w:position w:val="0"/>
            <w:sz w:val="20"/>
            <w:u w:val="single"/>
            <w:vertAlign w:val="baseline"/>
          </w:rPr>
          <w:t>, 736 Fed. App'x 515, 516 (5th Cir. 2018)</w:t>
        </w:r>
      </w:hyperlink>
      <w:r>
        <w:rPr>
          <w:rFonts w:ascii="arial" w:eastAsia="arial" w:hAnsi="arial" w:cs="arial"/>
          <w:b w:val="0"/>
          <w:i w:val="0"/>
          <w:strike w:val="0"/>
          <w:noProof w:val="0"/>
          <w:color w:val="000000"/>
          <w:position w:val="0"/>
          <w:sz w:val="20"/>
          <w:u w:val="none"/>
          <w:vertAlign w:val="baseline"/>
        </w:rPr>
        <w:t xml:space="preserve"> (unpubl.) </w:t>
      </w:r>
      <w:bookmarkStart w:id="68" w:name="Bookmark_I6930V0G2SF8530050000400_2"/>
      <w:bookmarkEnd w:id="68"/>
      <w:r>
        <w:rPr>
          <w:rFonts w:ascii="arial" w:eastAsia="arial" w:hAnsi="arial" w:cs="arial"/>
          <w:b w:val="0"/>
          <w:i w:val="0"/>
          <w:strike w:val="0"/>
          <w:noProof w:val="0"/>
          <w:color w:val="000000"/>
          <w:position w:val="0"/>
          <w:sz w:val="20"/>
          <w:u w:val="none"/>
          <w:vertAlign w:val="baseline"/>
        </w:rPr>
        <w:t xml:space="preserve">(citing </w:t>
      </w:r>
      <w:bookmarkStart w:id="69" w:name="Bookmark_I6930V0G2SF8530040000400"/>
      <w:bookmarkEnd w:id="69"/>
      <w:hyperlink r:id="rId26" w:history="1">
        <w:r>
          <w:rPr>
            <w:rFonts w:ascii="arial" w:eastAsia="arial" w:hAnsi="arial" w:cs="arial"/>
            <w:b w:val="0"/>
            <w:i/>
            <w:strike w:val="0"/>
            <w:noProof w:val="0"/>
            <w:color w:val="0077CC"/>
            <w:position w:val="0"/>
            <w:sz w:val="20"/>
            <w:u w:val="single"/>
            <w:vertAlign w:val="baseline"/>
          </w:rPr>
          <w:t>United States v. Williamson</w:t>
        </w:r>
      </w:hyperlink>
      <w:hyperlink r:id="rId26" w:history="1">
        <w:r>
          <w:rPr>
            <w:rFonts w:ascii="arial" w:eastAsia="arial" w:hAnsi="arial" w:cs="arial"/>
            <w:b w:val="0"/>
            <w:i/>
            <w:strike w:val="0"/>
            <w:noProof w:val="0"/>
            <w:color w:val="0077CC"/>
            <w:position w:val="0"/>
            <w:sz w:val="20"/>
            <w:u w:val="single"/>
            <w:vertAlign w:val="baseline"/>
          </w:rPr>
          <w:t>, 183 F.3d 458, 462 (5th Cir. 1999)</w:t>
        </w:r>
      </w:hyperlink>
      <w:r>
        <w:rPr>
          <w:rFonts w:ascii="arial" w:eastAsia="arial" w:hAnsi="arial" w:cs="arial"/>
          <w:b w:val="0"/>
          <w:i w:val="0"/>
          <w:strike w:val="0"/>
          <w:noProof w:val="0"/>
          <w:color w:val="000000"/>
          <w:position w:val="0"/>
          <w:sz w:val="20"/>
          <w:u w:val="none"/>
          <w:vertAlign w:val="baseline"/>
        </w:rPr>
        <w:t xml:space="preserve">); </w:t>
      </w:r>
      <w:bookmarkStart w:id="70" w:name="Bookmark_I6930V0H28T4990010000400"/>
      <w:bookmarkEnd w:id="70"/>
      <w:hyperlink r:id="rId27" w:history="1">
        <w:r>
          <w:rPr>
            <w:rFonts w:ascii="arial" w:eastAsia="arial" w:hAnsi="arial" w:cs="arial"/>
            <w:b w:val="0"/>
            <w:i/>
            <w:strike w:val="0"/>
            <w:noProof w:val="0"/>
            <w:color w:val="0077CC"/>
            <w:position w:val="0"/>
            <w:sz w:val="20"/>
            <w:u w:val="single"/>
            <w:vertAlign w:val="baseline"/>
          </w:rPr>
          <w:t>United States v. Watkins</w:t>
        </w:r>
      </w:hyperlink>
      <w:hyperlink r:id="rId27" w:history="1">
        <w:r>
          <w:rPr>
            <w:rFonts w:ascii="arial" w:eastAsia="arial" w:hAnsi="arial" w:cs="arial"/>
            <w:b w:val="0"/>
            <w:i/>
            <w:strike w:val="0"/>
            <w:noProof w:val="0"/>
            <w:color w:val="0077CC"/>
            <w:position w:val="0"/>
            <w:sz w:val="20"/>
            <w:u w:val="single"/>
            <w:vertAlign w:val="baseline"/>
          </w:rPr>
          <w:t>, 2018 U.S. App. LEXIS 37639, 2018 WL 11280061, at *1 (5th Cir. 2018)</w:t>
        </w:r>
      </w:hyperlink>
      <w:r>
        <w:rPr>
          <w:rFonts w:ascii="arial" w:eastAsia="arial" w:hAnsi="arial" w:cs="arial"/>
          <w:b w:val="0"/>
          <w:i w:val="0"/>
          <w:strike w:val="0"/>
          <w:noProof w:val="0"/>
          <w:color w:val="000000"/>
          <w:position w:val="0"/>
          <w:sz w:val="20"/>
          <w:u w:val="none"/>
          <w:vertAlign w:val="baseline"/>
        </w:rPr>
        <w:t xml:space="preserve"> (unpubl.); </w:t>
      </w:r>
      <w:bookmarkStart w:id="71" w:name="Bookmark_I6930V0H28T4990030000400"/>
      <w:bookmarkEnd w:id="71"/>
      <w:hyperlink r:id="rId28" w:history="1">
        <w:r>
          <w:rPr>
            <w:rFonts w:ascii="arial" w:eastAsia="arial" w:hAnsi="arial" w:cs="arial"/>
            <w:b w:val="0"/>
            <w:i/>
            <w:strike w:val="0"/>
            <w:noProof w:val="0"/>
            <w:color w:val="0077CC"/>
            <w:position w:val="0"/>
            <w:sz w:val="20"/>
            <w:u w:val="single"/>
            <w:vertAlign w:val="baseline"/>
          </w:rPr>
          <w:t>United States v. Marroquin</w:t>
        </w:r>
      </w:hyperlink>
      <w:hyperlink r:id="rId28" w:history="1">
        <w:r>
          <w:rPr>
            <w:rFonts w:ascii="arial" w:eastAsia="arial" w:hAnsi="arial" w:cs="arial"/>
            <w:b w:val="0"/>
            <w:i/>
            <w:strike w:val="0"/>
            <w:noProof w:val="0"/>
            <w:color w:val="0077CC"/>
            <w:position w:val="0"/>
            <w:sz w:val="20"/>
            <w:u w:val="single"/>
            <w:vertAlign w:val="baseline"/>
          </w:rPr>
          <w:t>, 2018 U.S. App. LEXIS 38655, 2018 WL 11438702, at *1 (5th Cir. 2018)</w:t>
        </w:r>
      </w:hyperlink>
      <w:r>
        <w:rPr>
          <w:rFonts w:ascii="arial" w:eastAsia="arial" w:hAnsi="arial" w:cs="arial"/>
          <w:b w:val="0"/>
          <w:i w:val="0"/>
          <w:strike w:val="0"/>
          <w:noProof w:val="0"/>
          <w:color w:val="000000"/>
          <w:position w:val="0"/>
          <w:sz w:val="20"/>
          <w:u w:val="none"/>
          <w:vertAlign w:val="baseline"/>
        </w:rPr>
        <w:t xml:space="preserve"> (unpubl.).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r>
        <w:rPr>
          <w:rFonts w:ascii="arial" w:eastAsia="arial" w:hAnsi="arial" w:cs="arial"/>
          <w:b/>
          <w:i w:val="0"/>
          <w:strike w:val="0"/>
          <w:noProof w:val="0"/>
          <w:color w:val="000000"/>
          <w:position w:val="0"/>
          <w:sz w:val="20"/>
          <w:u w:val="none"/>
          <w:vertAlign w:val="baseline"/>
        </w:rPr>
        <w:t> [*8] </w:t>
      </w:r>
    </w:p>
    <w:p>
      <w:pPr>
        <w:keepNext w:val="0"/>
        <w:spacing w:before="200" w:after="0" w:line="260" w:lineRule="atLeast"/>
        <w:ind w:left="0" w:right="0" w:firstLine="0"/>
        <w:jc w:val="both"/>
      </w:pPr>
      <w:bookmarkStart w:id="72" w:name="Bookmark_para_26"/>
      <w:bookmarkEnd w:id="72"/>
      <w:r>
        <w:rPr>
          <w:rFonts w:ascii="arial" w:eastAsia="arial" w:hAnsi="arial" w:cs="arial"/>
          <w:b w:val="0"/>
          <w:i w:val="0"/>
          <w:strike w:val="0"/>
          <w:noProof w:val="0"/>
          <w:color w:val="000000"/>
          <w:position w:val="0"/>
          <w:sz w:val="20"/>
          <w:u w:val="none"/>
          <w:vertAlign w:val="baseline"/>
        </w:rPr>
        <w:t>For the reasons indicated in this Order, it is:</w:t>
      </w:r>
    </w:p>
    <w:p>
      <w:pPr>
        <w:keepNext w:val="0"/>
        <w:spacing w:before="200" w:after="0" w:line="260" w:lineRule="atLeast"/>
        <w:ind w:left="0" w:right="0" w:firstLine="0"/>
        <w:jc w:val="both"/>
      </w:pPr>
      <w:bookmarkStart w:id="73" w:name="Bookmark_para_27"/>
      <w:bookmarkEnd w:id="73"/>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Petitioner Lisa Berenice Benavides's Motion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Sentence by a Person in Federal Custody (Doc.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meritless.</w:t>
      </w:r>
    </w:p>
    <w:p>
      <w:pPr>
        <w:keepNext w:val="0"/>
        <w:spacing w:before="200" w:after="0" w:line="260" w:lineRule="atLeast"/>
        <w:ind w:left="0" w:right="0" w:firstLine="0"/>
        <w:jc w:val="both"/>
      </w:pPr>
      <w:bookmarkStart w:id="74" w:name="Bookmark_para_28"/>
      <w:bookmarkEnd w:id="74"/>
      <w:r>
        <w:rPr>
          <w:rFonts w:ascii="arial" w:eastAsia="arial" w:hAnsi="arial" w:cs="arial"/>
          <w:b w:val="0"/>
          <w:i w:val="0"/>
          <w:strike w:val="0"/>
          <w:noProof w:val="0"/>
          <w:color w:val="000000"/>
          <w:position w:val="0"/>
          <w:sz w:val="20"/>
          <w:u w:val="none"/>
          <w:vertAlign w:val="baseline"/>
        </w:rPr>
        <w:t xml:space="preserve">In addition, the Court finds that no outstanding issue would be debatable among jurists of reason, and that Benavides fails to make a "substantial showing of the denial of a constitutional right." </w:t>
      </w:r>
      <w:hyperlink r:id="rId29"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Accordingly,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a Certificate of Appealability.</w:t>
      </w:r>
    </w:p>
    <w:p>
      <w:pPr>
        <w:keepNext w:val="0"/>
        <w:spacing w:before="200" w:after="0" w:line="260" w:lineRule="atLeast"/>
        <w:ind w:left="0" w:right="0" w:firstLine="0"/>
        <w:jc w:val="both"/>
      </w:pPr>
      <w:bookmarkStart w:id="75" w:name="Bookmark_para_29"/>
      <w:bookmarkEnd w:id="75"/>
      <w:r>
        <w:rPr>
          <w:rFonts w:ascii="arial" w:eastAsia="arial" w:hAnsi="arial" w:cs="arial"/>
          <w:b w:val="0"/>
          <w:i w:val="0"/>
          <w:strike w:val="0"/>
          <w:noProof w:val="0"/>
          <w:color w:val="000000"/>
          <w:position w:val="0"/>
          <w:sz w:val="20"/>
          <w:u w:val="none"/>
          <w:vertAlign w:val="baseline"/>
        </w:rPr>
        <w:t>The Clerk of Court is directed to close this matter.</w:t>
      </w:r>
    </w:p>
    <w:p>
      <w:pPr>
        <w:keepNext w:val="0"/>
        <w:spacing w:before="200" w:after="0" w:line="260" w:lineRule="atLeast"/>
        <w:ind w:left="0" w:right="0" w:firstLine="0"/>
        <w:jc w:val="both"/>
      </w:pPr>
      <w:bookmarkStart w:id="76" w:name="Bookmark_para_30"/>
      <w:bookmarkEnd w:id="76"/>
      <w:r>
        <w:rPr>
          <w:rFonts w:ascii="arial" w:eastAsia="arial" w:hAnsi="arial" w:cs="arial"/>
          <w:b w:val="0"/>
          <w:i w:val="0"/>
          <w:strike w:val="0"/>
          <w:noProof w:val="0"/>
          <w:color w:val="000000"/>
          <w:position w:val="0"/>
          <w:sz w:val="20"/>
          <w:u w:val="none"/>
          <w:vertAlign w:val="baseline"/>
        </w:rPr>
        <w:t>Signed on August 30, 2023.</w:t>
      </w:r>
    </w:p>
    <w:p>
      <w:pPr>
        <w:keepNext w:val="0"/>
        <w:spacing w:before="200" w:after="0" w:line="260" w:lineRule="atLeast"/>
        <w:ind w:left="0" w:right="0" w:firstLine="0"/>
        <w:jc w:val="both"/>
      </w:pPr>
      <w:bookmarkStart w:id="77" w:name="Bookmark_para_31"/>
      <w:bookmarkEnd w:id="77"/>
      <w:r>
        <w:rPr>
          <w:rFonts w:ascii="arial" w:eastAsia="arial" w:hAnsi="arial" w:cs="arial"/>
          <w:b w:val="0"/>
          <w:i w:val="0"/>
          <w:strike w:val="0"/>
          <w:noProof w:val="0"/>
          <w:color w:val="000000"/>
          <w:position w:val="0"/>
          <w:sz w:val="20"/>
          <w:u w:val="none"/>
          <w:vertAlign w:val="baseline"/>
        </w:rPr>
        <w:t>/s/ Fernando Rodriguez, Jr.</w:t>
      </w:r>
    </w:p>
    <w:p>
      <w:pPr>
        <w:keepNext w:val="0"/>
        <w:spacing w:before="200" w:after="0" w:line="260" w:lineRule="atLeast"/>
        <w:ind w:left="0" w:right="0" w:firstLine="0"/>
        <w:jc w:val="both"/>
      </w:pPr>
      <w:bookmarkStart w:id="78" w:name="Bookmark_para_32"/>
      <w:bookmarkEnd w:id="78"/>
      <w:r>
        <w:rPr>
          <w:rFonts w:ascii="arial" w:eastAsia="arial" w:hAnsi="arial" w:cs="arial"/>
          <w:b w:val="0"/>
          <w:i w:val="0"/>
          <w:strike w:val="0"/>
          <w:noProof w:val="0"/>
          <w:color w:val="000000"/>
          <w:position w:val="0"/>
          <w:sz w:val="20"/>
          <w:u w:val="none"/>
          <w:vertAlign w:val="baseline"/>
        </w:rPr>
        <w:t>Fernando Rodriguez, Jr.</w:t>
      </w:r>
    </w:p>
    <w:p>
      <w:pPr>
        <w:keepNext w:val="0"/>
        <w:spacing w:before="200" w:after="0" w:line="260" w:lineRule="atLeast"/>
        <w:ind w:left="0" w:right="0" w:firstLine="0"/>
        <w:jc w:val="both"/>
      </w:pPr>
      <w:bookmarkStart w:id="79" w:name="Bookmark_para_33"/>
      <w:bookmarkEnd w:id="7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0" w:name="Bookmark_fnpara_1"/>
      <w:bookmarkEnd w:id="30"/>
      <w:bookmarkStart w:id="31" w:name="Bookmark_I6930V0F2D6NSF0010000400"/>
      <w:bookmarkEnd w:id="31"/>
      <w:r>
        <w:rPr>
          <w:rFonts w:ascii="arial" w:eastAsia="arial" w:hAnsi="arial" w:cs="arial"/>
          <w:b w:val="0"/>
          <w:i w:val="0"/>
          <w:strike w:val="0"/>
          <w:noProof w:val="0"/>
          <w:color w:val="000000"/>
          <w:position w:val="0"/>
          <w:sz w:val="18"/>
          <w:u w:val="none"/>
          <w:vertAlign w:val="baseline"/>
        </w:rPr>
        <w:t xml:space="preserve">In August 2022, this Court issued an Amended Judgment (CR-Doc. 211) to reflect the Court's decision on remand as to restitution. The issuance of an amended judgment which does not affect the finality of a criminal conviction does not restart the clock for the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statutory limitations period. </w:t>
      </w:r>
      <w:bookmarkStart w:id="32" w:name="Bookmark_I6930V0D2SF84X0050000400"/>
      <w:bookmarkEnd w:id="32"/>
      <w:hyperlink r:id="rId2" w:history="1">
        <w:r>
          <w:rPr>
            <w:rFonts w:ascii="arial" w:eastAsia="arial" w:hAnsi="arial" w:cs="arial"/>
            <w:b w:val="0"/>
            <w:i/>
            <w:strike w:val="0"/>
            <w:noProof w:val="0"/>
            <w:color w:val="0077CC"/>
            <w:position w:val="0"/>
            <w:sz w:val="18"/>
            <w:u w:val="single"/>
            <w:vertAlign w:val="baseline"/>
          </w:rPr>
          <w:t>United States v. Jones</w:t>
        </w:r>
      </w:hyperlink>
      <w:hyperlink r:id="rId2" w:history="1">
        <w:r>
          <w:rPr>
            <w:rFonts w:ascii="arial" w:eastAsia="arial" w:hAnsi="arial" w:cs="arial"/>
            <w:b w:val="0"/>
            <w:i/>
            <w:strike w:val="0"/>
            <w:noProof w:val="0"/>
            <w:color w:val="0077CC"/>
            <w:position w:val="0"/>
            <w:sz w:val="18"/>
            <w:u w:val="single"/>
            <w:vertAlign w:val="baseline"/>
          </w:rPr>
          <w:t>, 796 F.3d 483, 486 (5th Cir. 2015)</w:t>
        </w:r>
      </w:hyperlink>
      <w:r>
        <w:rPr>
          <w:rFonts w:ascii="arial" w:eastAsia="arial" w:hAnsi="arial" w:cs="arial"/>
          <w:b w:val="0"/>
          <w:i w:val="0"/>
          <w:strike w:val="0"/>
          <w:noProof w:val="0"/>
          <w:color w:val="000000"/>
          <w:position w:val="0"/>
          <w:sz w:val="18"/>
          <w:u w:val="none"/>
          <w:vertAlign w:val="baseline"/>
        </w:rPr>
        <w:t xml:space="preserve">. However, this issue does not impact the analysis in this case because Benavides timely filed her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petition.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Benavides v. United States, 2023 U.S. Dist. LEXIS 153051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8X-B4M3-RSYG-S1B0-00000-00&amp;context=1519360" TargetMode="External" /><Relationship Id="rId11" Type="http://schemas.openxmlformats.org/officeDocument/2006/relationships/hyperlink" Target="https://advance.lexis.com/api/document?collection=cases&amp;id=urn:contentItem:65NY-4KC1-JP4G-613F-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statutes-legislation&amp;id=urn:contentItem:5GYC-2C71-FG36-13F4-00000-00&amp;context=1519360" TargetMode="External" /><Relationship Id="rId14" Type="http://schemas.openxmlformats.org/officeDocument/2006/relationships/hyperlink" Target="https://advance.lexis.com/api/document?collection=statutes-legislation&amp;id=urn:contentItem:8TWM-B3H2-8T6X-7295-00000-00&amp;context=1519360" TargetMode="External" /><Relationship Id="rId15" Type="http://schemas.openxmlformats.org/officeDocument/2006/relationships/hyperlink" Target="https://advance.lexis.com/api/document?collection=cases&amp;id=urn:contentItem:482F-Y5D0-004B-Y01K-00000-00&amp;context=1519360" TargetMode="External" /><Relationship Id="rId16" Type="http://schemas.openxmlformats.org/officeDocument/2006/relationships/hyperlink" Target="https://advance.lexis.com/api/document?collection=cases&amp;id=urn:contentItem:49FG-XPG0-0038-X10Y-00000-00&amp;context=1519360" TargetMode="External" /><Relationship Id="rId17" Type="http://schemas.openxmlformats.org/officeDocument/2006/relationships/hyperlink" Target="https://advance.lexis.com/api/document?collection=cases&amp;id=urn:contentItem:44DV-0KH0-0038-X19M-00000-00&amp;context=1519360" TargetMode="External" /><Relationship Id="rId18" Type="http://schemas.openxmlformats.org/officeDocument/2006/relationships/hyperlink" Target="https://advance.lexis.com/api/document?collection=cases&amp;id=urn:contentItem:3S4X-0RV0-008H-V0HS-00000-00&amp;context=1519360" TargetMode="External" /><Relationship Id="rId19" Type="http://schemas.openxmlformats.org/officeDocument/2006/relationships/hyperlink" Target="https://advance.lexis.com/api/document?collection=cases&amp;id=urn:contentItem:3S4X-DB70-003B-S53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7P5-FPS1-F04K-N0CM-00000-00&amp;context=1519360" TargetMode="External" /><Relationship Id="rId21" Type="http://schemas.openxmlformats.org/officeDocument/2006/relationships/hyperlink" Target="https://advance.lexis.com/api/document?collection=cases&amp;id=urn:contentItem:3S4X-B6M0-0039-P016-00000-00&amp;context=1519360" TargetMode="External" /><Relationship Id="rId22" Type="http://schemas.openxmlformats.org/officeDocument/2006/relationships/hyperlink" Target="https://advance.lexis.com/api/document?collection=cases&amp;id=urn:contentItem:3S4X-H5K0-0039-W3DV-00000-00&amp;context=1519360" TargetMode="External" /><Relationship Id="rId23" Type="http://schemas.openxmlformats.org/officeDocument/2006/relationships/hyperlink" Target="https://advance.lexis.com/api/document?collection=cases&amp;id=urn:contentItem:4RW3-SHD0-TXFX-736Y-00000-00&amp;context=1519360" TargetMode="External" /><Relationship Id="rId24" Type="http://schemas.openxmlformats.org/officeDocument/2006/relationships/hyperlink" Target="https://advance.lexis.com/api/document?collection=cases&amp;id=urn:contentItem:3RWW-9TW0-0038-X0G7-00000-00&amp;context=1519360" TargetMode="External" /><Relationship Id="rId25" Type="http://schemas.openxmlformats.org/officeDocument/2006/relationships/hyperlink" Target="https://advance.lexis.com/api/document?collection=cases&amp;id=urn:contentItem:5T6R-XVJ1-JP9P-G070-00000-00&amp;context=1519360" TargetMode="External" /><Relationship Id="rId26" Type="http://schemas.openxmlformats.org/officeDocument/2006/relationships/hyperlink" Target="https://advance.lexis.com/api/document?collection=cases&amp;id=urn:contentItem:3X6Y-XCM0-0038-X520-00000-00&amp;context=1519360" TargetMode="External" /><Relationship Id="rId27" Type="http://schemas.openxmlformats.org/officeDocument/2006/relationships/hyperlink" Target="https://advance.lexis.com/api/document?collection=cases&amp;id=urn:contentItem:622C-6Y91-F7ND-G4KH-00000-00&amp;context=1519360" TargetMode="External" /><Relationship Id="rId28" Type="http://schemas.openxmlformats.org/officeDocument/2006/relationships/hyperlink" Target="https://advance.lexis.com/api/document?collection=cases&amp;id=urn:contentItem:6657-38F1-DY33-B4H8-00000-00&amp;context=1519360" TargetMode="External" /><Relationship Id="rId29" Type="http://schemas.openxmlformats.org/officeDocument/2006/relationships/hyperlink" Target="https://advance.lexis.com/api/document?collection=statutes-legislation&amp;id=urn:contentItem:8SG9-5HW2-D6RV-H0VG-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2J-4281-JNY7-X01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hyperlink" Target="https://advance.lexis.com/api/document?collection=cases&amp;id=urn:contentItem:5GKT-7BH1-F04K-N17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Benavides v. United States, 2023 U.S. Dist. LEXIS 153051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Doc::urn:hlct:5|contextualFeaturePermID::1519360</vt:lpwstr>
  </property>
  <property fmtid="{D5CDD505-2E9C-101B-9397-08002B2CF9AE}" pid="5" name="UserPermID">
    <vt:lpwstr>urn:user:PA186186283</vt:lpwstr>
  </property>
</Properties>
</file>