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Matter of Legette v. Rodriguez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New York, Appellate Division, Third Department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2023, Decided; February 9, 2023, Entered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535428</w:t>
      </w:r>
    </w:p>
    <w:p>
      <w:pPr>
        <w:keepNext w:val="0"/>
        <w:spacing w:after="0" w:line="240" w:lineRule="atLeast"/>
        <w:ind w:right="0"/>
        <w:jc w:val="both"/>
      </w:pPr>
      <w:bookmarkStart w:id="0" w:name="Bookmark_6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213 A.D.3d 1066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183 N.Y.S.3d 202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N.Y. App. Div. LEXIS 712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NY Slip Op 00711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In the Matter of Tyahnjaii Legette, Petitioner, v Anthony Rodriguez, as Acting Director of Special Housing and Inmate Disciplinary Programs, Respondent.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Proceeding pursuant to CPLR article 78</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(transferred to this Court by order of the Supreme Court, entered in Albany County) to review a determination of the Acting Commissioner of Corrections and Community Supervision finding petitioner guilty of violating a prison disciplinary rule.</w:t>
      </w:r>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cell, correction officer, misbehavior, confidential information, possess a weapon, documentation, disciplinary, preserved, prompted, confirm, weapon</w:t>
      </w:r>
    </w:p>
    <w:p>
      <w:pPr>
        <w:keepNext/>
        <w:spacing w:before="240" w:after="0" w:line="340" w:lineRule="atLeast"/>
        <w:ind w:left="0" w:right="0" w:firstLine="0"/>
        <w:jc w:val="left"/>
      </w:pPr>
      <w:bookmarkStart w:id="5" w:name="Headnotes/Summary"/>
      <w:bookmarkEnd w:id="5"/>
      <w:r>
        <w:rPr>
          <w:rFonts w:ascii="arial" w:eastAsia="arial" w:hAnsi="arial" w:cs="arial"/>
          <w:b/>
          <w:i w:val="0"/>
          <w:strike w:val="0"/>
          <w:noProof w:val="0"/>
          <w:color w:val="000000"/>
          <w:position w:val="0"/>
          <w:sz w:val="28"/>
          <w:u w:val="none"/>
          <w:vertAlign w:val="baseline"/>
        </w:rPr>
        <w:t>Headnotes/Summary</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bookmarkStart w:id="6" w:name="Headnotes"/>
      <w:bookmarkEnd w:id="6"/>
      <w:r>
        <w:rPr>
          <w:rFonts w:ascii="arial" w:eastAsia="arial" w:hAnsi="arial" w:cs="arial"/>
          <w:b/>
          <w:i w:val="0"/>
          <w:strike w:val="0"/>
          <w:noProof w:val="0"/>
          <w:color w:val="000000"/>
          <w:position w:val="0"/>
          <w:sz w:val="20"/>
          <w:u w:val="none"/>
          <w:vertAlign w:val="baseline"/>
        </w:rPr>
        <w:t>Headnotes</w:t>
      </w:r>
    </w:p>
    <w:p>
      <w:pPr>
        <w:keepNext w:val="0"/>
        <w:spacing w:before="240" w:after="0" w:line="260" w:lineRule="atLeast"/>
        <w:ind w:left="0" w:right="0" w:firstLine="0"/>
        <w:jc w:val="both"/>
      </w:pPr>
      <w:bookmarkStart w:id="7" w:name="Bookmark_hnpara_1"/>
      <w:bookmarkEnd w:id="7"/>
      <w:r>
        <w:rPr>
          <w:rFonts w:ascii="arial" w:eastAsia="arial" w:hAnsi="arial" w:cs="arial"/>
          <w:b/>
          <w:i w:val="0"/>
          <w:strike w:val="0"/>
          <w:noProof w:val="0"/>
          <w:color w:val="000000"/>
          <w:position w:val="0"/>
          <w:sz w:val="20"/>
          <w:u w:val="none"/>
          <w:vertAlign w:val="baseline"/>
        </w:rPr>
        <w:t>Prisons and Prisoners — Discipline of Inmates — Possessing Weapon — Prisons and Prisoners — Discipline of Inmates — Denial of Irrelevant Documentary Evidence and Hearing Timely Completed</w:t>
      </w:r>
    </w:p>
    <w:p>
      <w:pPr>
        <w:keepNext w:val="0"/>
        <w:spacing w:before="240" w:after="0" w:line="260" w:lineRule="atLeast"/>
        <w:ind w:left="0" w:right="0" w:firstLine="0"/>
        <w:jc w:val="left"/>
      </w:pPr>
      <w:bookmarkStart w:id="8" w:name="Counsel"/>
      <w:bookmarkEnd w:id="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Tyahnjaii Legette, Auburn, petitioner, Pro 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Letitia James, Attorney General, Albany (Kate H. Nepveu of counsel), for respondent.</w:t>
      </w:r>
    </w:p>
    <w:p>
      <w:pPr>
        <w:keepNext w:val="0"/>
        <w:spacing w:before="240" w:after="0" w:line="260" w:lineRule="atLeast"/>
        <w:ind w:left="0" w:right="0" w:firstLine="0"/>
        <w:jc w:val="left"/>
      </w:pPr>
      <w:bookmarkStart w:id="9" w:name="Judges"/>
      <w:bookmarkEnd w:id="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Egan Jr., J.P., Lynch, Reynolds Fitzgerald, Ceresia and McShan, JJ. Egan Jr., J.P., Lynch, Reynolds Fitzgerald, Ceresia and McShan, JJ., concur.</w:t>
      </w:r>
    </w:p>
    <w:p>
      <w:pPr>
        <w:keepNext/>
        <w:spacing w:before="240" w:after="0" w:line="340" w:lineRule="atLeast"/>
        <w:ind w:left="0" w:right="0" w:firstLine="0"/>
        <w:jc w:val="left"/>
      </w:pPr>
      <w:bookmarkStart w:id="10" w:name="Opinion"/>
      <w:bookmarkEnd w:id="1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8"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11" w:name="Bookmark_para_2"/>
      <w:bookmarkEnd w:id="11"/>
      <w:r>
        <w:rPr>
          <w:rFonts w:ascii="arial" w:eastAsia="arial" w:hAnsi="arial" w:cs="arial"/>
          <w:b/>
          <w:i w:val="0"/>
          <w:strike w:val="0"/>
          <w:noProof w:val="0"/>
          <w:color w:val="000000"/>
          <w:position w:val="0"/>
          <w:sz w:val="20"/>
          <w:u w:val="none"/>
          <w:vertAlign w:val="baseline"/>
        </w:rPr>
        <w:t> [*1067]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[**203] </w:t>
      </w:r>
      <w:r>
        <w:rPr>
          <w:rFonts w:ascii="arial" w:eastAsia="arial" w:hAnsi="arial" w:cs="arial"/>
          <w:b w:val="0"/>
          <w:i w:val="0"/>
          <w:strike w:val="0"/>
          <w:noProof w:val="0"/>
          <w:color w:val="000000"/>
          <w:position w:val="0"/>
          <w:sz w:val="20"/>
          <w:u w:val="none"/>
          <w:vertAlign w:val="baseline"/>
        </w:rPr>
        <w:t xml:space="preserve"> Petitioner was charged in a misbehavior report with possessing a weapon and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According to the misbehavior report, when petitioner exited his cell to allow a cell search, a correction officer observed petitioner remove his hand from his pocket and drop an object on the floor, which was later identified as a nonmetallic ceramic razor blade weapon. Following a tier III disciplinary hearing, petitioner was found guilty of possessing a weapon and not guilty of the remaining charge. That determination was affirmed on administrative appeal, prompting this CPLR article 78 proceeding.</w:t>
      </w:r>
    </w:p>
    <w:p>
      <w:pPr>
        <w:keepNext w:val="0"/>
        <w:spacing w:before="240" w:after="0" w:line="260" w:lineRule="atLeast"/>
        <w:ind w:left="0" w:right="0" w:firstLine="0"/>
        <w:jc w:val="both"/>
      </w:pPr>
      <w:bookmarkStart w:id="12" w:name="Bookmark_para_3"/>
      <w:bookmarkEnd w:id="12"/>
      <w:bookmarkStart w:id="13" w:name="Bookmark_I67J4WCP28T4RF0020000400"/>
      <w:bookmarkEnd w:id="13"/>
      <w:bookmarkStart w:id="14" w:name="Bookmark_I67J4WCR2HM6X00010000400"/>
      <w:bookmarkEnd w:id="14"/>
      <w:r>
        <w:rPr>
          <w:rFonts w:ascii="arial" w:eastAsia="arial" w:hAnsi="arial" w:cs="arial"/>
          <w:b w:val="0"/>
          <w:i w:val="0"/>
          <w:strike w:val="0"/>
          <w:noProof w:val="0"/>
          <w:color w:val="000000"/>
          <w:position w:val="0"/>
          <w:sz w:val="20"/>
          <w:u w:val="none"/>
          <w:vertAlign w:val="baseline"/>
        </w:rPr>
        <w:t xml:space="preserve">We confirm. </w:t>
      </w:r>
      <w:bookmarkStart w:id="15" w:name="Bookmark_I67J4WCR2HM6X00030000400"/>
      <w:bookmarkEnd w:id="15"/>
      <w:r>
        <w:rPr>
          <w:rFonts w:ascii="arial" w:eastAsia="arial" w:hAnsi="arial" w:cs="arial"/>
          <w:b w:val="0"/>
          <w:i w:val="0"/>
          <w:strike w:val="0"/>
          <w:noProof w:val="0"/>
          <w:color w:val="000000"/>
          <w:position w:val="0"/>
          <w:sz w:val="20"/>
          <w:u w:val="none"/>
          <w:vertAlign w:val="baseline"/>
        </w:rPr>
        <w:t>Contrary to petitioner's contention, the misbehavior report, supporting</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documentation and testimony at the hearing provided substantial evidence to support the determination of guilt (</w:t>
      </w:r>
      <w:r>
        <w:rPr>
          <w:rFonts w:ascii="arial" w:eastAsia="arial" w:hAnsi="arial" w:cs="arial"/>
          <w:b w:val="0"/>
          <w:i/>
          <w:strike w:val="0"/>
          <w:noProof w:val="0"/>
          <w:color w:val="000000"/>
          <w:position w:val="0"/>
          <w:sz w:val="20"/>
          <w:u w:val="none"/>
          <w:vertAlign w:val="baseline"/>
        </w:rPr>
        <w:t xml:space="preserve">see </w:t>
      </w:r>
      <w:bookmarkStart w:id="16" w:name="Bookmark_I67J4WCP28T4RF0010000400"/>
      <w:bookmarkEnd w:id="16"/>
      <w:hyperlink r:id="rId9" w:history="1">
        <w:r>
          <w:rPr>
            <w:rFonts w:ascii="arial" w:eastAsia="arial" w:hAnsi="arial" w:cs="arial"/>
            <w:b w:val="0"/>
            <w:i/>
            <w:strike w:val="0"/>
            <w:noProof w:val="0"/>
            <w:color w:val="0077CC"/>
            <w:position w:val="0"/>
            <w:sz w:val="20"/>
            <w:u w:val="single"/>
            <w:vertAlign w:val="baseline"/>
          </w:rPr>
          <w:t>Matter of Ramos v Annucci</w:t>
        </w:r>
      </w:hyperlink>
      <w:hyperlink r:id="rId9" w:history="1">
        <w:r>
          <w:rPr>
            <w:rFonts w:ascii="arial" w:eastAsia="arial" w:hAnsi="arial" w:cs="arial"/>
            <w:b w:val="0"/>
            <w:i/>
            <w:strike w:val="0"/>
            <w:noProof w:val="0"/>
            <w:color w:val="0077CC"/>
            <w:position w:val="0"/>
            <w:sz w:val="20"/>
            <w:u w:val="single"/>
            <w:vertAlign w:val="baseline"/>
          </w:rPr>
          <w:t>, 203 AD3d 1370, 1370, 160 N.Y.S.3d 925 [3d Dept 2022]</w:t>
        </w:r>
      </w:hyperlink>
      <w:r>
        <w:rPr>
          <w:rFonts w:ascii="arial" w:eastAsia="arial" w:hAnsi="arial" w:cs="arial"/>
          <w:b w:val="0"/>
          <w:i w:val="0"/>
          <w:strike w:val="0"/>
          <w:noProof w:val="0"/>
          <w:color w:val="000000"/>
          <w:position w:val="0"/>
          <w:sz w:val="20"/>
          <w:u w:val="none"/>
          <w:vertAlign w:val="baseline"/>
        </w:rPr>
        <w:t xml:space="preserve">; </w:t>
      </w:r>
      <w:bookmarkStart w:id="17" w:name="Bookmark_I67J4WCP28T4RF0030000400"/>
      <w:bookmarkEnd w:id="17"/>
      <w:hyperlink r:id="rId10" w:history="1">
        <w:r>
          <w:rPr>
            <w:rFonts w:ascii="arial" w:eastAsia="arial" w:hAnsi="arial" w:cs="arial"/>
            <w:b w:val="0"/>
            <w:i/>
            <w:strike w:val="0"/>
            <w:noProof w:val="0"/>
            <w:color w:val="0077CC"/>
            <w:position w:val="0"/>
            <w:sz w:val="20"/>
            <w:u w:val="single"/>
            <w:vertAlign w:val="baseline"/>
          </w:rPr>
          <w:t>Matter of DeJesus v Mayes</w:t>
        </w:r>
      </w:hyperlink>
      <w:hyperlink r:id="rId10" w:history="1">
        <w:r>
          <w:rPr>
            <w:rFonts w:ascii="arial" w:eastAsia="arial" w:hAnsi="arial" w:cs="arial"/>
            <w:b w:val="0"/>
            <w:i/>
            <w:strike w:val="0"/>
            <w:noProof w:val="0"/>
            <w:color w:val="0077CC"/>
            <w:position w:val="0"/>
            <w:sz w:val="20"/>
            <w:u w:val="single"/>
            <w:vertAlign w:val="baseline"/>
          </w:rPr>
          <w:t>, 196 AD3d 992, 992, 148 N.Y.S.3d 406 [3d Dept 2021]</w:t>
        </w:r>
      </w:hyperlink>
      <w:r>
        <w:rPr>
          <w:rFonts w:ascii="arial" w:eastAsia="arial" w:hAnsi="arial" w:cs="arial"/>
          <w:b w:val="0"/>
          <w:i w:val="0"/>
          <w:strike w:val="0"/>
          <w:noProof w:val="0"/>
          <w:color w:val="000000"/>
          <w:position w:val="0"/>
          <w:sz w:val="20"/>
          <w:u w:val="none"/>
          <w:vertAlign w:val="baseline"/>
        </w:rPr>
        <w:t xml:space="preserve">). </w:t>
      </w:r>
      <w:bookmarkStart w:id="18" w:name="Bookmark_I67J4WCR2HM6X00050000400"/>
      <w:bookmarkEnd w:id="18"/>
      <w:r>
        <w:rPr>
          <w:rFonts w:ascii="arial" w:eastAsia="arial" w:hAnsi="arial" w:cs="arial"/>
          <w:b w:val="0"/>
          <w:i w:val="0"/>
          <w:strike w:val="0"/>
          <w:noProof w:val="0"/>
          <w:color w:val="000000"/>
          <w:position w:val="0"/>
          <w:sz w:val="20"/>
          <w:u w:val="none"/>
          <w:vertAlign w:val="baseline"/>
        </w:rPr>
        <w:t>Any alleged inconsistencies in the testimony of the correction officers regarding the search of petitioner's cell presented a credibility issue for the Hearing Officer to resolve (</w:t>
      </w:r>
      <w:r>
        <w:rPr>
          <w:rFonts w:ascii="arial" w:eastAsia="arial" w:hAnsi="arial" w:cs="arial"/>
          <w:b w:val="0"/>
          <w:i/>
          <w:strike w:val="0"/>
          <w:noProof w:val="0"/>
          <w:color w:val="000000"/>
          <w:position w:val="0"/>
          <w:sz w:val="20"/>
          <w:u w:val="none"/>
          <w:vertAlign w:val="baseline"/>
        </w:rPr>
        <w:t xml:space="preserve">see </w:t>
      </w:r>
      <w:bookmarkStart w:id="19" w:name="Bookmark_I67J4WCP28T4RF0050000400"/>
      <w:bookmarkEnd w:id="19"/>
      <w:hyperlink r:id="rId11" w:history="1">
        <w:r>
          <w:rPr>
            <w:rFonts w:ascii="arial" w:eastAsia="arial" w:hAnsi="arial" w:cs="arial"/>
            <w:b w:val="0"/>
            <w:i/>
            <w:strike w:val="0"/>
            <w:noProof w:val="0"/>
            <w:color w:val="0077CC"/>
            <w:position w:val="0"/>
            <w:sz w:val="20"/>
            <w:u w:val="single"/>
            <w:vertAlign w:val="baseline"/>
          </w:rPr>
          <w:t>Matter of Lightner v Venettozzi</w:t>
        </w:r>
      </w:hyperlink>
      <w:hyperlink r:id="rId11" w:history="1">
        <w:r>
          <w:rPr>
            <w:rFonts w:ascii="arial" w:eastAsia="arial" w:hAnsi="arial" w:cs="arial"/>
            <w:b w:val="0"/>
            <w:i/>
            <w:strike w:val="0"/>
            <w:noProof w:val="0"/>
            <w:color w:val="0077CC"/>
            <w:position w:val="0"/>
            <w:sz w:val="20"/>
            <w:u w:val="single"/>
            <w:vertAlign w:val="baseline"/>
          </w:rPr>
          <w:t>, 197 AD3d 1448, 1449, 151 N.Y.S.3d 909 [3d Dept 2021]</w:t>
        </w:r>
      </w:hyperlink>
      <w:r>
        <w:rPr>
          <w:rFonts w:ascii="arial" w:eastAsia="arial" w:hAnsi="arial" w:cs="arial"/>
          <w:b w:val="0"/>
          <w:i w:val="0"/>
          <w:strike w:val="0"/>
          <w:noProof w:val="0"/>
          <w:color w:val="000000"/>
          <w:position w:val="0"/>
          <w:sz w:val="20"/>
          <w:u w:val="none"/>
          <w:vertAlign w:val="baseline"/>
        </w:rPr>
        <w:t xml:space="preserve">). </w:t>
      </w:r>
      <w:bookmarkStart w:id="20" w:name="Bookmark_I67J4WCR2HM6X00050000400_2"/>
      <w:bookmarkEnd w:id="20"/>
      <w:bookmarkStart w:id="21" w:name="Bookmark_I67J4WCR2HM6X00030000400_2"/>
      <w:bookmarkEnd w:id="21"/>
      <w:r>
        <w:rPr>
          <w:rFonts w:ascii="arial" w:eastAsia="arial" w:hAnsi="arial" w:cs="arial"/>
          <w:b w:val="0"/>
          <w:i w:val="0"/>
          <w:strike w:val="0"/>
          <w:noProof w:val="0"/>
          <w:color w:val="000000"/>
          <w:position w:val="0"/>
          <w:sz w:val="20"/>
          <w:u w:val="none"/>
          <w:vertAlign w:val="baseline"/>
        </w:rPr>
        <w:t xml:space="preserve">Petitioner's </w:t>
      </w:r>
      <w:r>
        <w:rPr>
          <w:rFonts w:ascii="arial" w:eastAsia="arial" w:hAnsi="arial" w:cs="arial"/>
          <w:b/>
          <w:i w:val="0"/>
          <w:strike w:val="0"/>
          <w:noProof w:val="0"/>
          <w:color w:val="000000"/>
          <w:position w:val="0"/>
          <w:sz w:val="20"/>
          <w:u w:val="none"/>
          <w:vertAlign w:val="baseline"/>
        </w:rPr>
        <w:t> [**204] </w:t>
      </w:r>
      <w:r>
        <w:rPr>
          <w:rFonts w:ascii="arial" w:eastAsia="arial" w:hAnsi="arial" w:cs="arial"/>
          <w:b w:val="0"/>
          <w:i w:val="0"/>
          <w:strike w:val="0"/>
          <w:noProof w:val="0"/>
          <w:color w:val="000000"/>
          <w:position w:val="0"/>
          <w:sz w:val="20"/>
          <w:u w:val="none"/>
          <w:vertAlign w:val="baseline"/>
        </w:rPr>
        <w:t xml:space="preserve"> assertion that the Hearing Officer failed to assess the confidential information that led to the search of his cell is not preserved as petitioner failed to raise this issue at the hearing (</w:t>
      </w:r>
      <w:r>
        <w:rPr>
          <w:rFonts w:ascii="arial" w:eastAsia="arial" w:hAnsi="arial" w:cs="arial"/>
          <w:b w:val="0"/>
          <w:i/>
          <w:strike w:val="0"/>
          <w:noProof w:val="0"/>
          <w:color w:val="000000"/>
          <w:position w:val="0"/>
          <w:sz w:val="20"/>
          <w:u w:val="none"/>
          <w:vertAlign w:val="baseline"/>
        </w:rPr>
        <w:t xml:space="preserve">see </w:t>
      </w:r>
      <w:bookmarkStart w:id="22" w:name="Bookmark_I67J4WCR2HM6X00020000400"/>
      <w:bookmarkEnd w:id="22"/>
      <w:hyperlink r:id="rId12" w:history="1">
        <w:r>
          <w:rPr>
            <w:rFonts w:ascii="arial" w:eastAsia="arial" w:hAnsi="arial" w:cs="arial"/>
            <w:b w:val="0"/>
            <w:i/>
            <w:strike w:val="0"/>
            <w:noProof w:val="0"/>
            <w:color w:val="0077CC"/>
            <w:position w:val="0"/>
            <w:sz w:val="20"/>
            <w:u w:val="single"/>
            <w:vertAlign w:val="baseline"/>
          </w:rPr>
          <w:t>Matter of Matthews v Annucci</w:t>
        </w:r>
      </w:hyperlink>
      <w:hyperlink r:id="rId12" w:history="1">
        <w:r>
          <w:rPr>
            <w:rFonts w:ascii="arial" w:eastAsia="arial" w:hAnsi="arial" w:cs="arial"/>
            <w:b w:val="0"/>
            <w:i/>
            <w:strike w:val="0"/>
            <w:noProof w:val="0"/>
            <w:color w:val="0077CC"/>
            <w:position w:val="0"/>
            <w:sz w:val="20"/>
            <w:u w:val="single"/>
            <w:vertAlign w:val="baseline"/>
          </w:rPr>
          <w:t>, 162 AD3d 1432, 1434, 81 N.Y.S.3d 247 [3d Dept 2018]</w:t>
        </w:r>
      </w:hyperlink>
      <w:r>
        <w:rPr>
          <w:rFonts w:ascii="arial" w:eastAsia="arial" w:hAnsi="arial" w:cs="arial"/>
          <w:b w:val="0"/>
          <w:i w:val="0"/>
          <w:strike w:val="0"/>
          <w:noProof w:val="0"/>
          <w:color w:val="000000"/>
          <w:position w:val="0"/>
          <w:sz w:val="20"/>
          <w:u w:val="none"/>
          <w:vertAlign w:val="baseline"/>
        </w:rPr>
        <w:t>). In any event, no confidential information was relied on by the Hearing Officer in reaching the determination (</w:t>
      </w:r>
      <w:r>
        <w:rPr>
          <w:rFonts w:ascii="arial" w:eastAsia="arial" w:hAnsi="arial" w:cs="arial"/>
          <w:b w:val="0"/>
          <w:i/>
          <w:strike w:val="0"/>
          <w:noProof w:val="0"/>
          <w:color w:val="000000"/>
          <w:position w:val="0"/>
          <w:sz w:val="20"/>
          <w:u w:val="none"/>
          <w:vertAlign w:val="baseline"/>
        </w:rPr>
        <w:t xml:space="preserve">see </w:t>
      </w:r>
      <w:bookmarkStart w:id="23" w:name="Bookmark_I67J4WCR2HM6X00040000400"/>
      <w:bookmarkEnd w:id="23"/>
      <w:hyperlink r:id="rId13" w:history="1">
        <w:r>
          <w:rPr>
            <w:rFonts w:ascii="arial" w:eastAsia="arial" w:hAnsi="arial" w:cs="arial"/>
            <w:b w:val="0"/>
            <w:i/>
            <w:strike w:val="0"/>
            <w:noProof w:val="0"/>
            <w:color w:val="0077CC"/>
            <w:position w:val="0"/>
            <w:sz w:val="20"/>
            <w:u w:val="single"/>
            <w:vertAlign w:val="baseline"/>
          </w:rPr>
          <w:t>Matter of Rodari v Venettozzi</w:t>
        </w:r>
      </w:hyperlink>
      <w:hyperlink r:id="rId13" w:history="1">
        <w:r>
          <w:rPr>
            <w:rFonts w:ascii="arial" w:eastAsia="arial" w:hAnsi="arial" w:cs="arial"/>
            <w:b w:val="0"/>
            <w:i/>
            <w:strike w:val="0"/>
            <w:noProof w:val="0"/>
            <w:color w:val="0077CC"/>
            <w:position w:val="0"/>
            <w:sz w:val="20"/>
            <w:u w:val="single"/>
            <w:vertAlign w:val="baseline"/>
          </w:rPr>
          <w:t>, 186 AD3d 1860, 1861, 129 N.Y.S.3d 359 [3d Dept 2020]</w:t>
        </w:r>
      </w:hyperlink>
      <w:r>
        <w:rPr>
          <w:rFonts w:ascii="arial" w:eastAsia="arial" w:hAnsi="arial" w:cs="arial"/>
          <w:b w:val="0"/>
          <w:i w:val="0"/>
          <w:strike w:val="0"/>
          <w:noProof w:val="0"/>
          <w:color w:val="000000"/>
          <w:position w:val="0"/>
          <w:sz w:val="20"/>
          <w:u w:val="none"/>
          <w:vertAlign w:val="baseline"/>
        </w:rPr>
        <w:t xml:space="preserve">) and any information that prompted the search of petitioner's cell was irrelevant to whether he possessed a weapon (see </w:t>
      </w:r>
      <w:bookmarkStart w:id="24" w:name="Bookmark_I67J4WCS2D6NX80010000400"/>
      <w:bookmarkEnd w:id="24"/>
      <w:hyperlink r:id="rId14" w:history="1">
        <w:r>
          <w:rPr>
            <w:rFonts w:ascii="arial" w:eastAsia="arial" w:hAnsi="arial" w:cs="arial"/>
            <w:b w:val="0"/>
            <w:i/>
            <w:strike w:val="0"/>
            <w:noProof w:val="0"/>
            <w:color w:val="0077CC"/>
            <w:position w:val="0"/>
            <w:sz w:val="20"/>
            <w:u w:val="single"/>
            <w:vertAlign w:val="baseline"/>
          </w:rPr>
          <w:t>Matter of Wright v Annucci</w:t>
        </w:r>
      </w:hyperlink>
      <w:hyperlink r:id="rId14" w:history="1">
        <w:r>
          <w:rPr>
            <w:rFonts w:ascii="arial" w:eastAsia="arial" w:hAnsi="arial" w:cs="arial"/>
            <w:b w:val="0"/>
            <w:i/>
            <w:strike w:val="0"/>
            <w:noProof w:val="0"/>
            <w:color w:val="0077CC"/>
            <w:position w:val="0"/>
            <w:sz w:val="20"/>
            <w:u w:val="single"/>
            <w:vertAlign w:val="baseline"/>
          </w:rPr>
          <w:t>, 190 AD3d 1249, 1250, 136 N.Y.S.3d 814 [3d Dept 2021]</w:t>
        </w:r>
      </w:hyperlink>
      <w:r>
        <w:rPr>
          <w:rFonts w:ascii="arial" w:eastAsia="arial" w:hAnsi="arial" w:cs="arial"/>
          <w:b w:val="0"/>
          <w:i w:val="0"/>
          <w:strike w:val="0"/>
          <w:noProof w:val="0"/>
          <w:color w:val="000000"/>
          <w:position w:val="0"/>
          <w:sz w:val="20"/>
          <w:u w:val="none"/>
          <w:vertAlign w:val="baseline"/>
        </w:rPr>
        <w:t xml:space="preserve">; </w:t>
      </w:r>
      <w:bookmarkStart w:id="25" w:name="Bookmark_I67J4WCS2D6NX80030000400"/>
      <w:bookmarkEnd w:id="25"/>
      <w:hyperlink r:id="rId15" w:history="1">
        <w:r>
          <w:rPr>
            <w:rFonts w:ascii="arial" w:eastAsia="arial" w:hAnsi="arial" w:cs="arial"/>
            <w:b w:val="0"/>
            <w:i/>
            <w:strike w:val="0"/>
            <w:noProof w:val="0"/>
            <w:color w:val="0077CC"/>
            <w:position w:val="0"/>
            <w:sz w:val="20"/>
            <w:u w:val="single"/>
            <w:vertAlign w:val="baseline"/>
          </w:rPr>
          <w:t>Matter of Bonds v Annucci</w:t>
        </w:r>
      </w:hyperlink>
      <w:hyperlink r:id="rId15" w:history="1">
        <w:r>
          <w:rPr>
            <w:rFonts w:ascii="arial" w:eastAsia="arial" w:hAnsi="arial" w:cs="arial"/>
            <w:b w:val="0"/>
            <w:i/>
            <w:strike w:val="0"/>
            <w:noProof w:val="0"/>
            <w:color w:val="0077CC"/>
            <w:position w:val="0"/>
            <w:sz w:val="20"/>
            <w:u w:val="single"/>
            <w:vertAlign w:val="baseline"/>
          </w:rPr>
          <w:t>, 166 AD3d 1250, 1251, 89 N.Y.S.3d 730 [3d Dept 2018]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 w:name="Bookmark_para_4"/>
      <w:bookmarkEnd w:id="26"/>
      <w:bookmarkStart w:id="27" w:name="Bookmark_I67J4WCS2N1R3P0010000400"/>
      <w:bookmarkEnd w:id="27"/>
      <w:bookmarkStart w:id="28" w:name="Bookmark_I67J4WCS2N1R3P0030000400"/>
      <w:bookmarkEnd w:id="28"/>
      <w:r>
        <w:rPr>
          <w:rFonts w:ascii="arial" w:eastAsia="arial" w:hAnsi="arial" w:cs="arial"/>
          <w:b w:val="0"/>
          <w:i w:val="0"/>
          <w:strike w:val="0"/>
          <w:noProof w:val="0"/>
          <w:color w:val="000000"/>
          <w:position w:val="0"/>
          <w:sz w:val="20"/>
          <w:u w:val="none"/>
          <w:vertAlign w:val="baseline"/>
        </w:rPr>
        <w:t xml:space="preserve">Turning to petitioner's procedural objections, we are unpersuaded that petitioner was improperly denied documentary evidence. </w:t>
      </w:r>
      <w:bookmarkStart w:id="29" w:name="Bookmark_I67J4WCS2N1R3P0050000400"/>
      <w:bookmarkEnd w:id="29"/>
      <w:r>
        <w:rPr>
          <w:rFonts w:ascii="arial" w:eastAsia="arial" w:hAnsi="arial" w:cs="arial"/>
          <w:b w:val="0"/>
          <w:i w:val="0"/>
          <w:strike w:val="0"/>
          <w:noProof w:val="0"/>
          <w:color w:val="000000"/>
          <w:position w:val="0"/>
          <w:sz w:val="20"/>
          <w:u w:val="none"/>
          <w:vertAlign w:val="baseline"/>
        </w:rPr>
        <w:t xml:space="preserve">The record reflects that the documents requested — including the disciplinary record of the correction officers involved and the Hearing Officer, the Department of Corrections and Community Supervision employee handbook and the </w:t>
      </w:r>
      <w:r>
        <w:rPr>
          <w:rFonts w:ascii="arial" w:eastAsia="arial" w:hAnsi="arial" w:cs="arial"/>
          <w:b/>
          <w:i w:val="0"/>
          <w:strike w:val="0"/>
          <w:noProof w:val="0"/>
          <w:color w:val="000000"/>
          <w:position w:val="0"/>
          <w:sz w:val="20"/>
          <w:u w:val="none"/>
          <w:vertAlign w:val="baseline"/>
        </w:rPr>
        <w:t> [*1068] </w:t>
      </w:r>
      <w:r>
        <w:rPr>
          <w:rFonts w:ascii="arial" w:eastAsia="arial" w:hAnsi="arial" w:cs="arial"/>
          <w:b w:val="0"/>
          <w:i w:val="0"/>
          <w:strike w:val="0"/>
          <w:noProof w:val="0"/>
          <w:color w:val="000000"/>
          <w:position w:val="0"/>
          <w:sz w:val="20"/>
          <w:u w:val="none"/>
          <w:vertAlign w:val="baseline"/>
        </w:rPr>
        <w:t xml:space="preserve"> Hearing Officer's Reference Book — were not relevant to the charges (</w:t>
      </w:r>
      <w:r>
        <w:rPr>
          <w:rFonts w:ascii="arial" w:eastAsia="arial" w:hAnsi="arial" w:cs="arial"/>
          <w:b w:val="0"/>
          <w:i/>
          <w:strike w:val="0"/>
          <w:noProof w:val="0"/>
          <w:color w:val="000000"/>
          <w:position w:val="0"/>
          <w:sz w:val="20"/>
          <w:u w:val="none"/>
          <w:vertAlign w:val="baseline"/>
        </w:rPr>
        <w:t xml:space="preserve">see </w:t>
      </w:r>
      <w:bookmarkStart w:id="30" w:name="Bookmark_I67J4WCS2D6NX80050000400"/>
      <w:bookmarkEnd w:id="30"/>
      <w:r>
        <w:rPr>
          <w:rFonts w:ascii="arial" w:eastAsia="arial" w:hAnsi="arial" w:cs="arial"/>
          <w:b w:val="0"/>
          <w:i/>
          <w:strike w:val="0"/>
          <w:noProof w:val="0"/>
          <w:color w:val="000000"/>
          <w:position w:val="0"/>
          <w:sz w:val="20"/>
          <w:u w:val="none"/>
          <w:vertAlign w:val="baseline"/>
        </w:rPr>
        <w:t>Matter of Loret v Venettozzi</w:t>
      </w:r>
      <w:r>
        <w:rPr>
          <w:rFonts w:ascii="arial" w:eastAsia="arial" w:hAnsi="arial" w:cs="arial"/>
          <w:b w:val="0"/>
          <w:i/>
          <w:strike w:val="0"/>
          <w:noProof w:val="0"/>
          <w:color w:val="000000"/>
          <w:position w:val="0"/>
          <w:sz w:val="20"/>
          <w:u w:val="none"/>
          <w:vertAlign w:val="baseline"/>
        </w:rPr>
        <w:t>, 205 AD3d 1171, 1172 [3d Dept 2022]</w:t>
      </w:r>
      <w:r>
        <w:rPr>
          <w:rFonts w:ascii="arial" w:eastAsia="arial" w:hAnsi="arial" w:cs="arial"/>
          <w:b w:val="0"/>
          <w:i w:val="0"/>
          <w:strike w:val="0"/>
          <w:noProof w:val="0"/>
          <w:color w:val="000000"/>
          <w:position w:val="0"/>
          <w:sz w:val="20"/>
          <w:u w:val="none"/>
          <w:vertAlign w:val="baseline"/>
        </w:rPr>
        <w:t>). To the extent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that petitioner asserts that the hearing was not completed in a timely manner because the extension was not approved until after the expiration of a previous extension, "[t]he regulatory time requirements are directory, not mandatory, and petitioner has not demonstrated that he was prejudiced by the short delay in obtaining the </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extension" (</w:t>
      </w:r>
      <w:bookmarkStart w:id="31" w:name="Bookmark_I67J4WCS2N1R3P0020000400"/>
      <w:bookmarkEnd w:id="31"/>
      <w:hyperlink r:id="rId16" w:history="1">
        <w:r>
          <w:rPr>
            <w:rFonts w:ascii="arial" w:eastAsia="arial" w:hAnsi="arial" w:cs="arial"/>
            <w:b w:val="0"/>
            <w:i/>
            <w:strike w:val="0"/>
            <w:noProof w:val="0"/>
            <w:color w:val="0077CC"/>
            <w:position w:val="0"/>
            <w:sz w:val="20"/>
            <w:u w:val="single"/>
            <w:vertAlign w:val="baseline"/>
          </w:rPr>
          <w:t>Matter of Black v Annucci</w:t>
        </w:r>
      </w:hyperlink>
      <w:hyperlink r:id="rId16" w:history="1">
        <w:r>
          <w:rPr>
            <w:rFonts w:ascii="arial" w:eastAsia="arial" w:hAnsi="arial" w:cs="arial"/>
            <w:b w:val="0"/>
            <w:i/>
            <w:strike w:val="0"/>
            <w:noProof w:val="0"/>
            <w:color w:val="0077CC"/>
            <w:position w:val="0"/>
            <w:sz w:val="20"/>
            <w:u w:val="single"/>
            <w:vertAlign w:val="baseline"/>
          </w:rPr>
          <w:t>, 197 AD3d 1446, 1447, 151 N.Y.S.3d 916 [3d Dept 2021]</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w:t>
      </w:r>
      <w:bookmarkStart w:id="32" w:name="Bookmark_I67J4WCS2N1R3P0050000400_2"/>
      <w:bookmarkEnd w:id="32"/>
      <w:r>
        <w:rPr>
          <w:rFonts w:ascii="arial" w:eastAsia="arial" w:hAnsi="arial" w:cs="arial"/>
          <w:b w:val="0"/>
          <w:i w:val="0"/>
          <w:strike w:val="0"/>
          <w:noProof w:val="0"/>
          <w:color w:val="000000"/>
          <w:position w:val="0"/>
          <w:sz w:val="20"/>
          <w:u w:val="none"/>
          <w:vertAlign w:val="baseline"/>
        </w:rPr>
        <w:t>Petitioner's remaining contention — that the Hearing Officer was biased — is not preserved for our review as he did not raise that on administrative review (</w:t>
      </w:r>
      <w:r>
        <w:rPr>
          <w:rFonts w:ascii="arial" w:eastAsia="arial" w:hAnsi="arial" w:cs="arial"/>
          <w:b w:val="0"/>
          <w:i/>
          <w:strike w:val="0"/>
          <w:noProof w:val="0"/>
          <w:color w:val="000000"/>
          <w:position w:val="0"/>
          <w:sz w:val="20"/>
          <w:u w:val="none"/>
          <w:vertAlign w:val="baseline"/>
        </w:rPr>
        <w:t xml:space="preserve">see </w:t>
      </w:r>
      <w:bookmarkStart w:id="33" w:name="Bookmark_I67J4WCS2N1R3P0040000400"/>
      <w:bookmarkEnd w:id="33"/>
      <w:hyperlink r:id="rId17" w:history="1">
        <w:r>
          <w:rPr>
            <w:rFonts w:ascii="arial" w:eastAsia="arial" w:hAnsi="arial" w:cs="arial"/>
            <w:b w:val="0"/>
            <w:i/>
            <w:strike w:val="0"/>
            <w:noProof w:val="0"/>
            <w:color w:val="0077CC"/>
            <w:position w:val="0"/>
            <w:sz w:val="20"/>
            <w:u w:val="single"/>
            <w:vertAlign w:val="baseline"/>
          </w:rPr>
          <w:t>Matter of Spirles v Laramay</w:t>
        </w:r>
      </w:hyperlink>
      <w:hyperlink r:id="rId17" w:history="1">
        <w:r>
          <w:rPr>
            <w:rFonts w:ascii="arial" w:eastAsia="arial" w:hAnsi="arial" w:cs="arial"/>
            <w:b w:val="0"/>
            <w:i/>
            <w:strike w:val="0"/>
            <w:noProof w:val="0"/>
            <w:color w:val="0077CC"/>
            <w:position w:val="0"/>
            <w:sz w:val="20"/>
            <w:u w:val="single"/>
            <w:vertAlign w:val="baseline"/>
          </w:rPr>
          <w:t>, 137 AD3d 1400, 1400, 26 N.Y.S.3d 489 [3d Dept 2016]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lv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27 NY3d 907 [2016]</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4" w:name="Bookmark_para_5"/>
      <w:bookmarkEnd w:id="34"/>
      <w:r>
        <w:rPr>
          <w:rFonts w:ascii="arial" w:eastAsia="arial" w:hAnsi="arial" w:cs="arial"/>
          <w:b w:val="0"/>
          <w:i w:val="0"/>
          <w:strike w:val="0"/>
          <w:noProof w:val="0"/>
          <w:color w:val="000000"/>
          <w:position w:val="0"/>
          <w:sz w:val="20"/>
          <w:u w:val="none"/>
          <w:vertAlign w:val="baseline"/>
        </w:rPr>
        <w:t>Egan Jr., J.P., Lynch, Reynolds Fitzgerald, Ceresia and McShan, JJ., concur.</w:t>
      </w:r>
    </w:p>
    <w:p>
      <w:pPr>
        <w:keepNext w:val="0"/>
        <w:spacing w:before="200" w:after="0" w:line="260" w:lineRule="atLeast"/>
        <w:ind w:left="0" w:right="0" w:firstLine="0"/>
        <w:jc w:val="both"/>
      </w:pPr>
      <w:bookmarkStart w:id="35" w:name="Bookmark_para_6"/>
      <w:bookmarkEnd w:id="35"/>
      <w:r>
        <w:rPr>
          <w:rFonts w:ascii="arial" w:eastAsia="arial" w:hAnsi="arial" w:cs="arial"/>
          <w:b w:val="0"/>
          <w:i w:val="0"/>
          <w:strike w:val="0"/>
          <w:noProof w:val="0"/>
          <w:color w:val="000000"/>
          <w:position w:val="0"/>
          <w:sz w:val="20"/>
          <w:u w:val="none"/>
          <w:vertAlign w:val="baseline"/>
        </w:rPr>
        <w:t>ADJUDGED that the determination is confirmed, without costs, and petition dismissed.</w:t>
      </w:r>
    </w:p>
    <w:p/>
    <w:p>
      <w:pPr>
        <w:ind w:left="200"/>
      </w:pPr>
      <w:r>
        <w:br/>
      </w:r>
      <w:r>
        <w:pict>
          <v:line id="_x0000_s102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Matter of Legette v. Rodriguez, 213 A.D.3d 1066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amp;id=urn:contentItem:636F-0YY1-FCSB-S47S-00000-00&amp;context=1519360" TargetMode="External" /><Relationship Id="rId11" Type="http://schemas.openxmlformats.org/officeDocument/2006/relationships/hyperlink" Target="https://advance.lexis.com/api/document?collection=cases&amp;id=urn:contentItem:63NW-5J21-JN14-G2PX-00000-00&amp;context=1519360" TargetMode="External" /><Relationship Id="rId12" Type="http://schemas.openxmlformats.org/officeDocument/2006/relationships/hyperlink" Target="https://advance.lexis.com/api/document?collection=cases&amp;id=urn:contentItem:5SNK-TVC1-JWXF-219P-00000-00&amp;context=1519360" TargetMode="External" /><Relationship Id="rId13" Type="http://schemas.openxmlformats.org/officeDocument/2006/relationships/hyperlink" Target="https://advance.lexis.com/api/document?collection=cases&amp;id=urn:contentItem:60X7-Y8W1-F900-G4R5-00000-00&amp;context=1519360" TargetMode="External" /><Relationship Id="rId14" Type="http://schemas.openxmlformats.org/officeDocument/2006/relationships/hyperlink" Target="https://advance.lexis.com/api/document?collection=cases&amp;id=urn:contentItem:61W4-8DP1-K054-G00C-00000-00&amp;context=1519360" TargetMode="External" /><Relationship Id="rId15" Type="http://schemas.openxmlformats.org/officeDocument/2006/relationships/hyperlink" Target="https://advance.lexis.com/api/document?collection=cases&amp;id=urn:contentItem:5TRF-X5N1-F5T5-M36Y-00000-00&amp;context=1519360" TargetMode="External" /><Relationship Id="rId16" Type="http://schemas.openxmlformats.org/officeDocument/2006/relationships/hyperlink" Target="https://advance.lexis.com/api/document?collection=cases&amp;id=urn:contentItem:63NW-5J21-JN14-G2R4-00000-00&amp;context=1519360" TargetMode="External" /><Relationship Id="rId17" Type="http://schemas.openxmlformats.org/officeDocument/2006/relationships/hyperlink" Target="https://advance.lexis.com/api/document?collection=cases&amp;id=urn:contentItem:5J8G-G551-F04J-7485-00000-00&amp;context=1519360"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7HC-1431-F4NT-X01T-00000-00&amp;context=1519360" TargetMode="External" /><Relationship Id="rId9" Type="http://schemas.openxmlformats.org/officeDocument/2006/relationships/hyperlink" Target="https://advance.lexis.com/api/document?collection=cases&amp;id=urn:contentItem:64YP-S5K1-F57G-S44X-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Matter of Legette v. Rodriguez, 213 A.D.3d 1066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69</vt:lpwstr>
  </property>
  <property fmtid="{D5CDD505-2E9C-101B-9397-08002B2CF9AE}" pid="3" name="LADocCount">
    <vt:lpwstr>1</vt:lpwstr>
  </property>
  <property fmtid="{D5CDD505-2E9C-101B-9397-08002B2CF9AE}" pid="4" name="LADocumentID:69">
    <vt:lpwstr>Doc::urn:hlct:5|contextualFeaturePermID::1519360</vt:lpwstr>
  </property>
  <property fmtid="{D5CDD505-2E9C-101B-9397-08002B2CF9AE}" pid="5" name="UserPermID">
    <vt:lpwstr>urn:user:PA186186283</vt:lpwstr>
  </property>
</Properties>
</file>