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De La Cruz Vela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Fifth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7,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22-40402</w:t>
      </w:r>
    </w:p>
    <w:p>
      <w:pPr>
        <w:keepNext w:val="0"/>
        <w:spacing w:after="0" w:line="240" w:lineRule="atLeast"/>
        <w:ind w:right="0"/>
        <w:jc w:val="both"/>
      </w:pPr>
      <w:bookmarkStart w:id="0" w:name="Bookmark_17"/>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App. LEXIS 23778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5803716</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Plaintiff—Appellee, versus ALFREDO DE LA CRUZ VELA, Defendant—Appellant.</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 xml:space="preserve">PLEASE REFER TO </w:t>
      </w:r>
      <w:r>
        <w:rPr>
          <w:rFonts w:ascii="arial" w:eastAsia="arial" w:hAnsi="arial" w:cs="arial"/>
          <w:b w:val="0"/>
          <w:i/>
          <w:strike w:val="0"/>
          <w:noProof w:val="0"/>
          <w:color w:val="000000"/>
          <w:position w:val="0"/>
          <w:sz w:val="20"/>
          <w:u w:val="none"/>
          <w:vertAlign w:val="baseline"/>
        </w:rPr>
        <w:t>FEDERAL RULES OF APPELLATE PROCEDURE RULE 32.1</w:t>
      </w:r>
      <w:r>
        <w:rPr>
          <w:rFonts w:ascii="arial" w:eastAsia="arial" w:hAnsi="arial" w:cs="arial"/>
          <w:b w:val="0"/>
          <w:i w:val="0"/>
          <w:strike w:val="0"/>
          <w:noProof w:val="0"/>
          <w:color w:val="000000"/>
          <w:position w:val="0"/>
          <w:sz w:val="20"/>
          <w:u w:val="none"/>
          <w:vertAlign w:val="baseline"/>
        </w:rPr>
        <w:t xml:space="preserve"> GOVERNING THE CITATION TO UNPUBLISHED OPINIONS.</w:t>
      </w:r>
    </w:p>
    <w:p>
      <w:pPr>
        <w:keepNext w:val="0"/>
        <w:spacing w:before="240" w:after="0" w:line="260" w:lineRule="atLeast"/>
        <w:ind w:left="0" w:right="0" w:firstLine="0"/>
        <w:jc w:val="both"/>
      </w:pPr>
      <w:bookmarkStart w:id="4" w:name="Prior History"/>
      <w:bookmarkEnd w:id="4"/>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5" w:name="Bookmark_para_2"/>
      <w:bookmarkEnd w:id="5"/>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the United States District Court for the Southern District of Texas. USDC No. 1:21-CR-308-1.</w:t>
      </w:r>
    </w:p>
    <w:p>
      <w:pPr>
        <w:keepNext/>
        <w:spacing w:before="240" w:after="0" w:line="340" w:lineRule="atLeast"/>
        <w:ind w:left="0" w:right="0" w:firstLine="0"/>
        <w:jc w:val="left"/>
      </w:pPr>
      <w:bookmarkStart w:id="6" w:name="Core Terms"/>
      <w:bookmarkEnd w:id="6"/>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sentence, district court, enhancement, narcotics, Guidelines, quotation, marks, clear error, distribute, organizer, leader, significant weight, factual findings, firm conviction, per curiam, calculated,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transport, definite, indicia, bears, rebut</w:t>
      </w:r>
    </w:p>
    <w:p>
      <w:pPr>
        <w:keepNext w:val="0"/>
        <w:spacing w:before="240" w:after="0" w:line="260" w:lineRule="atLeast"/>
        <w:ind w:left="0" w:right="0" w:firstLine="0"/>
        <w:jc w:val="left"/>
      </w:pPr>
      <w:bookmarkStart w:id="7" w:name="Counsel"/>
      <w:bookmarkEnd w:id="7"/>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United States of America, Plaintiff - Appellee: Audrey Lynn Maness, Carmen Castillo Mitchell, Assistant U.S. Attorney, U.S. Attorney's Office, Houston,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Alfredo De La Cruz Vela, Defendant - Appellant: Athill Athelstan Muhammad, Houston, TX.</w:t>
      </w:r>
    </w:p>
    <w:p>
      <w:pPr>
        <w:keepNext w:val="0"/>
        <w:spacing w:before="240" w:after="0" w:line="260" w:lineRule="atLeast"/>
        <w:ind w:left="0" w:right="0" w:firstLine="0"/>
        <w:jc w:val="left"/>
      </w:pPr>
      <w:bookmarkStart w:id="8" w:name="Judges"/>
      <w:bookmarkEnd w:id="8"/>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ENGELHARDT, WILLETT, and OLDHAM, Circuit Judges.</w:t>
      </w:r>
    </w:p>
    <w:p>
      <w:pPr>
        <w:keepNext/>
        <w:spacing w:before="240" w:after="0" w:line="340" w:lineRule="atLeast"/>
        <w:ind w:left="0" w:right="0" w:firstLine="0"/>
        <w:jc w:val="left"/>
      </w:pPr>
      <w:bookmarkStart w:id="9" w:name="Opinion"/>
      <w:bookmarkEnd w:id="9"/>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
      <w:pPr>
        <w:keepNext w:val="0"/>
        <w:spacing w:before="200" w:after="0" w:line="260" w:lineRule="atLeast"/>
        <w:ind w:left="0" w:right="0" w:firstLine="0"/>
        <w:jc w:val="both"/>
      </w:pPr>
      <w:bookmarkStart w:id="10" w:name="Bookmark_para_3"/>
      <w:bookmarkEnd w:id="10"/>
      <w:r>
        <w:rPr>
          <w:rFonts w:ascii="arial" w:eastAsia="arial" w:hAnsi="arial" w:cs="arial"/>
          <w:b w:val="0"/>
          <w:i w:val="0"/>
          <w:smallCaps/>
          <w:strike w:val="0"/>
          <w:noProof w:val="0"/>
          <w:color w:val="000000"/>
          <w:position w:val="0"/>
          <w:sz w:val="20"/>
          <w:u w:val="none"/>
          <w:vertAlign w:val="baseline"/>
        </w:rPr>
        <w:t>Per Curiam</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2"/>
        <w:t xml:space="preserve">*</w:t>
      </w:r>
    </w:p>
    <w:p>
      <w:pPr>
        <w:keepNext w:val="0"/>
        <w:spacing w:before="240" w:after="0" w:line="260" w:lineRule="atLeast"/>
        <w:ind w:left="0" w:right="0" w:firstLine="0"/>
        <w:jc w:val="both"/>
      </w:pPr>
      <w:bookmarkStart w:id="12" w:name="Bookmark_para_4"/>
      <w:bookmarkEnd w:id="12"/>
      <w:r>
        <w:rPr>
          <w:rFonts w:ascii="arial" w:eastAsia="arial" w:hAnsi="arial" w:cs="arial"/>
          <w:b w:val="0"/>
          <w:i w:val="0"/>
          <w:strike w:val="0"/>
          <w:noProof w:val="0"/>
          <w:color w:val="000000"/>
          <w:position w:val="0"/>
          <w:sz w:val="20"/>
          <w:u w:val="none"/>
          <w:vertAlign w:val="baseline"/>
        </w:rPr>
        <w:t xml:space="preserve">Alfredo De La Cruz Vela appeals the sentence imposed following his guilty plea conviction for conspiring to possess with intent to distribute 50 grams or more of methamphetamine. De La Cruz Vela argues that the district court erred by (1) imposing a two-level enhancement because he maintained a residence—located at 3643 Rey Enrique Drive in Brownsville, Texas—for purposes of manufacturing or distributing a controlled substance,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U.S.S.G. § 2D1.1(b)(12)</w:t>
        </w:r>
      </w:hyperlink>
      <w:r>
        <w:rPr>
          <w:rFonts w:ascii="arial" w:eastAsia="arial" w:hAnsi="arial" w:cs="arial"/>
          <w:b w:val="0"/>
          <w:i w:val="0"/>
          <w:strike w:val="0"/>
          <w:noProof w:val="0"/>
          <w:color w:val="000000"/>
          <w:position w:val="0"/>
          <w:sz w:val="20"/>
          <w:u w:val="none"/>
          <w:vertAlign w:val="baseline"/>
        </w:rPr>
        <w:t xml:space="preserve">, and (2) imposing a four-level enhancement because he was an organizer or leader of the criminal activity,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U.S.S.G. § 3B1.1(a)</w:t>
        </w:r>
      </w:hyperlink>
      <w:r>
        <w:rPr>
          <w:rFonts w:ascii="arial" w:eastAsia="arial" w:hAnsi="arial" w:cs="arial"/>
          <w:b w:val="0"/>
          <w:i w:val="0"/>
          <w:strike w:val="0"/>
          <w:noProof w:val="0"/>
          <w:color w:val="000000"/>
          <w:position w:val="0"/>
          <w:sz w:val="20"/>
          <w:u w:val="none"/>
          <w:vertAlign w:val="baseline"/>
        </w:rPr>
        <w:t>. De La Cruz Vela further asserts that his 240-month below guidelines sentence is substantively unreasonable.</w:t>
      </w:r>
    </w:p>
    <w:p>
      <w:pPr>
        <w:keepNext w:val="0"/>
        <w:spacing w:before="200" w:after="0" w:line="260" w:lineRule="atLeast"/>
        <w:ind w:left="0" w:right="0" w:firstLine="0"/>
        <w:jc w:val="both"/>
      </w:pPr>
      <w:bookmarkStart w:id="13" w:name="Bookmark_para_5"/>
      <w:bookmarkEnd w:id="13"/>
      <w:bookmarkStart w:id="14" w:name="Bookmark_I6954M782D6MWV0020000400"/>
      <w:bookmarkEnd w:id="14"/>
      <w:r>
        <w:rPr>
          <w:rFonts w:ascii="arial" w:eastAsia="arial" w:hAnsi="arial" w:cs="arial"/>
          <w:b w:val="0"/>
          <w:i w:val="0"/>
          <w:strike w:val="0"/>
          <w:noProof w:val="0"/>
          <w:color w:val="000000"/>
          <w:position w:val="0"/>
          <w:sz w:val="20"/>
          <w:u w:val="none"/>
          <w:vertAlign w:val="baseline"/>
        </w:rPr>
        <w:t xml:space="preserve">This court reviews the district court's "interpretation and application of the Guidelines </w:t>
      </w:r>
      <w:r>
        <w:rPr>
          <w:rFonts w:ascii="arial" w:eastAsia="arial" w:hAnsi="arial" w:cs="arial"/>
          <w:b w:val="0"/>
          <w:i/>
          <w:strike w:val="0"/>
          <w:noProof w:val="0"/>
          <w:color w:val="000000"/>
          <w:position w:val="0"/>
          <w:sz w:val="20"/>
          <w:u w:val="none"/>
          <w:vertAlign w:val="baseline"/>
        </w:rPr>
        <w:t>de novo</w:t>
      </w:r>
      <w:r>
        <w:rPr>
          <w:rFonts w:ascii="arial" w:eastAsia="arial" w:hAnsi="arial" w:cs="arial"/>
          <w:b w:val="0"/>
          <w:i w:val="0"/>
          <w:strike w:val="0"/>
          <w:noProof w:val="0"/>
          <w:color w:val="000000"/>
          <w:position w:val="0"/>
          <w:sz w:val="20"/>
          <w:u w:val="none"/>
          <w:vertAlign w:val="baseline"/>
        </w:rPr>
        <w:t>, and its factual findings</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for clear error." </w:t>
      </w:r>
      <w:bookmarkStart w:id="15" w:name="Bookmark_I6954M782D6MWV0010000400"/>
      <w:bookmarkEnd w:id="15"/>
      <w:hyperlink r:id="rId12" w:history="1">
        <w:r>
          <w:rPr>
            <w:rFonts w:ascii="arial" w:eastAsia="arial" w:hAnsi="arial" w:cs="arial"/>
            <w:b w:val="0"/>
            <w:i/>
            <w:strike w:val="0"/>
            <w:noProof w:val="0"/>
            <w:color w:val="0077CC"/>
            <w:position w:val="0"/>
            <w:sz w:val="20"/>
            <w:u w:val="single"/>
            <w:vertAlign w:val="baseline"/>
          </w:rPr>
          <w:t>United States v. Zuniga</w:t>
        </w:r>
      </w:hyperlink>
      <w:hyperlink r:id="rId12" w:history="1">
        <w:r>
          <w:rPr>
            <w:rFonts w:ascii="arial" w:eastAsia="arial" w:hAnsi="arial" w:cs="arial"/>
            <w:b w:val="0"/>
            <w:i/>
            <w:strike w:val="0"/>
            <w:noProof w:val="0"/>
            <w:color w:val="0077CC"/>
            <w:position w:val="0"/>
            <w:sz w:val="20"/>
            <w:u w:val="single"/>
            <w:vertAlign w:val="baseline"/>
          </w:rPr>
          <w:t>, 720 F.3d 587, 590 (5th Cir. 2013)</w:t>
        </w:r>
      </w:hyperlink>
      <w:r>
        <w:rPr>
          <w:rFonts w:ascii="arial" w:eastAsia="arial" w:hAnsi="arial" w:cs="arial"/>
          <w:b w:val="0"/>
          <w:i w:val="0"/>
          <w:strike w:val="0"/>
          <w:noProof w:val="0"/>
          <w:color w:val="000000"/>
          <w:position w:val="0"/>
          <w:sz w:val="20"/>
          <w:u w:val="none"/>
          <w:vertAlign w:val="baseline"/>
        </w:rPr>
        <w:t xml:space="preserve"> (per curiam). "A factual finding is not clearly erroneous if it is plausible in light of the record as a whole."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"We will find clear error only if a review of the record results in a definite and firm conviction that a mistake has been committed."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(internal quotation marks and citation omitted).</w:t>
      </w:r>
    </w:p>
    <w:p>
      <w:pPr>
        <w:keepNext w:val="0"/>
        <w:spacing w:before="200" w:after="0" w:line="260" w:lineRule="atLeast"/>
        <w:ind w:left="0" w:right="0" w:firstLine="0"/>
        <w:jc w:val="both"/>
      </w:pPr>
      <w:bookmarkStart w:id="16" w:name="Bookmark_para_6"/>
      <w:bookmarkEnd w:id="16"/>
      <w:bookmarkStart w:id="17" w:name="Bookmark_I6954M782D6MWV0040000400"/>
      <w:bookmarkEnd w:id="17"/>
      <w:bookmarkStart w:id="18" w:name="Bookmark_I6954M792HM5W10030000400"/>
      <w:bookmarkEnd w:id="18"/>
      <w:r>
        <w:rPr>
          <w:rFonts w:ascii="arial" w:eastAsia="arial" w:hAnsi="arial" w:cs="arial"/>
          <w:b w:val="0"/>
          <w:i w:val="0"/>
          <w:strike w:val="0"/>
          <w:noProof w:val="0"/>
          <w:color w:val="000000"/>
          <w:position w:val="0"/>
          <w:sz w:val="20"/>
          <w:u w:val="none"/>
          <w:vertAlign w:val="baseline"/>
        </w:rPr>
        <w:t xml:space="preserve">The district court properly adopted and relied on De La Cruz Vela's PSR to impose enhancements under the Guidelines. </w:t>
      </w:r>
      <w:r>
        <w:rPr>
          <w:rFonts w:ascii="arial" w:eastAsia="arial" w:hAnsi="arial" w:cs="arial"/>
          <w:b w:val="0"/>
          <w:i/>
          <w:strike w:val="0"/>
          <w:noProof w:val="0"/>
          <w:color w:val="000000"/>
          <w:position w:val="0"/>
          <w:sz w:val="20"/>
          <w:u w:val="none"/>
          <w:vertAlign w:val="baseline"/>
        </w:rPr>
        <w:t xml:space="preserve">See </w:t>
      </w:r>
      <w:bookmarkStart w:id="19" w:name="Bookmark_I6954M782D6MWV0030000400"/>
      <w:bookmarkEnd w:id="19"/>
      <w:hyperlink r:id="rId12" w:history="1">
        <w:r>
          <w:rPr>
            <w:rFonts w:ascii="arial" w:eastAsia="arial" w:hAnsi="arial" w:cs="arial"/>
            <w:b w:val="0"/>
            <w:i/>
            <w:strike w:val="0"/>
            <w:noProof w:val="0"/>
            <w:color w:val="0077CC"/>
            <w:position w:val="0"/>
            <w:sz w:val="20"/>
            <w:u w:val="single"/>
            <w:vertAlign w:val="baseline"/>
          </w:rPr>
          <w:t>Zuniga</w:t>
        </w:r>
      </w:hyperlink>
      <w:hyperlink r:id="rId12" w:history="1">
        <w:r>
          <w:rPr>
            <w:rFonts w:ascii="arial" w:eastAsia="arial" w:hAnsi="arial" w:cs="arial"/>
            <w:b w:val="0"/>
            <w:i/>
            <w:strike w:val="0"/>
            <w:noProof w:val="0"/>
            <w:color w:val="0077CC"/>
            <w:position w:val="0"/>
            <w:sz w:val="20"/>
            <w:u w:val="single"/>
            <w:vertAlign w:val="baseline"/>
          </w:rPr>
          <w:t>, 720 F.3d at 591</w:t>
        </w:r>
      </w:hyperlink>
      <w:r>
        <w:rPr>
          <w:rFonts w:ascii="arial" w:eastAsia="arial" w:hAnsi="arial" w:cs="arial"/>
          <w:b w:val="0"/>
          <w:i w:val="0"/>
          <w:strike w:val="0"/>
          <w:noProof w:val="0"/>
          <w:color w:val="000000"/>
          <w:position w:val="0"/>
          <w:sz w:val="20"/>
          <w:u w:val="none"/>
          <w:vertAlign w:val="baseline"/>
        </w:rPr>
        <w:t xml:space="preserve">; </w:t>
      </w:r>
      <w:bookmarkStart w:id="20" w:name="Bookmark_I6954M782D6MWV0050000400"/>
      <w:bookmarkEnd w:id="20"/>
      <w:hyperlink r:id="rId13" w:history="1">
        <w:r>
          <w:rPr>
            <w:rFonts w:ascii="arial" w:eastAsia="arial" w:hAnsi="arial" w:cs="arial"/>
            <w:b w:val="0"/>
            <w:i/>
            <w:strike w:val="0"/>
            <w:noProof w:val="0"/>
            <w:color w:val="0077CC"/>
            <w:position w:val="0"/>
            <w:sz w:val="20"/>
            <w:u w:val="single"/>
            <w:vertAlign w:val="baseline"/>
          </w:rPr>
          <w:t>United States v. Rico</w:t>
        </w:r>
      </w:hyperlink>
      <w:hyperlink r:id="rId13" w:history="1">
        <w:r>
          <w:rPr>
            <w:rFonts w:ascii="arial" w:eastAsia="arial" w:hAnsi="arial" w:cs="arial"/>
            <w:b w:val="0"/>
            <w:i/>
            <w:strike w:val="0"/>
            <w:noProof w:val="0"/>
            <w:color w:val="0077CC"/>
            <w:position w:val="0"/>
            <w:sz w:val="20"/>
            <w:u w:val="single"/>
            <w:vertAlign w:val="baseline"/>
          </w:rPr>
          <w:t>, 864 F.3d 381, 386 (5th Cir. 2017)</w:t>
        </w:r>
      </w:hyperlink>
      <w:r>
        <w:rPr>
          <w:rFonts w:ascii="arial" w:eastAsia="arial" w:hAnsi="arial" w:cs="arial"/>
          <w:b w:val="0"/>
          <w:i w:val="0"/>
          <w:strike w:val="0"/>
          <w:noProof w:val="0"/>
          <w:color w:val="000000"/>
          <w:position w:val="0"/>
          <w:sz w:val="20"/>
          <w:u w:val="none"/>
          <w:vertAlign w:val="baseline"/>
        </w:rPr>
        <w:t xml:space="preserve">. 'Generally, a PSR bears sufficient indicia of reliability to be considered as evidence [at sentencing].' </w:t>
      </w:r>
      <w:bookmarkStart w:id="21" w:name="Bookmark_I6954M792HM5W10020000400"/>
      <w:bookmarkEnd w:id="21"/>
      <w:hyperlink r:id="rId12" w:history="1">
        <w:r>
          <w:rPr>
            <w:rFonts w:ascii="arial" w:eastAsia="arial" w:hAnsi="arial" w:cs="arial"/>
            <w:b w:val="0"/>
            <w:i/>
            <w:strike w:val="0"/>
            <w:noProof w:val="0"/>
            <w:color w:val="0077CC"/>
            <w:position w:val="0"/>
            <w:sz w:val="20"/>
            <w:u w:val="single"/>
            <w:vertAlign w:val="baseline"/>
          </w:rPr>
          <w:t>Zuniga</w:t>
        </w:r>
      </w:hyperlink>
      <w:hyperlink r:id="rId12" w:history="1">
        <w:r>
          <w:rPr>
            <w:rFonts w:ascii="arial" w:eastAsia="arial" w:hAnsi="arial" w:cs="arial"/>
            <w:b w:val="0"/>
            <w:i/>
            <w:strike w:val="0"/>
            <w:noProof w:val="0"/>
            <w:color w:val="0077CC"/>
            <w:position w:val="0"/>
            <w:sz w:val="20"/>
            <w:u w:val="single"/>
            <w:vertAlign w:val="baseline"/>
          </w:rPr>
          <w:t>, 720 F.3d at 591</w:t>
        </w:r>
      </w:hyperlink>
      <w:r>
        <w:rPr>
          <w:rFonts w:ascii="arial" w:eastAsia="arial" w:hAnsi="arial" w:cs="arial"/>
          <w:b w:val="0"/>
          <w:i w:val="0"/>
          <w:strike w:val="0"/>
          <w:noProof w:val="0"/>
          <w:color w:val="000000"/>
          <w:position w:val="0"/>
          <w:sz w:val="20"/>
          <w:u w:val="none"/>
          <w:vertAlign w:val="baseline"/>
        </w:rPr>
        <w:t xml:space="preserve"> (internal quotation marks and citation omitted). De La Cruz Vela's PSR bears those indicia. It does not contain '[b]ald, conclusionary statements,' and De La Cruz Vela failed to demonstrate that the facts in the PSR are 'materially untrue, inaccurate or unreliable.'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(alteration in original) (internal quotation marks and citation omitted). Accordingly, the district court could consider the facts in the PSR for sentence enhancements.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(internal quotation marks and citation omitted).</w:t>
      </w:r>
    </w:p>
    <w:p>
      <w:pPr>
        <w:keepNext w:val="0"/>
        <w:spacing w:before="240" w:after="0" w:line="260" w:lineRule="atLeast"/>
        <w:ind w:left="0" w:right="0" w:firstLine="0"/>
        <w:jc w:val="both"/>
      </w:pPr>
      <w:bookmarkStart w:id="22" w:name="Bookmark_para_7"/>
      <w:bookmarkEnd w:id="22"/>
      <w:bookmarkStart w:id="23" w:name="Bookmark_I6954M792HM5W10050000400"/>
      <w:bookmarkEnd w:id="23"/>
      <w:r>
        <w:rPr>
          <w:rFonts w:ascii="arial" w:eastAsia="arial" w:hAnsi="arial" w:cs="arial"/>
          <w:b w:val="0"/>
          <w:i w:val="0"/>
          <w:strike w:val="0"/>
          <w:noProof w:val="0"/>
          <w:color w:val="000000"/>
          <w:position w:val="0"/>
          <w:sz w:val="20"/>
          <w:u w:val="none"/>
          <w:vertAlign w:val="baseline"/>
        </w:rPr>
        <w:t xml:space="preserve">The district court did not clearly err by imposing an enhancement pursuant to </w:t>
      </w:r>
      <w:hyperlink r:id="rId10" w:history="1">
        <w:r>
          <w:rPr>
            <w:rFonts w:ascii="arial" w:eastAsia="arial" w:hAnsi="arial" w:cs="arial"/>
            <w:b w:val="0"/>
            <w:i/>
            <w:strike w:val="0"/>
            <w:noProof w:val="0"/>
            <w:color w:val="0077CC"/>
            <w:position w:val="0"/>
            <w:sz w:val="20"/>
            <w:u w:val="single"/>
            <w:vertAlign w:val="baseline"/>
          </w:rPr>
          <w:t>§ 2D1.1(b)(12)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24" w:name="Bookmark_I6954M792HM5W10040000400"/>
      <w:bookmarkEnd w:id="24"/>
      <w:hyperlink r:id="rId12" w:history="1">
        <w:r>
          <w:rPr>
            <w:rFonts w:ascii="arial" w:eastAsia="arial" w:hAnsi="arial" w:cs="arial"/>
            <w:b w:val="0"/>
            <w:i/>
            <w:strike w:val="0"/>
            <w:noProof w:val="0"/>
            <w:color w:val="0077CC"/>
            <w:position w:val="0"/>
            <w:sz w:val="20"/>
            <w:u w:val="single"/>
            <w:vertAlign w:val="baseline"/>
          </w:rPr>
          <w:t>Zuniga</w:t>
        </w:r>
      </w:hyperlink>
      <w:hyperlink r:id="rId12" w:history="1">
        <w:r>
          <w:rPr>
            <w:rFonts w:ascii="arial" w:eastAsia="arial" w:hAnsi="arial" w:cs="arial"/>
            <w:b w:val="0"/>
            <w:i/>
            <w:strike w:val="0"/>
            <w:noProof w:val="0"/>
            <w:color w:val="0077CC"/>
            <w:position w:val="0"/>
            <w:sz w:val="20"/>
            <w:u w:val="single"/>
            <w:vertAlign w:val="baseline"/>
          </w:rPr>
          <w:t>, 720 F.3d at 590</w:t>
        </w:r>
      </w:hyperlink>
      <w:r>
        <w:rPr>
          <w:rFonts w:ascii="arial" w:eastAsia="arial" w:hAnsi="arial" w:cs="arial"/>
          <w:b w:val="0"/>
          <w:i w:val="0"/>
          <w:strike w:val="0"/>
          <w:noProof w:val="0"/>
          <w:color w:val="000000"/>
          <w:position w:val="0"/>
          <w:sz w:val="20"/>
          <w:u w:val="none"/>
          <w:vertAlign w:val="baseline"/>
        </w:rPr>
        <w:t>. As noted in the PSR, a confidential source reported that De</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La Cruz Vela controlled regular narcotics storage at 3643 Rey Enrique Drive and directed others to distribute narcotics that were stored at the house. </w:t>
      </w:r>
      <w:bookmarkStart w:id="25" w:name="Bookmark_I6954M792HM5W30020000400"/>
      <w:bookmarkEnd w:id="25"/>
      <w:r>
        <w:rPr>
          <w:rFonts w:ascii="arial" w:eastAsia="arial" w:hAnsi="arial" w:cs="arial"/>
          <w:b w:val="0"/>
          <w:i w:val="0"/>
          <w:strike w:val="0"/>
          <w:noProof w:val="0"/>
          <w:color w:val="000000"/>
          <w:position w:val="0"/>
          <w:sz w:val="20"/>
          <w:u w:val="none"/>
          <w:vertAlign w:val="baseline"/>
        </w:rPr>
        <w:t xml:space="preserve">Such behavior supports the </w:t>
      </w:r>
      <w:hyperlink r:id="rId10" w:history="1">
        <w:r>
          <w:rPr>
            <w:rFonts w:ascii="arial" w:eastAsia="arial" w:hAnsi="arial" w:cs="arial"/>
            <w:b w:val="0"/>
            <w:i/>
            <w:strike w:val="0"/>
            <w:noProof w:val="0"/>
            <w:color w:val="0077CC"/>
            <w:position w:val="0"/>
            <w:sz w:val="20"/>
            <w:u w:val="single"/>
            <w:vertAlign w:val="baseline"/>
          </w:rPr>
          <w:t>§ 2D1.1(b)(12)</w:t>
        </w:r>
      </w:hyperlink>
      <w:r>
        <w:rPr>
          <w:rFonts w:ascii="arial" w:eastAsia="arial" w:hAnsi="arial" w:cs="arial"/>
          <w:b w:val="0"/>
          <w:i w:val="0"/>
          <w:strike w:val="0"/>
          <w:noProof w:val="0"/>
          <w:color w:val="000000"/>
          <w:position w:val="0"/>
          <w:sz w:val="20"/>
          <w:u w:val="none"/>
          <w:vertAlign w:val="baseline"/>
        </w:rPr>
        <w:t xml:space="preserve"> enhancement.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 2D1.1, comment. (n.17)</w:t>
        </w:r>
      </w:hyperlink>
      <w:r>
        <w:rPr>
          <w:rFonts w:ascii="arial" w:eastAsia="arial" w:hAnsi="arial" w:cs="arial"/>
          <w:b w:val="0"/>
          <w:i w:val="0"/>
          <w:strike w:val="0"/>
          <w:noProof w:val="0"/>
          <w:color w:val="000000"/>
          <w:position w:val="0"/>
          <w:sz w:val="20"/>
          <w:u w:val="none"/>
          <w:vertAlign w:val="baseline"/>
        </w:rPr>
        <w:t xml:space="preserve">. Accordingly, we are not left with "a definite and firm conviction that a mistake has been committed." </w:t>
      </w:r>
      <w:bookmarkStart w:id="26" w:name="Bookmark_I6954M792HM5W30010000400"/>
      <w:bookmarkEnd w:id="26"/>
      <w:hyperlink r:id="rId12" w:history="1">
        <w:r>
          <w:rPr>
            <w:rFonts w:ascii="arial" w:eastAsia="arial" w:hAnsi="arial" w:cs="arial"/>
            <w:b w:val="0"/>
            <w:i/>
            <w:strike w:val="0"/>
            <w:noProof w:val="0"/>
            <w:color w:val="0077CC"/>
            <w:position w:val="0"/>
            <w:sz w:val="20"/>
            <w:u w:val="single"/>
            <w:vertAlign w:val="baseline"/>
          </w:rPr>
          <w:t>Zuniga</w:t>
        </w:r>
      </w:hyperlink>
      <w:hyperlink r:id="rId12" w:history="1">
        <w:r>
          <w:rPr>
            <w:rFonts w:ascii="arial" w:eastAsia="arial" w:hAnsi="arial" w:cs="arial"/>
            <w:b w:val="0"/>
            <w:i/>
            <w:strike w:val="0"/>
            <w:noProof w:val="0"/>
            <w:color w:val="0077CC"/>
            <w:position w:val="0"/>
            <w:sz w:val="20"/>
            <w:u w:val="single"/>
            <w:vertAlign w:val="baseline"/>
          </w:rPr>
          <w:t>, 720 F.3d at 590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7" w:name="Bookmark_para_8"/>
      <w:bookmarkEnd w:id="27"/>
      <w:bookmarkStart w:id="28" w:name="Bookmark_I6954M792HM5W30040000400"/>
      <w:bookmarkEnd w:id="28"/>
      <w:r>
        <w:rPr>
          <w:rFonts w:ascii="arial" w:eastAsia="arial" w:hAnsi="arial" w:cs="arial"/>
          <w:b w:val="0"/>
          <w:i w:val="0"/>
          <w:strike w:val="0"/>
          <w:noProof w:val="0"/>
          <w:color w:val="000000"/>
          <w:position w:val="0"/>
          <w:sz w:val="20"/>
          <w:u w:val="none"/>
          <w:vertAlign w:val="baseline"/>
        </w:rPr>
        <w:t xml:space="preserve">Nor did the district court clearly err by imposing an enhancement pursuant to </w:t>
      </w:r>
      <w:hyperlink r:id="rId11" w:history="1">
        <w:r>
          <w:rPr>
            <w:rFonts w:ascii="arial" w:eastAsia="arial" w:hAnsi="arial" w:cs="arial"/>
            <w:b w:val="0"/>
            <w:i/>
            <w:strike w:val="0"/>
            <w:noProof w:val="0"/>
            <w:color w:val="0077CC"/>
            <w:position w:val="0"/>
            <w:sz w:val="20"/>
            <w:u w:val="single"/>
            <w:vertAlign w:val="baseline"/>
          </w:rPr>
          <w:t>§ 3B1.1(a)</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The PSR provides 'detailed and consistent information' about De La Cruz Vela's substantial role as an organizer or leader. </w:t>
      </w:r>
      <w:r>
        <w:rPr>
          <w:rFonts w:ascii="arial" w:eastAsia="arial" w:hAnsi="arial" w:cs="arial"/>
          <w:b w:val="0"/>
          <w:i/>
          <w:strike w:val="0"/>
          <w:noProof w:val="0"/>
          <w:color w:val="000000"/>
          <w:position w:val="0"/>
          <w:sz w:val="20"/>
          <w:u w:val="none"/>
          <w:vertAlign w:val="baseline"/>
        </w:rPr>
        <w:t xml:space="preserve">See </w:t>
      </w:r>
      <w:bookmarkStart w:id="29" w:name="Bookmark_I6954M792HM5W30030000400"/>
      <w:bookmarkEnd w:id="29"/>
      <w:hyperlink r:id="rId12" w:history="1">
        <w:r>
          <w:rPr>
            <w:rFonts w:ascii="arial" w:eastAsia="arial" w:hAnsi="arial" w:cs="arial"/>
            <w:b w:val="0"/>
            <w:i/>
            <w:strike w:val="0"/>
            <w:noProof w:val="0"/>
            <w:color w:val="0077CC"/>
            <w:position w:val="0"/>
            <w:sz w:val="20"/>
            <w:u w:val="single"/>
            <w:vertAlign w:val="baseline"/>
          </w:rPr>
          <w:t>id.</w:t>
        </w:r>
      </w:hyperlink>
      <w:hyperlink r:id="rId12" w:history="1">
        <w:r>
          <w:rPr>
            <w:rFonts w:ascii="arial" w:eastAsia="arial" w:hAnsi="arial" w:cs="arial"/>
            <w:b w:val="0"/>
            <w:i/>
            <w:strike w:val="0"/>
            <w:noProof w:val="0"/>
            <w:color w:val="0077CC"/>
            <w:position w:val="0"/>
            <w:sz w:val="20"/>
            <w:u w:val="single"/>
            <w:vertAlign w:val="baseline"/>
          </w:rPr>
          <w:t xml:space="preserve"> at 592</w:t>
        </w:r>
      </w:hyperlink>
      <w:r>
        <w:rPr>
          <w:rFonts w:ascii="arial" w:eastAsia="arial" w:hAnsi="arial" w:cs="arial"/>
          <w:b w:val="0"/>
          <w:i w:val="0"/>
          <w:strike w:val="0"/>
          <w:noProof w:val="0"/>
          <w:color w:val="000000"/>
          <w:position w:val="0"/>
          <w:sz w:val="20"/>
          <w:u w:val="none"/>
          <w:vertAlign w:val="baseline"/>
        </w:rPr>
        <w:t xml:space="preserve">. [referring to Zuniga] De La Cruz Vela planned and organized the distribution of narcotics in the United States, found buyers for the narcotics in the United States, directed others to recruit accomplices, and led two other participants in the conspiracy. </w:t>
      </w:r>
      <w:bookmarkStart w:id="30" w:name="Bookmark_I6954M792SF8J70010000400"/>
      <w:bookmarkEnd w:id="30"/>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 3B1.1, comment. (n.2)</w:t>
        </w:r>
      </w:hyperlink>
      <w:r>
        <w:rPr>
          <w:rFonts w:ascii="arial" w:eastAsia="arial" w:hAnsi="arial" w:cs="arial"/>
          <w:b w:val="0"/>
          <w:i w:val="0"/>
          <w:strike w:val="0"/>
          <w:noProof w:val="0"/>
          <w:color w:val="000000"/>
          <w:position w:val="0"/>
          <w:sz w:val="20"/>
          <w:u w:val="none"/>
          <w:vertAlign w:val="baseline"/>
        </w:rPr>
        <w:t xml:space="preserve">, (n.4). The PSR contains additional facts indicating that De La Cruz Vela retrieved vehicles containing narcotics once they arrived in the United States, collected money from load transporters after a successful job, paid drivers to transport vehicles to Mexico to deliver drug proceeds, made decisions regarding logistics for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events, employed multiple people, and was referred to as "the boss."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light of</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these facts, it is more than plausible that De La Cruz Vela was a leader or organizer of narcotics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31" w:name="Bookmark_I6954M792HM5W30050000400"/>
      <w:bookmarkEnd w:id="31"/>
      <w:hyperlink r:id="rId12" w:history="1">
        <w:r>
          <w:rPr>
            <w:rFonts w:ascii="arial" w:eastAsia="arial" w:hAnsi="arial" w:cs="arial"/>
            <w:b w:val="0"/>
            <w:i/>
            <w:strike w:val="0"/>
            <w:noProof w:val="0"/>
            <w:color w:val="0077CC"/>
            <w:position w:val="0"/>
            <w:sz w:val="20"/>
            <w:u w:val="single"/>
            <w:vertAlign w:val="baseline"/>
          </w:rPr>
          <w:t>Zuniga</w:t>
        </w:r>
      </w:hyperlink>
      <w:hyperlink r:id="rId12" w:history="1">
        <w:r>
          <w:rPr>
            <w:rFonts w:ascii="arial" w:eastAsia="arial" w:hAnsi="arial" w:cs="arial"/>
            <w:b w:val="0"/>
            <w:i/>
            <w:strike w:val="0"/>
            <w:noProof w:val="0"/>
            <w:color w:val="0077CC"/>
            <w:position w:val="0"/>
            <w:sz w:val="20"/>
            <w:u w:val="single"/>
            <w:vertAlign w:val="baseline"/>
          </w:rPr>
          <w:t>, 720 F.3d at 590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2" w:name="Bookmark_para_9"/>
      <w:bookmarkEnd w:id="32"/>
      <w:bookmarkStart w:id="33" w:name="Bookmark_I6954M792SF8J70030000400"/>
      <w:bookmarkEnd w:id="33"/>
      <w:r>
        <w:rPr>
          <w:rFonts w:ascii="arial" w:eastAsia="arial" w:hAnsi="arial" w:cs="arial"/>
          <w:b w:val="0"/>
          <w:i w:val="0"/>
          <w:strike w:val="0"/>
          <w:noProof w:val="0"/>
          <w:color w:val="000000"/>
          <w:position w:val="0"/>
          <w:sz w:val="20"/>
          <w:u w:val="none"/>
          <w:vertAlign w:val="baseline"/>
        </w:rPr>
        <w:t xml:space="preserve">We review De La Cruz Vela's claim that his sentence is substantively unreasonable for abuse of discretion. </w:t>
      </w:r>
      <w:bookmarkStart w:id="34" w:name="Bookmark_I29DBP31701000073B400003"/>
      <w:bookmarkEnd w:id="34"/>
      <w:bookmarkStart w:id="35" w:name="Bookmark_I6954M792D6MX50020000400"/>
      <w:bookmarkEnd w:id="35"/>
      <w:bookmarkStart w:id="36" w:name="Bookmark_I6954M792SF8J70020000400"/>
      <w:bookmarkEnd w:id="36"/>
      <w:hyperlink r:id="rId14" w:history="1">
        <w:r>
          <w:rPr>
            <w:rFonts w:ascii="arial" w:eastAsia="arial" w:hAnsi="arial" w:cs="arial"/>
            <w:b w:val="0"/>
            <w:i/>
            <w:strike w:val="0"/>
            <w:noProof w:val="0"/>
            <w:color w:val="0077CC"/>
            <w:position w:val="0"/>
            <w:sz w:val="20"/>
            <w:u w:val="single"/>
            <w:vertAlign w:val="baseline"/>
          </w:rPr>
          <w:t>United States v. Scott</w:t>
        </w:r>
      </w:hyperlink>
      <w:hyperlink r:id="rId14" w:history="1">
        <w:r>
          <w:rPr>
            <w:rFonts w:ascii="arial" w:eastAsia="arial" w:hAnsi="arial" w:cs="arial"/>
            <w:b w:val="0"/>
            <w:i/>
            <w:strike w:val="0"/>
            <w:noProof w:val="0"/>
            <w:color w:val="0077CC"/>
            <w:position w:val="0"/>
            <w:sz w:val="20"/>
            <w:u w:val="single"/>
            <w:vertAlign w:val="baseline"/>
          </w:rPr>
          <w:t>, 654 F.3d 552, 555 (5th Cir. 2011)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37" w:name="Bookmark_I6954M792SF8J70040000400"/>
      <w:bookmarkEnd w:id="37"/>
      <w:hyperlink r:id="rId15" w:history="1">
        <w:r>
          <w:rPr>
            <w:rFonts w:ascii="arial" w:eastAsia="arial" w:hAnsi="arial" w:cs="arial"/>
            <w:b w:val="0"/>
            <w:i/>
            <w:strike w:val="0"/>
            <w:noProof w:val="0"/>
            <w:color w:val="0077CC"/>
            <w:position w:val="0"/>
            <w:sz w:val="20"/>
            <w:u w:val="single"/>
            <w:vertAlign w:val="baseline"/>
          </w:rPr>
          <w:t>Holguin-Hernandez v. United States</w:t>
        </w:r>
      </w:hyperlink>
      <w:hyperlink r:id="rId15" w:history="1">
        <w:r>
          <w:rPr>
            <w:rFonts w:ascii="arial" w:eastAsia="arial" w:hAnsi="arial" w:cs="arial"/>
            <w:b w:val="0"/>
            <w:i/>
            <w:strike w:val="0"/>
            <w:noProof w:val="0"/>
            <w:color w:val="0077CC"/>
            <w:position w:val="0"/>
            <w:sz w:val="20"/>
            <w:u w:val="single"/>
            <w:vertAlign w:val="baseline"/>
          </w:rPr>
          <w:t>, 140 S. Ct. 762, 766-67, 206 L. Ed. 2d 95 (2020)</w:t>
        </w:r>
      </w:hyperlink>
      <w:r>
        <w:rPr>
          <w:rFonts w:ascii="arial" w:eastAsia="arial" w:hAnsi="arial" w:cs="arial"/>
          <w:b w:val="0"/>
          <w:i w:val="0"/>
          <w:strike w:val="0"/>
          <w:noProof w:val="0"/>
          <w:color w:val="000000"/>
          <w:position w:val="0"/>
          <w:sz w:val="20"/>
          <w:u w:val="none"/>
          <w:vertAlign w:val="baseline"/>
        </w:rPr>
        <w:t xml:space="preserve">. </w:t>
      </w:r>
      <w:bookmarkStart w:id="38" w:name="Bookmark_I29DBP30WM1000073B400001"/>
      <w:bookmarkEnd w:id="38"/>
      <w:bookmarkStart w:id="39" w:name="Bookmark_I6954M792D6MX50040000400"/>
      <w:bookmarkEnd w:id="39"/>
      <w:r>
        <w:rPr>
          <w:rFonts w:ascii="arial" w:eastAsia="arial" w:hAnsi="arial" w:cs="arial"/>
          <w:b w:val="0"/>
          <w:i w:val="0"/>
          <w:strike w:val="0"/>
          <w:noProof w:val="0"/>
          <w:color w:val="000000"/>
          <w:position w:val="0"/>
          <w:sz w:val="20"/>
          <w:u w:val="none"/>
          <w:vertAlign w:val="baseline"/>
        </w:rPr>
        <w:t xml:space="preserve">A properly calculated sentence within or below the calculated guidelines range is entitled to a presumption of reasonableness. </w:t>
      </w:r>
      <w:bookmarkStart w:id="40" w:name="Bookmark_I6954M792D6MX50040000400_2"/>
      <w:bookmarkEnd w:id="40"/>
      <w:bookmarkStart w:id="41" w:name="Bookmark_I6954M792D6MX50020000400_2"/>
      <w:bookmarkEnd w:id="41"/>
      <w:bookmarkStart w:id="42" w:name="Bookmark_I6954M792D6MX50010000400"/>
      <w:bookmarkEnd w:id="42"/>
      <w:hyperlink r:id="rId16" w:history="1">
        <w:r>
          <w:rPr>
            <w:rFonts w:ascii="arial" w:eastAsia="arial" w:hAnsi="arial" w:cs="arial"/>
            <w:b w:val="0"/>
            <w:i/>
            <w:strike w:val="0"/>
            <w:noProof w:val="0"/>
            <w:color w:val="0077CC"/>
            <w:position w:val="0"/>
            <w:sz w:val="20"/>
            <w:u w:val="single"/>
            <w:vertAlign w:val="baseline"/>
          </w:rPr>
          <w:t>United States v. Simpson</w:t>
        </w:r>
      </w:hyperlink>
      <w:hyperlink r:id="rId16" w:history="1">
        <w:r>
          <w:rPr>
            <w:rFonts w:ascii="arial" w:eastAsia="arial" w:hAnsi="arial" w:cs="arial"/>
            <w:b w:val="0"/>
            <w:i/>
            <w:strike w:val="0"/>
            <w:noProof w:val="0"/>
            <w:color w:val="0077CC"/>
            <w:position w:val="0"/>
            <w:sz w:val="20"/>
            <w:u w:val="single"/>
            <w:vertAlign w:val="baseline"/>
          </w:rPr>
          <w:t>, 796 F.3d 548, 557 &amp; n.51 (5th Cir. 2015)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"Th[is] presumption is rebutted only upon a showing that the sentence does not account for a factor that should receive significant weight, it gives significant weight to an irrelevant or improper factor, or it represents a clear error of judgment in balancing sentencing factors." </w:t>
      </w:r>
      <w:bookmarkStart w:id="43" w:name="Bookmark_I6954M792D6MX50030000400"/>
      <w:bookmarkEnd w:id="43"/>
      <w:hyperlink r:id="rId17" w:history="1">
        <w:r>
          <w:rPr>
            <w:rFonts w:ascii="arial" w:eastAsia="arial" w:hAnsi="arial" w:cs="arial"/>
            <w:b w:val="0"/>
            <w:i/>
            <w:strike w:val="0"/>
            <w:noProof w:val="0"/>
            <w:color w:val="0077CC"/>
            <w:position w:val="0"/>
            <w:sz w:val="20"/>
            <w:u w:val="single"/>
            <w:vertAlign w:val="baseline"/>
          </w:rPr>
          <w:t>United States v. Cooks</w:t>
        </w:r>
      </w:hyperlink>
      <w:hyperlink r:id="rId17" w:history="1">
        <w:r>
          <w:rPr>
            <w:rFonts w:ascii="arial" w:eastAsia="arial" w:hAnsi="arial" w:cs="arial"/>
            <w:b w:val="0"/>
            <w:i/>
            <w:strike w:val="0"/>
            <w:noProof w:val="0"/>
            <w:color w:val="0077CC"/>
            <w:position w:val="0"/>
            <w:sz w:val="20"/>
            <w:u w:val="single"/>
            <w:vertAlign w:val="baseline"/>
          </w:rPr>
          <w:t>, 589 F.3d 173, 186 (5th Cir. 2009)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De La Cruz Vela fails to rebut the presumption of reasonableness given to his below-guidelines sentence because he does not show that the district court failed to consider that he cooperated with the Government to the detriment of his safety and welfare. </w:t>
      </w:r>
      <w:r>
        <w:rPr>
          <w:rFonts w:ascii="arial" w:eastAsia="arial" w:hAnsi="arial" w:cs="arial"/>
          <w:b w:val="0"/>
          <w:i/>
          <w:strike w:val="0"/>
          <w:noProof w:val="0"/>
          <w:color w:val="000000"/>
          <w:position w:val="0"/>
          <w:sz w:val="20"/>
          <w:u w:val="none"/>
          <w:vertAlign w:val="baseline"/>
        </w:rPr>
        <w:t>See id.</w:t>
      </w:r>
    </w:p>
    <w:p>
      <w:pPr>
        <w:keepNext w:val="0"/>
        <w:spacing w:before="200" w:after="0" w:line="260" w:lineRule="atLeast"/>
        <w:ind w:left="0" w:right="0" w:firstLine="0"/>
        <w:jc w:val="both"/>
      </w:pPr>
      <w:bookmarkStart w:id="44" w:name="Bookmark_para_10"/>
      <w:bookmarkEnd w:id="44"/>
      <w:r>
        <w:rPr>
          <w:rFonts w:ascii="arial" w:eastAsia="arial" w:hAnsi="arial" w:cs="arial"/>
          <w:b w:val="0"/>
          <w:i w:val="0"/>
          <w:strike w:val="0"/>
          <w:noProof w:val="0"/>
          <w:color w:val="000000"/>
          <w:position w:val="0"/>
          <w:sz w:val="20"/>
          <w:u w:val="none"/>
          <w:vertAlign w:val="baseline"/>
        </w:rPr>
        <w:t>The judgment of the district court is AFFIRMED.</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 </w:t>
      </w:r>
      <w:bookmarkStart w:id="11" w:name="Bookmark_fnpara_1"/>
      <w:bookmarkEnd w:id="11"/>
      <w:r>
        <w:rPr>
          <w:rFonts w:ascii="arial" w:eastAsia="arial" w:hAnsi="arial" w:cs="arial"/>
          <w:b w:val="0"/>
          <w:i w:val="0"/>
          <w:strike w:val="0"/>
          <w:noProof w:val="0"/>
          <w:color w:val="000000"/>
          <w:position w:val="0"/>
          <w:sz w:val="18"/>
          <w:u w:val="none"/>
          <w:vertAlign w:val="baseline"/>
        </w:rPr>
        <w:t xml:space="preserve">This opinion is not designated for publication.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smallCaps/>
          <w:strike w:val="0"/>
          <w:noProof w:val="0"/>
          <w:color w:val="000000"/>
          <w:position w:val="0"/>
          <w:sz w:val="18"/>
          <w:u w:val="none"/>
          <w:vertAlign w:val="baseline"/>
        </w:rPr>
        <w:t>5th Cir. R.</w:t>
      </w:r>
      <w:r>
        <w:rPr>
          <w:rFonts w:ascii="arial" w:eastAsia="arial" w:hAnsi="arial" w:cs="arial"/>
          <w:b/>
          <w:i/>
          <w:strike w:val="0"/>
          <w:noProof w:val="0"/>
          <w:color w:val="000000"/>
          <w:position w:val="0"/>
          <w:sz w:val="18"/>
          <w:u w:val="none"/>
          <w:vertAlign w:val="baseline"/>
        </w:rPr>
        <w:t xml:space="preserve"> 47.5</w:t>
      </w:r>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De La Cruz Vela, 2023 U.S. App. LEXIS 23778</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6D22-5R13-RRKT-63C1-00000-00&amp;context=1519360" TargetMode="External" /><Relationship Id="rId11" Type="http://schemas.openxmlformats.org/officeDocument/2006/relationships/hyperlink" Target="https://advance.lexis.com/api/document?collection=statutes-legislation&amp;id=urn:contentItem:6D28-6CY3-RVPC-N0SK-00000-00&amp;context=1519360" TargetMode="External" /><Relationship Id="rId12" Type="http://schemas.openxmlformats.org/officeDocument/2006/relationships/hyperlink" Target="https://advance.lexis.com/api/document?collection=cases&amp;id=urn:contentItem:58PM-NVN1-F04K-N05T-00000-00&amp;context=1519360" TargetMode="External" /><Relationship Id="rId13" Type="http://schemas.openxmlformats.org/officeDocument/2006/relationships/hyperlink" Target="https://advance.lexis.com/api/document?collection=cases&amp;id=urn:contentItem:5P2G-BB71-F04K-N24C-00000-00&amp;context=1519360" TargetMode="External" /><Relationship Id="rId14" Type="http://schemas.openxmlformats.org/officeDocument/2006/relationships/hyperlink" Target="https://advance.lexis.com/api/document?collection=cases&amp;id=urn:contentItem:834G-N9S1-652R-33CW-00000-00&amp;context=1519360" TargetMode="External" /><Relationship Id="rId15" Type="http://schemas.openxmlformats.org/officeDocument/2006/relationships/hyperlink" Target="https://advance.lexis.com/api/document?collection=cases&amp;id=urn:contentItem:5Y98-5DV1-JFKM-64BN-00000-00&amp;context=1519360" TargetMode="External" /><Relationship Id="rId16" Type="http://schemas.openxmlformats.org/officeDocument/2006/relationships/hyperlink" Target="https://advance.lexis.com/api/document?collection=cases&amp;id=urn:contentItem:5GNK-VMX1-F04K-N1FT-00000-00&amp;context=1519360" TargetMode="External" /><Relationship Id="rId17" Type="http://schemas.openxmlformats.org/officeDocument/2006/relationships/hyperlink" Target="https://advance.lexis.com/api/document?collection=cases&amp;id=urn:contentItem:7X5F-63B0-YB0V-H02C-00000-00&amp;context=1519360" TargetMode="External" /><Relationship Id="rId18" Type="http://schemas.openxmlformats.org/officeDocument/2006/relationships/theme" Target="theme/theme1.xml" /><Relationship Id="rId19"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47-WS31-JKB3-X1DW-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De La Cruz Vela, 2023 U.S. App. LEXIS 23778</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17</vt:lpwstr>
  </property>
  <property fmtid="{D5CDD505-2E9C-101B-9397-08002B2CF9AE}" pid="3" name="LADocCount">
    <vt:lpwstr>1</vt:lpwstr>
  </property>
  <property fmtid="{D5CDD505-2E9C-101B-9397-08002B2CF9AE}" pid="4" name="LADocumentID:17">
    <vt:lpwstr>Doc::urn:hlct:5|contextualFeaturePermID::1519360</vt:lpwstr>
  </property>
  <property fmtid="{D5CDD505-2E9C-101B-9397-08002B2CF9AE}" pid="5" name="UserPermID">
    <vt:lpwstr>urn:user:PA186186283</vt:lpwstr>
  </property>
</Properties>
</file>