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Lynn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Mississippi,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Decided; February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1:90-cr-53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239538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11849858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RICHARD JOSEPH LYNN,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Lynn, 2022 U.S. Dist. LEXIS 123193, 2022 WL 2446328 (S.D. Miss., May 31,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supervised release, sentence, terminated, concurrently, concurrent sentences, Terms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John A. Meynardie-Federal Gov, LEAD ATTORNEY, U. S. ATTORNEY'S OFFICE - Gulfport, Gulfport, MS USA; Lee Smith-Federal Gov, U. S. DEPARTMENT OF JUSTICE - Gulfport, Gulfport, MS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TAYLOR B. McNEEL,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TAYLOR B. McNEEL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DENYING MOTION TO CORRECT ERROR IN EXECUTION OF MULTIPLE TERMS OF SUPERVISED RELEASE</w:t>
      </w:r>
    </w:p>
    <w:p>
      <w:pPr>
        <w:keepNext w:val="0"/>
        <w:spacing w:before="200" w:after="0" w:line="260" w:lineRule="atLeast"/>
        <w:ind w:left="0" w:right="0" w:firstLine="0"/>
        <w:jc w:val="both"/>
      </w:pPr>
      <w:bookmarkStart w:id="8" w:name="Bookmark_para_1"/>
      <w:bookmarkEnd w:id="8"/>
      <w:bookmarkStart w:id="9" w:name="Bookmark_I6CH1PJJ2HM6JW0020000400"/>
      <w:bookmarkEnd w:id="9"/>
      <w:r>
        <w:rPr>
          <w:rFonts w:ascii="arial" w:eastAsia="arial" w:hAnsi="arial" w:cs="arial"/>
          <w:b w:val="0"/>
          <w:i w:val="0"/>
          <w:strike w:val="0"/>
          <w:noProof w:val="0"/>
          <w:color w:val="000000"/>
          <w:position w:val="0"/>
          <w:sz w:val="20"/>
          <w:u w:val="none"/>
          <w:vertAlign w:val="baseline"/>
        </w:rPr>
        <w:t xml:space="preserve">Richard ("Dickie") Lynn was previously convicted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vast quantities of cocaine from Central America into the United States. He was the leader of an extensive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And he racked up three different federal court convictions in three different states: Florida, Alabama, and Mississippi.</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This opinion focuses on whether his Mississippi supervised release automatically terminated when his Alabama supervised release concluded in 2021. Lynn argues that since the Mississippi term of supervised release ran concurrently to any other federal sentence of supervised release, then his Mississippi supervised release should have stopped at the same time the Alabama supervised release ended. But this is a misunderstanding of what concurrent means. The Court denies Lynn's Motion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2" w:name="Bookmark_para_2"/>
      <w:bookmarkEnd w:id="12"/>
      <w:bookmarkStart w:id="13" w:name="Bookmark_I6CH1PJJ2HM6JW0040000400"/>
      <w:bookmarkEnd w:id="13"/>
      <w:r>
        <w:rPr>
          <w:rFonts w:ascii="arial" w:eastAsia="arial" w:hAnsi="arial" w:cs="arial"/>
          <w:b w:val="0"/>
          <w:i w:val="0"/>
          <w:strike w:val="0"/>
          <w:noProof w:val="0"/>
          <w:color w:val="000000"/>
          <w:position w:val="0"/>
          <w:sz w:val="20"/>
          <w:u w:val="none"/>
          <w:vertAlign w:val="baseline"/>
        </w:rPr>
        <w:t>After Lynn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convicted for being the leader of a massive cocaine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the Southern District of Alabama sentenced Lynn to seven concurrent life sentences and a ten-year term of supervised release. </w:t>
      </w:r>
      <w:bookmarkStart w:id="14" w:name="Bookmark_I6CH1PJJ2N1R7C0010000400"/>
      <w:bookmarkEnd w:id="14"/>
      <w:bookmarkStart w:id="15" w:name="Bookmark_I6CH1PJJ2HM6JW0030000400"/>
      <w:bookmarkEnd w:id="15"/>
      <w:hyperlink r:id="rId10" w:history="1">
        <w:r>
          <w:rPr>
            <w:rFonts w:ascii="arial" w:eastAsia="arial" w:hAnsi="arial" w:cs="arial"/>
            <w:b w:val="0"/>
            <w:i/>
            <w:strike w:val="0"/>
            <w:noProof w:val="0"/>
            <w:color w:val="0077CC"/>
            <w:position w:val="0"/>
            <w:sz w:val="20"/>
            <w:u w:val="single"/>
            <w:vertAlign w:val="baseline"/>
          </w:rPr>
          <w:t>United States v. Lynn</w:t>
        </w:r>
      </w:hyperlink>
      <w:hyperlink r:id="rId10" w:history="1">
        <w:r>
          <w:rPr>
            <w:rFonts w:ascii="arial" w:eastAsia="arial" w:hAnsi="arial" w:cs="arial"/>
            <w:b w:val="0"/>
            <w:i/>
            <w:strike w:val="0"/>
            <w:noProof w:val="0"/>
            <w:color w:val="0077CC"/>
            <w:position w:val="0"/>
            <w:sz w:val="20"/>
            <w:u w:val="single"/>
            <w:vertAlign w:val="baseline"/>
          </w:rPr>
          <w:t>, No. 1:90-cr-53, 2022 U.S. Dist. LEXIS 123193, 2022 WL 2446328, (S.D. Miss. May 31, 2022)</w:t>
        </w:r>
      </w:hyperlink>
      <w:r>
        <w:rPr>
          <w:rFonts w:ascii="arial" w:eastAsia="arial" w:hAnsi="arial" w:cs="arial"/>
          <w:b w:val="0"/>
          <w:i w:val="0"/>
          <w:strike w:val="0"/>
          <w:noProof w:val="0"/>
          <w:color w:val="000000"/>
          <w:position w:val="0"/>
          <w:sz w:val="20"/>
          <w:u w:val="none"/>
          <w:vertAlign w:val="baseline"/>
        </w:rPr>
        <w:t xml:space="preserve">. Lynn escaped from federal custody while his direct appeal was pending before the Eleventh Circuit. </w:t>
      </w:r>
      <w:bookmarkStart w:id="16" w:name="Bookmark_I6CH1PJJ2N1R7C0010000400_2"/>
      <w:bookmarkEnd w:id="16"/>
      <w:bookmarkStart w:id="17" w:name="Bookmark_I6CH1PJJ2N1R7C0030000400"/>
      <w:bookmarkEnd w:id="17"/>
      <w:bookmarkStart w:id="18" w:name="Bookmark_I6CH1PJJ2HM6JW0050000400"/>
      <w:bookmarkEnd w:id="18"/>
      <w:hyperlink r:id="rId11" w:history="1">
        <w:r>
          <w:rPr>
            <w:rFonts w:ascii="arial" w:eastAsia="arial" w:hAnsi="arial" w:cs="arial"/>
            <w:b w:val="0"/>
            <w:i/>
            <w:strike w:val="0"/>
            <w:noProof w:val="0"/>
            <w:color w:val="0077CC"/>
            <w:position w:val="0"/>
            <w:sz w:val="20"/>
            <w:u w:val="single"/>
            <w:vertAlign w:val="baseline"/>
          </w:rPr>
          <w:t>Lynn v. United States</w:t>
        </w:r>
      </w:hyperlink>
      <w:hyperlink r:id="rId11" w:history="1">
        <w:r>
          <w:rPr>
            <w:rFonts w:ascii="arial" w:eastAsia="arial" w:hAnsi="arial" w:cs="arial"/>
            <w:b w:val="0"/>
            <w:i/>
            <w:strike w:val="0"/>
            <w:noProof w:val="0"/>
            <w:color w:val="0077CC"/>
            <w:position w:val="0"/>
            <w:sz w:val="20"/>
            <w:u w:val="single"/>
            <w:vertAlign w:val="baseline"/>
          </w:rPr>
          <w:t>, 365 F.3d 1225, 1227 (11th Cir. 2004)</w:t>
        </w:r>
      </w:hyperlink>
      <w:r>
        <w:rPr>
          <w:rFonts w:ascii="arial" w:eastAsia="arial" w:hAnsi="arial" w:cs="arial"/>
          <w:b w:val="0"/>
          <w:i w:val="0"/>
          <w:strike w:val="0"/>
          <w:noProof w:val="0"/>
          <w:color w:val="000000"/>
          <w:position w:val="0"/>
          <w:sz w:val="20"/>
          <w:u w:val="none"/>
          <w:vertAlign w:val="baseline"/>
        </w:rPr>
        <w:t xml:space="preserve">. </w:t>
      </w:r>
      <w:bookmarkStart w:id="19" w:name="Bookmark_I6CH1PJJ2N1R7C0030000400_2"/>
      <w:bookmarkEnd w:id="19"/>
      <w:r>
        <w:rPr>
          <w:rFonts w:ascii="arial" w:eastAsia="arial" w:hAnsi="arial" w:cs="arial"/>
          <w:b w:val="0"/>
          <w:i w:val="0"/>
          <w:strike w:val="0"/>
          <w:noProof w:val="0"/>
          <w:color w:val="000000"/>
          <w:position w:val="0"/>
          <w:sz w:val="20"/>
          <w:u w:val="none"/>
          <w:vertAlign w:val="baseline"/>
        </w:rPr>
        <w:t xml:space="preserve">Lynn was then captured in Mississippi after he had set up a new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bookmarkStart w:id="20" w:name="Bookmark_I6CH1PJJ2N1R7C0020000400"/>
      <w:bookmarkEnd w:id="20"/>
      <w:hyperlink r:id="rId10" w:history="1">
        <w:r>
          <w:rPr>
            <w:rFonts w:ascii="arial" w:eastAsia="arial" w:hAnsi="arial" w:cs="arial"/>
            <w:b w:val="0"/>
            <w:i/>
            <w:strike w:val="0"/>
            <w:noProof w:val="0"/>
            <w:color w:val="0077CC"/>
            <w:position w:val="0"/>
            <w:sz w:val="20"/>
            <w:u w:val="single"/>
            <w:vertAlign w:val="baseline"/>
          </w:rPr>
          <w:t>Lynn</w:t>
        </w:r>
      </w:hyperlink>
      <w:hyperlink r:id="rId10" w:history="1">
        <w:r>
          <w:rPr>
            <w:rFonts w:ascii="arial" w:eastAsia="arial" w:hAnsi="arial" w:cs="arial"/>
            <w:b w:val="0"/>
            <w:i/>
            <w:strike w:val="0"/>
            <w:noProof w:val="0"/>
            <w:color w:val="0077CC"/>
            <w:position w:val="0"/>
            <w:sz w:val="20"/>
            <w:u w:val="single"/>
            <w:vertAlign w:val="baseline"/>
          </w:rPr>
          <w:t>, 2022 WL 2446328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3"/>
      <w:bookmarkEnd w:id="21"/>
      <w:r>
        <w:rPr>
          <w:rFonts w:ascii="arial" w:eastAsia="arial" w:hAnsi="arial" w:cs="arial"/>
          <w:b w:val="0"/>
          <w:i w:val="0"/>
          <w:strike w:val="0"/>
          <w:noProof w:val="0"/>
          <w:color w:val="000000"/>
          <w:position w:val="0"/>
          <w:sz w:val="20"/>
          <w:u w:val="none"/>
          <w:vertAlign w:val="baseline"/>
        </w:rPr>
        <w:t xml:space="preserve">In 1991, Lynn was sentenced in the Southern District of Mississippi to ten years imprisonment and a ten-year term of supervised release, to run concurrent to his prior federal sentence in Alabama.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Lynn served the entirety of his federal Mississippi term of imprisonment before the Alabama district court granted him compassionate relief in 2020. The Alabama district court also later terminated his Alabama supervised release.</w:t>
      </w:r>
    </w:p>
    <w:p>
      <w:pPr>
        <w:keepNext w:val="0"/>
        <w:spacing w:before="200" w:after="0" w:line="260" w:lineRule="atLeast"/>
        <w:ind w:left="0" w:right="0" w:firstLine="0"/>
        <w:jc w:val="both"/>
      </w:pPr>
      <w:bookmarkStart w:id="22" w:name="Bookmark_para_4"/>
      <w:bookmarkEnd w:id="22"/>
      <w:bookmarkStart w:id="23" w:name="Bookmark_I6CH1PJJ2N1R7C0050000400"/>
      <w:bookmarkEnd w:id="23"/>
      <w:r>
        <w:rPr>
          <w:rFonts w:ascii="arial" w:eastAsia="arial" w:hAnsi="arial" w:cs="arial"/>
          <w:b w:val="0"/>
          <w:i w:val="0"/>
          <w:strike w:val="0"/>
          <w:noProof w:val="0"/>
          <w:color w:val="000000"/>
          <w:position w:val="0"/>
          <w:sz w:val="20"/>
          <w:u w:val="none"/>
          <w:vertAlign w:val="baseline"/>
        </w:rPr>
        <w:t xml:space="preserve">Lynn previously sought to terminate his Mississippi term of supervised release because, according to Lynn, supervised release was unnecessary and—among other reasons—it impeded his ability to travel outside the country without seeking permission. This Court denied Lynn's request. [8]; </w:t>
      </w:r>
      <w:bookmarkStart w:id="24" w:name="Bookmark_I6CH1PJJ2N1R7C0040000400"/>
      <w:bookmarkEnd w:id="24"/>
      <w:hyperlink r:id="rId10" w:history="1">
        <w:r>
          <w:rPr>
            <w:rFonts w:ascii="arial" w:eastAsia="arial" w:hAnsi="arial" w:cs="arial"/>
            <w:b w:val="0"/>
            <w:i/>
            <w:strike w:val="0"/>
            <w:noProof w:val="0"/>
            <w:color w:val="0077CC"/>
            <w:position w:val="0"/>
            <w:sz w:val="20"/>
            <w:u w:val="single"/>
            <w:vertAlign w:val="baseline"/>
          </w:rPr>
          <w:t>Lynn</w:t>
        </w:r>
      </w:hyperlink>
      <w:hyperlink r:id="rId10" w:history="1">
        <w:r>
          <w:rPr>
            <w:rFonts w:ascii="arial" w:eastAsia="arial" w:hAnsi="arial" w:cs="arial"/>
            <w:b w:val="0"/>
            <w:i/>
            <w:strike w:val="0"/>
            <w:noProof w:val="0"/>
            <w:color w:val="0077CC"/>
            <w:position w:val="0"/>
            <w:sz w:val="20"/>
            <w:u w:val="single"/>
            <w:vertAlign w:val="baseline"/>
          </w:rPr>
          <w:t>, 2022 U.S. Dist. LEXIS 123193, 2022 WL 2446328, at *5</w:t>
        </w:r>
      </w:hyperlink>
      <w:r>
        <w:rPr>
          <w:rFonts w:ascii="arial" w:eastAsia="arial" w:hAnsi="arial" w:cs="arial"/>
          <w:b w:val="0"/>
          <w:i w:val="0"/>
          <w:strike w:val="0"/>
          <w:noProof w:val="0"/>
          <w:color w:val="000000"/>
          <w:position w:val="0"/>
          <w:sz w:val="20"/>
          <w:u w:val="none"/>
          <w:vertAlign w:val="baseline"/>
        </w:rPr>
        <w:t>. Lynn now argues that his ten-year term of supervised release imposed by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Southern District of Mississippi has been fully satisfied, as it ran concurrently to his now terminated federal sentence in Alabama.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w:t>
      </w:r>
    </w:p>
    <w:p>
      <w:pPr>
        <w:keepNext w:val="0"/>
        <w:spacing w:before="240" w:after="0" w:line="260" w:lineRule="atLeast"/>
        <w:ind w:left="0" w:right="0" w:firstLine="0"/>
        <w:jc w:val="both"/>
      </w:pPr>
      <w:bookmarkStart w:id="25" w:name="Bookmark_para_5"/>
      <w:bookmarkEnd w:id="25"/>
      <w:bookmarkStart w:id="26" w:name="Bookmark_I6CH1PJK28T5060020000400"/>
      <w:bookmarkEnd w:id="26"/>
      <w:r>
        <w:rPr>
          <w:rFonts w:ascii="arial" w:eastAsia="arial" w:hAnsi="arial" w:cs="arial"/>
          <w:b w:val="0"/>
          <w:i w:val="0"/>
          <w:strike w:val="0"/>
          <w:noProof w:val="0"/>
          <w:color w:val="000000"/>
          <w:position w:val="0"/>
          <w:sz w:val="20"/>
          <w:u w:val="none"/>
          <w:vertAlign w:val="baseline"/>
        </w:rPr>
        <w:t xml:space="preserve">The Fifth Circuit recognizes that the Supreme Court has "repeatedly and expressly sanctioned the use of motions for reconsideration in criminal proceedings" although there is no explicit authorization in the Federal Rules of Criminal Procedure. </w:t>
      </w:r>
      <w:bookmarkStart w:id="27" w:name="Bookmark_I6CH1PJK2N1R7D0010000400"/>
      <w:bookmarkEnd w:id="27"/>
      <w:bookmarkStart w:id="28" w:name="Bookmark_I6CH1PJK28T5060010000400"/>
      <w:bookmarkEnd w:id="28"/>
      <w:r>
        <w:rPr>
          <w:rFonts w:ascii="arial" w:eastAsia="arial" w:hAnsi="arial" w:cs="arial"/>
          <w:b w:val="0"/>
          <w:i/>
          <w:strike w:val="0"/>
          <w:noProof w:val="0"/>
          <w:color w:val="000000"/>
          <w:position w:val="0"/>
          <w:sz w:val="20"/>
          <w:u w:val="none"/>
          <w:vertAlign w:val="baseline"/>
        </w:rPr>
        <w:t>United States v. Cook</w:t>
      </w:r>
      <w:r>
        <w:rPr>
          <w:rFonts w:ascii="arial" w:eastAsia="arial" w:hAnsi="arial" w:cs="arial"/>
          <w:b w:val="0"/>
          <w:i/>
          <w:strike w:val="0"/>
          <w:noProof w:val="0"/>
          <w:color w:val="000000"/>
          <w:position w:val="0"/>
          <w:sz w:val="20"/>
          <w:u w:val="none"/>
          <w:vertAlign w:val="baseline"/>
        </w:rPr>
        <w:t>, 670 F.2d 46, 48 (5th Cir. 1982)</w:t>
      </w:r>
      <w:r>
        <w:rPr>
          <w:rFonts w:ascii="arial" w:eastAsia="arial" w:hAnsi="arial" w:cs="arial"/>
          <w:b w:val="0"/>
          <w:i w:val="0"/>
          <w:strike w:val="0"/>
          <w:noProof w:val="0"/>
          <w:color w:val="000000"/>
          <w:position w:val="0"/>
          <w:sz w:val="20"/>
          <w:u w:val="none"/>
          <w:vertAlign w:val="baseline"/>
        </w:rPr>
        <w:t xml:space="preserve"> (citing </w:t>
      </w:r>
      <w:bookmarkStart w:id="29" w:name="Bookmark_I6CH1PJK28T5060030000400"/>
      <w:bookmarkEnd w:id="29"/>
      <w:hyperlink r:id="rId12" w:history="1">
        <w:r>
          <w:rPr>
            <w:rFonts w:ascii="arial" w:eastAsia="arial" w:hAnsi="arial" w:cs="arial"/>
            <w:b w:val="0"/>
            <w:i/>
            <w:strike w:val="0"/>
            <w:noProof w:val="0"/>
            <w:color w:val="0077CC"/>
            <w:position w:val="0"/>
            <w:sz w:val="20"/>
            <w:u w:val="single"/>
            <w:vertAlign w:val="baseline"/>
          </w:rPr>
          <w:t>Browder v. Director, Department of Corrections of Illinois</w:t>
        </w:r>
      </w:hyperlink>
      <w:hyperlink r:id="rId12" w:history="1">
        <w:r>
          <w:rPr>
            <w:rFonts w:ascii="arial" w:eastAsia="arial" w:hAnsi="arial" w:cs="arial"/>
            <w:b w:val="0"/>
            <w:i/>
            <w:strike w:val="0"/>
            <w:noProof w:val="0"/>
            <w:color w:val="0077CC"/>
            <w:position w:val="0"/>
            <w:sz w:val="20"/>
            <w:u w:val="single"/>
            <w:vertAlign w:val="baseline"/>
          </w:rPr>
          <w:t>, 434 U.S. 257, 98 S. Ct. 556, 54 L. Ed. 2d 521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rehearing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434 U.S. 1089, 98 S. Ct. 1286, 55 L. Ed. 2d 795 (1978)</w:t>
      </w:r>
      <w:r>
        <w:rPr>
          <w:rFonts w:ascii="arial" w:eastAsia="arial" w:hAnsi="arial" w:cs="arial"/>
          <w:b w:val="0"/>
          <w:i w:val="0"/>
          <w:strike w:val="0"/>
          <w:noProof w:val="0"/>
          <w:color w:val="000000"/>
          <w:position w:val="0"/>
          <w:sz w:val="20"/>
          <w:u w:val="none"/>
          <w:vertAlign w:val="baseline"/>
        </w:rPr>
        <w:t xml:space="preserve">). </w:t>
      </w:r>
      <w:bookmarkStart w:id="30" w:name="Bookmark_I6CH1PJK2N1R7D0050000400"/>
      <w:bookmarkEnd w:id="30"/>
      <w:r>
        <w:rPr>
          <w:rFonts w:ascii="arial" w:eastAsia="arial" w:hAnsi="arial" w:cs="arial"/>
          <w:b w:val="0"/>
          <w:i w:val="0"/>
          <w:strike w:val="0"/>
          <w:noProof w:val="0"/>
          <w:color w:val="000000"/>
          <w:position w:val="0"/>
          <w:sz w:val="20"/>
          <w:u w:val="none"/>
          <w:vertAlign w:val="baseline"/>
        </w:rPr>
        <w:t xml:space="preserve">When a motion for reconsideration is brought in criminal cases "courts have applied the same legal standard" as civil motions under </w:t>
      </w:r>
      <w:hyperlink r:id="rId13" w:history="1">
        <w:r>
          <w:rPr>
            <w:rFonts w:ascii="arial" w:eastAsia="arial" w:hAnsi="arial" w:cs="arial"/>
            <w:b w:val="0"/>
            <w:i/>
            <w:strike w:val="0"/>
            <w:noProof w:val="0"/>
            <w:color w:val="0077CC"/>
            <w:position w:val="0"/>
            <w:sz w:val="20"/>
            <w:u w:val="single"/>
            <w:vertAlign w:val="baseline"/>
          </w:rPr>
          <w:t>Rule 59(e)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bookmarkStart w:id="31" w:name="Bookmark_I6CH1PJK2N1R7D0050000400_2"/>
      <w:bookmarkEnd w:id="31"/>
      <w:bookmarkStart w:id="32" w:name="Bookmark_I6CH1PJK2N1R7D0010000400_2"/>
      <w:bookmarkEnd w:id="32"/>
      <w:bookmarkStart w:id="33" w:name="Bookmark_I6CH1PJM2D6NB50040000400"/>
      <w:bookmarkEnd w:id="33"/>
      <w:bookmarkStart w:id="34" w:name="Bookmark_I6CH1PJK28T5060050000400"/>
      <w:bookmarkEnd w:id="34"/>
      <w:hyperlink r:id="rId14" w:history="1">
        <w:r>
          <w:rPr>
            <w:rFonts w:ascii="arial" w:eastAsia="arial" w:hAnsi="arial" w:cs="arial"/>
            <w:b w:val="0"/>
            <w:i/>
            <w:strike w:val="0"/>
            <w:noProof w:val="0"/>
            <w:color w:val="0077CC"/>
            <w:position w:val="0"/>
            <w:sz w:val="20"/>
            <w:u w:val="single"/>
            <w:vertAlign w:val="baseline"/>
          </w:rPr>
          <w:t>United States v. Evans</w:t>
        </w:r>
      </w:hyperlink>
      <w:hyperlink r:id="rId14" w:history="1">
        <w:r>
          <w:rPr>
            <w:rFonts w:ascii="arial" w:eastAsia="arial" w:hAnsi="arial" w:cs="arial"/>
            <w:b w:val="0"/>
            <w:i/>
            <w:strike w:val="0"/>
            <w:noProof w:val="0"/>
            <w:color w:val="0077CC"/>
            <w:position w:val="0"/>
            <w:sz w:val="20"/>
            <w:u w:val="single"/>
            <w:vertAlign w:val="baseline"/>
          </w:rPr>
          <w:t>, No. CR 15-61, 2018 U.S. Dist. LEXIS 206638, 2018 WL 6427854, at *2 (E.D. La. Dec. 7, 2018)</w:t>
        </w:r>
      </w:hyperlink>
      <w:r>
        <w:rPr>
          <w:rFonts w:ascii="arial" w:eastAsia="arial" w:hAnsi="arial" w:cs="arial"/>
          <w:b w:val="0"/>
          <w:i w:val="0"/>
          <w:strike w:val="0"/>
          <w:noProof w:val="0"/>
          <w:color w:val="000000"/>
          <w:position w:val="0"/>
          <w:sz w:val="20"/>
          <w:u w:val="none"/>
          <w:vertAlign w:val="baseline"/>
        </w:rPr>
        <w:t xml:space="preserve"> (citations omitted); </w:t>
      </w:r>
      <w:bookmarkStart w:id="35" w:name="Bookmark_I6CH1PJK2N1R7D0020000400"/>
      <w:bookmarkEnd w:id="35"/>
      <w:hyperlink r:id="rId15" w:history="1">
        <w:r>
          <w:rPr>
            <w:rFonts w:ascii="arial" w:eastAsia="arial" w:hAnsi="arial" w:cs="arial"/>
            <w:b w:val="0"/>
            <w:i/>
            <w:strike w:val="0"/>
            <w:noProof w:val="0"/>
            <w:color w:val="0077CC"/>
            <w:position w:val="0"/>
            <w:sz w:val="20"/>
            <w:u w:val="single"/>
            <w:vertAlign w:val="baseline"/>
          </w:rPr>
          <w:t>United States v. Butler</w:t>
        </w:r>
      </w:hyperlink>
      <w:hyperlink r:id="rId15" w:history="1">
        <w:r>
          <w:rPr>
            <w:rFonts w:ascii="arial" w:eastAsia="arial" w:hAnsi="arial" w:cs="arial"/>
            <w:b w:val="0"/>
            <w:i/>
            <w:strike w:val="0"/>
            <w:noProof w:val="0"/>
            <w:color w:val="0077CC"/>
            <w:position w:val="0"/>
            <w:sz w:val="20"/>
            <w:u w:val="single"/>
            <w:vertAlign w:val="baseline"/>
          </w:rPr>
          <w:t>, No. 3:02-CR-97, 2022 U.S. Dist. LEXIS 185136, 2022 WL 5239083 (M.D. Tenn. Jul. 7, 2022)</w:t>
        </w:r>
      </w:hyperlink>
      <w:r>
        <w:rPr>
          <w:rFonts w:ascii="arial" w:eastAsia="arial" w:hAnsi="arial" w:cs="arial"/>
          <w:b w:val="0"/>
          <w:i w:val="0"/>
          <w:strike w:val="0"/>
          <w:noProof w:val="0"/>
          <w:color w:val="000000"/>
          <w:position w:val="0"/>
          <w:sz w:val="20"/>
          <w:u w:val="none"/>
          <w:vertAlign w:val="baseline"/>
        </w:rPr>
        <w:t xml:space="preserve"> (citations omitted). </w:t>
      </w:r>
      <w:bookmarkStart w:id="36" w:name="Bookmark_I6CH1PJM2D6NB50040000400_2"/>
      <w:bookmarkEnd w:id="36"/>
      <w:r>
        <w:rPr>
          <w:rFonts w:ascii="arial" w:eastAsia="arial" w:hAnsi="arial" w:cs="arial"/>
          <w:b w:val="0"/>
          <w:i w:val="0"/>
          <w:strike w:val="0"/>
          <w:noProof w:val="0"/>
          <w:color w:val="000000"/>
          <w:position w:val="0"/>
          <w:sz w:val="20"/>
          <w:u w:val="none"/>
          <w:vertAlign w:val="baseline"/>
        </w:rPr>
        <w:t xml:space="preserve">"A </w:t>
      </w:r>
      <w:hyperlink r:id="rId13"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 'calls into question the correctness of a judgment.'" </w:t>
      </w:r>
      <w:bookmarkStart w:id="37" w:name="Bookmark_I6CH1PJK2N1R7D0040000400"/>
      <w:bookmarkEnd w:id="37"/>
      <w:hyperlink r:id="rId16" w:history="1">
        <w:r>
          <w:rPr>
            <w:rFonts w:ascii="arial" w:eastAsia="arial" w:hAnsi="arial" w:cs="arial"/>
            <w:b w:val="0"/>
            <w:i/>
            <w:strike w:val="0"/>
            <w:noProof w:val="0"/>
            <w:color w:val="0077CC"/>
            <w:position w:val="0"/>
            <w:sz w:val="20"/>
            <w:u w:val="single"/>
            <w:vertAlign w:val="baseline"/>
          </w:rPr>
          <w:t>Templet v. HydroChem Inc.</w:t>
        </w:r>
      </w:hyperlink>
      <w:hyperlink r:id="rId16" w:history="1">
        <w:r>
          <w:rPr>
            <w:rFonts w:ascii="arial" w:eastAsia="arial" w:hAnsi="arial" w:cs="arial"/>
            <w:b w:val="0"/>
            <w:i/>
            <w:strike w:val="0"/>
            <w:noProof w:val="0"/>
            <w:color w:val="0077CC"/>
            <w:position w:val="0"/>
            <w:sz w:val="20"/>
            <w:u w:val="single"/>
            <w:vertAlign w:val="baseline"/>
          </w:rPr>
          <w:t>, 367 F.3d 473, 478 (5th Cir. 2004)</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CH1PJM2D6NB50010000400"/>
      <w:bookmarkEnd w:id="38"/>
      <w:hyperlink r:id="rId17" w:history="1">
        <w:r>
          <w:rPr>
            <w:rFonts w:ascii="arial" w:eastAsia="arial" w:hAnsi="arial" w:cs="arial"/>
            <w:b w:val="0"/>
            <w:i/>
            <w:strike w:val="0"/>
            <w:noProof w:val="0"/>
            <w:color w:val="0077CC"/>
            <w:position w:val="0"/>
            <w:sz w:val="20"/>
            <w:u w:val="single"/>
            <w:vertAlign w:val="baseline"/>
          </w:rPr>
          <w:t>In re Transtexas Gas Corp.</w:t>
        </w:r>
      </w:hyperlink>
      <w:hyperlink r:id="rId17" w:history="1">
        <w:r>
          <w:rPr>
            <w:rFonts w:ascii="arial" w:eastAsia="arial" w:hAnsi="arial" w:cs="arial"/>
            <w:b w:val="0"/>
            <w:i/>
            <w:strike w:val="0"/>
            <w:noProof w:val="0"/>
            <w:color w:val="0077CC"/>
            <w:position w:val="0"/>
            <w:sz w:val="20"/>
            <w:u w:val="single"/>
            <w:vertAlign w:val="baseline"/>
          </w:rPr>
          <w:t>, 303 F.3d 571, 581 (5th Cir. 2002)</w:t>
        </w:r>
      </w:hyperlink>
      <w:r>
        <w:rPr>
          <w:rFonts w:ascii="arial" w:eastAsia="arial" w:hAnsi="arial" w:cs="arial"/>
          <w:b w:val="0"/>
          <w:i w:val="0"/>
          <w:strike w:val="0"/>
          <w:noProof w:val="0"/>
          <w:color w:val="000000"/>
          <w:position w:val="0"/>
          <w:sz w:val="20"/>
          <w:u w:val="none"/>
          <w:vertAlign w:val="baseline"/>
        </w:rPr>
        <w:t xml:space="preserve">). </w:t>
      </w:r>
      <w:bookmarkStart w:id="39" w:name="Bookmark_I6CH1PJM2D6NB50040000400_3"/>
      <w:bookmarkEnd w:id="39"/>
      <w:r>
        <w:rPr>
          <w:rFonts w:ascii="arial" w:eastAsia="arial" w:hAnsi="arial" w:cs="arial"/>
          <w:b w:val="0"/>
          <w:i w:val="0"/>
          <w:strike w:val="0"/>
          <w:noProof w:val="0"/>
          <w:color w:val="000000"/>
          <w:position w:val="0"/>
          <w:sz w:val="20"/>
          <w:u w:val="none"/>
          <w:vertAlign w:val="baseline"/>
        </w:rPr>
        <w:t xml:space="preserve">"A motion for reconsideration 'must clearly establish either a manifest error of law or fact or must present newly discovered evidence' and 'cannot be used to raise arguments which could, and should, have been made before the judgment issued' or 'to argue a case under a new legal theory." </w:t>
      </w:r>
      <w:bookmarkStart w:id="40" w:name="Bookmark_I6CH1PJM2D6NB50030000400"/>
      <w:bookmarkEnd w:id="40"/>
      <w:hyperlink r:id="rId18" w:history="1">
        <w:r>
          <w:rPr>
            <w:rFonts w:ascii="arial" w:eastAsia="arial" w:hAnsi="arial" w:cs="arial"/>
            <w:b w:val="0"/>
            <w:i/>
            <w:strike w:val="0"/>
            <w:noProof w:val="0"/>
            <w:color w:val="0077CC"/>
            <w:position w:val="0"/>
            <w:sz w:val="20"/>
            <w:u w:val="single"/>
            <w:vertAlign w:val="baseline"/>
          </w:rPr>
          <w:t>United States v. Wilson</w:t>
        </w:r>
      </w:hyperlink>
      <w:hyperlink r:id="rId18" w:history="1">
        <w:r>
          <w:rPr>
            <w:rFonts w:ascii="arial" w:eastAsia="arial" w:hAnsi="arial" w:cs="arial"/>
            <w:b w:val="0"/>
            <w:i/>
            <w:strike w:val="0"/>
            <w:noProof w:val="0"/>
            <w:color w:val="0077CC"/>
            <w:position w:val="0"/>
            <w:sz w:val="20"/>
            <w:u w:val="single"/>
            <w:vertAlign w:val="baseline"/>
          </w:rPr>
          <w:t>, 555 F. App'x 417, 418 (5th Cir. 2014)</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Lynn states that he is not "seeking a reconsideration of the court's order of May 31, 2022; that is, he is not once again moving for 'early termination' of the ten-year term of supervised release imposed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this court in 1991." [9], pps. 1-2. However, the Motion [9] is titled "Motion to Correct Error in Execution of Multiple Terms of Supervised Release," and he requests the Court "revisit" its previous order and "enter an order of judicial clarification stating that his obligations to the Southern District of Mississippi, Southern Division, have now been satisfied." [9]; [12]. In other words, Lynn requests the Court reconsider its May 31, 2022, Order [8] and declare his term of supervised release has been fulfilled. Lynn just does so for different reasons. This time Lynn argues that this Court is required to terminate his supervised release imposed by the Southern District of Mississippi because it ran concurrently to the Alabama term—which has ended.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42" w:name="Bookmark_para_7"/>
      <w:bookmarkEnd w:id="42"/>
      <w:bookmarkStart w:id="43" w:name="Bookmark_I6CH1PJM2N1R7H0010000400"/>
      <w:bookmarkEnd w:id="43"/>
      <w:r>
        <w:rPr>
          <w:rFonts w:ascii="arial" w:eastAsia="arial" w:hAnsi="arial" w:cs="arial"/>
          <w:b w:val="0"/>
          <w:i w:val="0"/>
          <w:strike w:val="0"/>
          <w:noProof w:val="0"/>
          <w:color w:val="000000"/>
          <w:position w:val="0"/>
          <w:sz w:val="20"/>
          <w:u w:val="none"/>
          <w:vertAlign w:val="baseline"/>
        </w:rPr>
        <w:t xml:space="preserve">"Federal law mandates that once a criminal defendant is released from prison, his supervised release term must run concurrently to any other supervision to which he is subject[.]" </w:t>
      </w:r>
      <w:bookmarkStart w:id="44" w:name="Bookmark_I6CH1PJM2D6NB50050000400"/>
      <w:bookmarkEnd w:id="44"/>
      <w:hyperlink r:id="rId19" w:history="1">
        <w:r>
          <w:rPr>
            <w:rFonts w:ascii="arial" w:eastAsia="arial" w:hAnsi="arial" w:cs="arial"/>
            <w:b w:val="0"/>
            <w:i/>
            <w:strike w:val="0"/>
            <w:noProof w:val="0"/>
            <w:color w:val="0077CC"/>
            <w:position w:val="0"/>
            <w:sz w:val="20"/>
            <w:u w:val="single"/>
            <w:vertAlign w:val="baseline"/>
          </w:rPr>
          <w:t>UNITED STATES v. HERNANDEZ-GUEVARA</w:t>
        </w:r>
      </w:hyperlink>
      <w:hyperlink r:id="rId19" w:history="1">
        <w:r>
          <w:rPr>
            <w:rFonts w:ascii="arial" w:eastAsia="arial" w:hAnsi="arial" w:cs="arial"/>
            <w:b w:val="0"/>
            <w:i/>
            <w:strike w:val="0"/>
            <w:noProof w:val="0"/>
            <w:color w:val="0077CC"/>
            <w:position w:val="0"/>
            <w:sz w:val="20"/>
            <w:u w:val="single"/>
            <w:vertAlign w:val="baseline"/>
          </w:rPr>
          <w:t>, 162 F.3d 863, 877 (5th Cir. 1998)</w:t>
        </w:r>
      </w:hyperlink>
      <w:r>
        <w:rPr>
          <w:rFonts w:ascii="arial" w:eastAsia="arial" w:hAnsi="arial" w:cs="arial"/>
          <w:b w:val="0"/>
          <w:i w:val="0"/>
          <w:strike w:val="0"/>
          <w:noProof w:val="0"/>
          <w:color w:val="000000"/>
          <w:position w:val="0"/>
          <w:sz w:val="20"/>
          <w:u w:val="none"/>
          <w:vertAlign w:val="baseline"/>
        </w:rPr>
        <w:t>. The statute governing supervised release provides:</w:t>
      </w:r>
    </w:p>
    <w:p>
      <w:pPr>
        <w:keepNext w:val="0"/>
        <w:spacing w:before="200" w:after="0" w:line="260" w:lineRule="atLeast"/>
        <w:ind w:left="400" w:right="0" w:firstLine="0"/>
        <w:jc w:val="both"/>
      </w:pPr>
      <w:bookmarkStart w:id="45" w:name="Bookmark_para_8"/>
      <w:bookmarkEnd w:id="45"/>
      <w:bookmarkStart w:id="46" w:name="Bookmark_I6CH1PJM2N1R7H0010000400_2"/>
      <w:bookmarkEnd w:id="46"/>
      <w:r>
        <w:rPr>
          <w:rFonts w:ascii="arial" w:eastAsia="arial" w:hAnsi="arial" w:cs="arial"/>
          <w:b w:val="0"/>
          <w:i w:val="0"/>
          <w:strike w:val="0"/>
          <w:noProof w:val="0"/>
          <w:color w:val="000000"/>
          <w:position w:val="0"/>
          <w:sz w:val="20"/>
          <w:u w:val="none"/>
          <w:vertAlign w:val="baseline"/>
        </w:rPr>
        <w:t>The term of supervised release commences on the day the person is released from imprisonment and runs concurrently with any Federal, State, or local term of probation or supervised release or parole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another offense to which the person is subject or becomes subject during the term of supervised release.</w:t>
      </w:r>
    </w:p>
    <w:p>
      <w:pPr>
        <w:keepNext w:val="0"/>
        <w:spacing w:before="20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18 U.S.C. § 3624(e)</w:t>
        </w:r>
      </w:hyperlink>
      <w:r>
        <w:rPr>
          <w:rFonts w:ascii="arial" w:eastAsia="arial" w:hAnsi="arial" w:cs="arial"/>
          <w:b w:val="0"/>
          <w:i w:val="0"/>
          <w:strike w:val="0"/>
          <w:noProof w:val="0"/>
          <w:color w:val="000000"/>
          <w:position w:val="0"/>
          <w:sz w:val="20"/>
          <w:u w:val="none"/>
          <w:vertAlign w:val="baseline"/>
        </w:rPr>
        <w:t xml:space="preserve">. Lynn argues that </w:t>
      </w:r>
      <w:hyperlink r:id="rId20" w:history="1">
        <w:r>
          <w:rPr>
            <w:rFonts w:ascii="arial" w:eastAsia="arial" w:hAnsi="arial" w:cs="arial"/>
            <w:b w:val="0"/>
            <w:i/>
            <w:strike w:val="0"/>
            <w:noProof w:val="0"/>
            <w:color w:val="0077CC"/>
            <w:position w:val="0"/>
            <w:sz w:val="20"/>
            <w:u w:val="single"/>
            <w:vertAlign w:val="baseline"/>
          </w:rPr>
          <w:t>Section 3624(e)</w:t>
        </w:r>
      </w:hyperlink>
      <w:r>
        <w:rPr>
          <w:rFonts w:ascii="arial" w:eastAsia="arial" w:hAnsi="arial" w:cs="arial"/>
          <w:b w:val="0"/>
          <w:i w:val="0"/>
          <w:strike w:val="0"/>
          <w:noProof w:val="0"/>
          <w:color w:val="000000"/>
          <w:position w:val="0"/>
          <w:sz w:val="20"/>
          <w:u w:val="none"/>
          <w:vertAlign w:val="baseline"/>
        </w:rPr>
        <w:t xml:space="preserve"> requires his term of supervised release in Mississippi to be terminated. [9], p. 4. According to Lynn, in situations where multiple courts impose terms of supervised release, and one court—in this case the Alabama federal court—terminates supervised release, then the supervised release imposed by another court—here, the Mississippi federal court—must also be terminated.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7" w:name="Bookmark_para_9"/>
      <w:bookmarkEnd w:id="47"/>
      <w:bookmarkStart w:id="48" w:name="Bookmark_I6CH1PJM2N1R7H0030000400"/>
      <w:bookmarkEnd w:id="48"/>
      <w:r>
        <w:rPr>
          <w:rFonts w:ascii="arial" w:eastAsia="arial" w:hAnsi="arial" w:cs="arial"/>
          <w:b w:val="0"/>
          <w:i w:val="0"/>
          <w:strike w:val="0"/>
          <w:noProof w:val="0"/>
          <w:color w:val="000000"/>
          <w:position w:val="0"/>
          <w:sz w:val="20"/>
          <w:u w:val="none"/>
          <w:vertAlign w:val="baseline"/>
        </w:rPr>
        <w:t xml:space="preserve">Lynn is simply wrong. </w:t>
      </w:r>
      <w:bookmarkStart w:id="49" w:name="Bookmark_I6CH1PJM2N1R7H0050000400"/>
      <w:bookmarkEnd w:id="49"/>
      <w:r>
        <w:rPr>
          <w:rFonts w:ascii="arial" w:eastAsia="arial" w:hAnsi="arial" w:cs="arial"/>
          <w:b w:val="0"/>
          <w:i w:val="0"/>
          <w:strike w:val="0"/>
          <w:noProof w:val="0"/>
          <w:color w:val="000000"/>
          <w:position w:val="0"/>
          <w:sz w:val="20"/>
          <w:u w:val="none"/>
          <w:vertAlign w:val="baseline"/>
        </w:rPr>
        <w:t xml:space="preserve">Concurrent sentences are defined as "[t]wo or more sentences of jail time to be served simultaneously." Concurrent Sentences, BLACK'S LAW DICTIONARY (11th ed. 2019). "[T]hat does not mean the sentences will end at the same time." </w:t>
      </w:r>
      <w:bookmarkStart w:id="50" w:name="Bookmark_I6CH1PJM2N1R7H0020000400"/>
      <w:bookmarkEnd w:id="50"/>
      <w:hyperlink r:id="rId21" w:history="1">
        <w:r>
          <w:rPr>
            <w:rFonts w:ascii="arial" w:eastAsia="arial" w:hAnsi="arial" w:cs="arial"/>
            <w:b w:val="0"/>
            <w:i/>
            <w:strike w:val="0"/>
            <w:noProof w:val="0"/>
            <w:color w:val="0077CC"/>
            <w:position w:val="0"/>
            <w:sz w:val="20"/>
            <w:u w:val="single"/>
            <w:vertAlign w:val="baseline"/>
          </w:rPr>
          <w:t>Brown v. Parker</w:t>
        </w:r>
      </w:hyperlink>
      <w:hyperlink r:id="rId21" w:history="1">
        <w:r>
          <w:rPr>
            <w:rFonts w:ascii="arial" w:eastAsia="arial" w:hAnsi="arial" w:cs="arial"/>
            <w:b w:val="0"/>
            <w:i/>
            <w:strike w:val="0"/>
            <w:noProof w:val="0"/>
            <w:color w:val="0077CC"/>
            <w:position w:val="0"/>
            <w:sz w:val="20"/>
            <w:u w:val="single"/>
            <w:vertAlign w:val="baseline"/>
          </w:rPr>
          <w:t>, 771 F.3d 1270, 1272 (10th Cir. 2014)</w:t>
        </w:r>
      </w:hyperlink>
      <w:r>
        <w:rPr>
          <w:rFonts w:ascii="arial" w:eastAsia="arial" w:hAnsi="arial" w:cs="arial"/>
          <w:b w:val="0"/>
          <w:i w:val="0"/>
          <w:strike w:val="0"/>
          <w:noProof w:val="0"/>
          <w:color w:val="000000"/>
          <w:position w:val="0"/>
          <w:sz w:val="20"/>
          <w:u w:val="none"/>
          <w:vertAlign w:val="baseline"/>
        </w:rPr>
        <w:t xml:space="preserve">. </w:t>
      </w:r>
      <w:bookmarkStart w:id="51" w:name="Bookmark_I6CH1PJM2N1R7H0050000400_2"/>
      <w:bookmarkEnd w:id="51"/>
      <w:r>
        <w:rPr>
          <w:rFonts w:ascii="arial" w:eastAsia="arial" w:hAnsi="arial" w:cs="arial"/>
          <w:b w:val="0"/>
          <w:i w:val="0"/>
          <w:strike w:val="0"/>
          <w:noProof w:val="0"/>
          <w:color w:val="000000"/>
          <w:position w:val="0"/>
          <w:sz w:val="20"/>
          <w:u w:val="none"/>
          <w:vertAlign w:val="baseline"/>
        </w:rPr>
        <w:t xml:space="preserve">On the other hand, "a coterminous sentence is a sentence that runs concurrently with another sentence and is ordered to terminate simultaneously with the other sentence." </w:t>
      </w:r>
      <w:bookmarkStart w:id="52" w:name="Bookmark_I6CH1PJM2N1R7H0040000400"/>
      <w:bookmarkEnd w:id="52"/>
      <w:hyperlink r:id="rId22" w:history="1">
        <w:r>
          <w:rPr>
            <w:rFonts w:ascii="arial" w:eastAsia="arial" w:hAnsi="arial" w:cs="arial"/>
            <w:b w:val="0"/>
            <w:i/>
            <w:strike w:val="0"/>
            <w:noProof w:val="0"/>
            <w:color w:val="0077CC"/>
            <w:position w:val="0"/>
            <w:sz w:val="20"/>
            <w:u w:val="single"/>
            <w:vertAlign w:val="baseline"/>
          </w:rPr>
          <w:t>Whitfield v. State</w:t>
        </w:r>
      </w:hyperlink>
      <w:hyperlink r:id="rId22" w:history="1">
        <w:r>
          <w:rPr>
            <w:rFonts w:ascii="arial" w:eastAsia="arial" w:hAnsi="arial" w:cs="arial"/>
            <w:b w:val="0"/>
            <w:i/>
            <w:strike w:val="0"/>
            <w:noProof w:val="0"/>
            <w:color w:val="0077CC"/>
            <w:position w:val="0"/>
            <w:sz w:val="20"/>
            <w:u w:val="single"/>
            <w:vertAlign w:val="baseline"/>
          </w:rPr>
          <w:t>, 95 So. 3d 964, 965 n. 3 (Fla. Dist. Ct. App.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0"/>
      <w:bookmarkEnd w:id="53"/>
      <w:bookmarkStart w:id="54" w:name="Bookmark_I6CH1PJM2D6NB70020000400"/>
      <w:bookmarkEnd w:id="54"/>
      <w:hyperlink r:id="rId20" w:history="1">
        <w:r>
          <w:rPr>
            <w:rFonts w:ascii="arial" w:eastAsia="arial" w:hAnsi="arial" w:cs="arial"/>
            <w:b w:val="0"/>
            <w:i/>
            <w:strike w:val="0"/>
            <w:color w:val="0077CC"/>
            <w:sz w:val="20"/>
            <w:u w:val="single"/>
            <w:vertAlign w:val="baseline"/>
          </w:rPr>
          <w:t>Section 3624(e)</w:t>
        </w:r>
      </w:hyperlink>
      <w:r>
        <w:rPr>
          <w:rFonts w:ascii="arial" w:eastAsia="arial" w:hAnsi="arial" w:cs="arial"/>
          <w:b w:val="0"/>
          <w:i w:val="0"/>
          <w:strike w:val="0"/>
          <w:noProof w:val="0"/>
          <w:color w:val="000000"/>
          <w:position w:val="0"/>
          <w:sz w:val="20"/>
          <w:u w:val="none"/>
          <w:vertAlign w:val="baseline"/>
        </w:rPr>
        <w:t xml:space="preserve"> specifically states that supervised release run "concurrently with any Federal . . . term of probation or supervised release[.]" </w:t>
      </w:r>
      <w:hyperlink r:id="rId20" w:history="1">
        <w:r>
          <w:rPr>
            <w:rFonts w:ascii="arial" w:eastAsia="arial" w:hAnsi="arial" w:cs="arial"/>
            <w:b w:val="0"/>
            <w:i/>
            <w:strike w:val="0"/>
            <w:noProof w:val="0"/>
            <w:color w:val="0077CC"/>
            <w:position w:val="0"/>
            <w:sz w:val="20"/>
            <w:u w:val="single"/>
            <w:vertAlign w:val="baseline"/>
          </w:rPr>
          <w:t>18 U.S.C. § 3624(e)</w:t>
        </w:r>
      </w:hyperlink>
      <w:r>
        <w:rPr>
          <w:rFonts w:ascii="arial" w:eastAsia="arial" w:hAnsi="arial" w:cs="arial"/>
          <w:b w:val="0"/>
          <w:i w:val="0"/>
          <w:strike w:val="0"/>
          <w:noProof w:val="0"/>
          <w:color w:val="000000"/>
          <w:position w:val="0"/>
          <w:sz w:val="20"/>
          <w:u w:val="none"/>
          <w:vertAlign w:val="baseline"/>
        </w:rPr>
        <w:t>. Contrary to Lynn's argument, the termination of the Alabama supervised release has no impact on his supervised release imposed by this Court.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5" w:name="Bookmark_I6CH1PJM2D6NB70010000400"/>
      <w:bookmarkEnd w:id="55"/>
      <w:hyperlink r:id="rId23" w:history="1">
        <w:r>
          <w:rPr>
            <w:rFonts w:ascii="arial" w:eastAsia="arial" w:hAnsi="arial" w:cs="arial"/>
            <w:b w:val="0"/>
            <w:i/>
            <w:strike w:val="0"/>
            <w:noProof w:val="0"/>
            <w:color w:val="0077CC"/>
            <w:position w:val="0"/>
            <w:sz w:val="20"/>
            <w:u w:val="single"/>
            <w:vertAlign w:val="baseline"/>
          </w:rPr>
          <w:t>United States v. Skaggs</w:t>
        </w:r>
      </w:hyperlink>
      <w:hyperlink r:id="rId23" w:history="1">
        <w:r>
          <w:rPr>
            <w:rFonts w:ascii="arial" w:eastAsia="arial" w:hAnsi="arial" w:cs="arial"/>
            <w:b w:val="0"/>
            <w:i/>
            <w:strike w:val="0"/>
            <w:noProof w:val="0"/>
            <w:color w:val="0077CC"/>
            <w:position w:val="0"/>
            <w:sz w:val="20"/>
            <w:u w:val="single"/>
            <w:vertAlign w:val="baseline"/>
          </w:rPr>
          <w:t>, 23 F.4th 342 (4th Cir. 2022)</w:t>
        </w:r>
      </w:hyperlink>
      <w:r>
        <w:rPr>
          <w:rFonts w:ascii="arial" w:eastAsia="arial" w:hAnsi="arial" w:cs="arial"/>
          <w:b w:val="0"/>
          <w:i w:val="0"/>
          <w:strike w:val="0"/>
          <w:noProof w:val="0"/>
          <w:color w:val="000000"/>
          <w:position w:val="0"/>
          <w:sz w:val="20"/>
          <w:u w:val="none"/>
          <w:vertAlign w:val="baseline"/>
        </w:rPr>
        <w:t xml:space="preserve"> (holding concurrent sentences are separate and distinct sentences); </w:t>
      </w:r>
      <w:bookmarkStart w:id="56" w:name="Bookmark_I6CH1PJM2D6NB70030000400"/>
      <w:bookmarkEnd w:id="56"/>
      <w:hyperlink r:id="rId24" w:history="1">
        <w:r>
          <w:rPr>
            <w:rFonts w:ascii="arial" w:eastAsia="arial" w:hAnsi="arial" w:cs="arial"/>
            <w:b w:val="0"/>
            <w:i/>
            <w:strike w:val="0"/>
            <w:noProof w:val="0"/>
            <w:color w:val="0077CC"/>
            <w:position w:val="0"/>
            <w:sz w:val="20"/>
            <w:u w:val="single"/>
            <w:vertAlign w:val="baseline"/>
          </w:rPr>
          <w:t>Gerberding v. United States</w:t>
        </w:r>
      </w:hyperlink>
      <w:hyperlink r:id="rId24" w:history="1">
        <w:r>
          <w:rPr>
            <w:rFonts w:ascii="arial" w:eastAsia="arial" w:hAnsi="arial" w:cs="arial"/>
            <w:b w:val="0"/>
            <w:i/>
            <w:strike w:val="0"/>
            <w:noProof w:val="0"/>
            <w:color w:val="0077CC"/>
            <w:position w:val="0"/>
            <w:sz w:val="20"/>
            <w:u w:val="single"/>
            <w:vertAlign w:val="baseline"/>
          </w:rPr>
          <w:t>, 484 F.2d 1353, (8th Cir. 1973)</w:t>
        </w:r>
      </w:hyperlink>
      <w:r>
        <w:rPr>
          <w:rFonts w:ascii="arial" w:eastAsia="arial" w:hAnsi="arial" w:cs="arial"/>
          <w:b w:val="0"/>
          <w:i w:val="0"/>
          <w:strike w:val="0"/>
          <w:noProof w:val="0"/>
          <w:color w:val="000000"/>
          <w:position w:val="0"/>
          <w:sz w:val="20"/>
          <w:u w:val="none"/>
          <w:vertAlign w:val="baseline"/>
        </w:rPr>
        <w:t xml:space="preserve"> (holding that the termination of one concurrent sentence does not terminate all concurrent sentences) (citing </w:t>
      </w:r>
      <w:bookmarkStart w:id="57" w:name="Bookmark_I6CH1PJM2D6NB70050000400"/>
      <w:bookmarkEnd w:id="57"/>
      <w:hyperlink r:id="rId25" w:history="1">
        <w:r>
          <w:rPr>
            <w:rFonts w:ascii="arial" w:eastAsia="arial" w:hAnsi="arial" w:cs="arial"/>
            <w:b w:val="0"/>
            <w:i/>
            <w:strike w:val="0"/>
            <w:noProof w:val="0"/>
            <w:color w:val="0077CC"/>
            <w:position w:val="0"/>
            <w:sz w:val="20"/>
            <w:u w:val="single"/>
            <w:vertAlign w:val="baseline"/>
          </w:rPr>
          <w:t>Bible v. Arizona</w:t>
        </w:r>
      </w:hyperlink>
      <w:hyperlink r:id="rId25" w:history="1">
        <w:r>
          <w:rPr>
            <w:rFonts w:ascii="arial" w:eastAsia="arial" w:hAnsi="arial" w:cs="arial"/>
            <w:b w:val="0"/>
            <w:i/>
            <w:strike w:val="0"/>
            <w:noProof w:val="0"/>
            <w:color w:val="0077CC"/>
            <w:position w:val="0"/>
            <w:sz w:val="20"/>
            <w:u w:val="single"/>
            <w:vertAlign w:val="baseline"/>
          </w:rPr>
          <w:t>, 449 F.2d 111 (9th Cir. 1971)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1"/>
      <w:bookmarkEnd w:id="58"/>
      <w:bookmarkStart w:id="59" w:name="Bookmark_I6CH1PJN2D6NB80030000400"/>
      <w:bookmarkEnd w:id="59"/>
      <w:r>
        <w:rPr>
          <w:rFonts w:ascii="arial" w:eastAsia="arial" w:hAnsi="arial" w:cs="arial"/>
          <w:b w:val="0"/>
          <w:i w:val="0"/>
          <w:strike w:val="0"/>
          <w:noProof w:val="0"/>
          <w:color w:val="000000"/>
          <w:position w:val="0"/>
          <w:sz w:val="20"/>
          <w:u w:val="none"/>
          <w:vertAlign w:val="baseline"/>
        </w:rPr>
        <w:t xml:space="preserve">Lynn also requests the Court apply the rule of lenity to </w:t>
      </w:r>
      <w:hyperlink r:id="rId20" w:history="1">
        <w:r>
          <w:rPr>
            <w:rFonts w:ascii="arial" w:eastAsia="arial" w:hAnsi="arial" w:cs="arial"/>
            <w:b w:val="0"/>
            <w:i/>
            <w:strike w:val="0"/>
            <w:noProof w:val="0"/>
            <w:color w:val="0077CC"/>
            <w:position w:val="0"/>
            <w:sz w:val="20"/>
            <w:u w:val="single"/>
            <w:vertAlign w:val="baseline"/>
          </w:rPr>
          <w:t>Section 3624</w:t>
        </w:r>
      </w:hyperlink>
      <w:r>
        <w:rPr>
          <w:rFonts w:ascii="arial" w:eastAsia="arial" w:hAnsi="arial" w:cs="arial"/>
          <w:b w:val="0"/>
          <w:i w:val="0"/>
          <w:strike w:val="0"/>
          <w:noProof w:val="0"/>
          <w:color w:val="000000"/>
          <w:position w:val="0"/>
          <w:sz w:val="20"/>
          <w:u w:val="none"/>
          <w:vertAlign w:val="baseline"/>
        </w:rPr>
        <w:t xml:space="preserve"> because the statute "does not speak directly to these circumstances and makes no distinction as to those terms imposed by different courts, for different offenses, on different occasions[.]" [12], p. 2. But the rule of lenity applies "only when, after consulting traditional canons of statutory construction, [the Court is] left with an ambiguous statute." </w:t>
      </w:r>
      <w:bookmarkStart w:id="60" w:name="Bookmark_I6CH1PJN2D6NB80020000400"/>
      <w:bookmarkEnd w:id="60"/>
      <w:hyperlink r:id="rId26" w:history="1">
        <w:r>
          <w:rPr>
            <w:rFonts w:ascii="arial" w:eastAsia="arial" w:hAnsi="arial" w:cs="arial"/>
            <w:b w:val="0"/>
            <w:i/>
            <w:strike w:val="0"/>
            <w:noProof w:val="0"/>
            <w:color w:val="0077CC"/>
            <w:position w:val="0"/>
            <w:sz w:val="20"/>
            <w:u w:val="single"/>
            <w:vertAlign w:val="baseline"/>
          </w:rPr>
          <w:t>Shular v. United States</w:t>
        </w:r>
      </w:hyperlink>
      <w:hyperlink r:id="rId26" w:history="1">
        <w:r>
          <w:rPr>
            <w:rFonts w:ascii="arial" w:eastAsia="arial" w:hAnsi="arial" w:cs="arial"/>
            <w:b w:val="0"/>
            <w:i/>
            <w:strike w:val="0"/>
            <w:noProof w:val="0"/>
            <w:color w:val="0077CC"/>
            <w:position w:val="0"/>
            <w:sz w:val="20"/>
            <w:u w:val="single"/>
            <w:vertAlign w:val="baseline"/>
          </w:rPr>
          <w:t xml:space="preserve">, </w:t>
        </w:r>
      </w:hyperlink>
      <w:hyperlink r:id="rId26" w:history="1">
        <w:r>
          <w:rPr>
            <w:rFonts w:ascii="arial" w:eastAsia="arial" w:hAnsi="arial" w:cs="arial"/>
            <w:b w:val="0"/>
            <w:i/>
            <w:strike w:val="0"/>
            <w:noProof w:val="0"/>
            <w:color w:val="0077CC"/>
            <w:position w:val="0"/>
            <w:sz w:val="20"/>
            <w:u w:val="single"/>
            <w:vertAlign w:val="baseline"/>
          </w:rPr>
          <w:t>   </w:t>
        </w:r>
      </w:hyperlink>
      <w:hyperlink r:id="rId26" w:history="1">
        <w:r>
          <w:rPr>
            <w:rFonts w:ascii="arial" w:eastAsia="arial" w:hAnsi="arial" w:cs="arial"/>
            <w:b w:val="0"/>
            <w:i/>
            <w:strike w:val="0"/>
            <w:noProof w:val="0"/>
            <w:color w:val="0077CC"/>
            <w:position w:val="0"/>
            <w:sz w:val="20"/>
            <w:u w:val="single"/>
            <w:vertAlign w:val="baseline"/>
          </w:rPr>
          <w:t xml:space="preserve"> U.S. </w:t>
        </w:r>
      </w:hyperlink>
      <w:hyperlink r:id="rId26" w:history="1">
        <w:r>
          <w:rPr>
            <w:rFonts w:ascii="arial" w:eastAsia="arial" w:hAnsi="arial" w:cs="arial"/>
            <w:b w:val="0"/>
            <w:i/>
            <w:strike w:val="0"/>
            <w:noProof w:val="0"/>
            <w:color w:val="0077CC"/>
            <w:position w:val="0"/>
            <w:sz w:val="20"/>
            <w:u w:val="single"/>
            <w:vertAlign w:val="baseline"/>
          </w:rPr>
          <w:t>   </w:t>
        </w:r>
      </w:hyperlink>
      <w:hyperlink r:id="rId26" w:history="1">
        <w:r>
          <w:rPr>
            <w:rFonts w:ascii="arial" w:eastAsia="arial" w:hAnsi="arial" w:cs="arial"/>
            <w:b w:val="0"/>
            <w:i/>
            <w:strike w:val="0"/>
            <w:noProof w:val="0"/>
            <w:color w:val="0077CC"/>
            <w:position w:val="0"/>
            <w:sz w:val="20"/>
            <w:u w:val="single"/>
            <w:vertAlign w:val="baseline"/>
          </w:rPr>
          <w:t>, 589 U.S. 154, 140 S. Ct. 779, 787, 206 L. Ed. 2d 81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2"/>
      <w:bookmarkEnd w:id="61"/>
      <w:bookmarkStart w:id="62" w:name="Bookmark_I6CH1PJN2D6NB80050000400"/>
      <w:bookmarkEnd w:id="62"/>
      <w:r>
        <w:rPr>
          <w:rFonts w:ascii="arial" w:eastAsia="arial" w:hAnsi="arial" w:cs="arial"/>
          <w:b w:val="0"/>
          <w:i w:val="0"/>
          <w:strike w:val="0"/>
          <w:noProof w:val="0"/>
          <w:color w:val="000000"/>
          <w:position w:val="0"/>
          <w:sz w:val="20"/>
          <w:u w:val="none"/>
          <w:vertAlign w:val="baseline"/>
        </w:rPr>
        <w:t xml:space="preserve">The statute is not ambiguous. </w:t>
      </w:r>
      <w:r>
        <w:rPr>
          <w:rFonts w:ascii="arial" w:eastAsia="arial" w:hAnsi="arial" w:cs="arial"/>
          <w:b w:val="0"/>
          <w:i/>
          <w:strike w:val="0"/>
          <w:noProof w:val="0"/>
          <w:color w:val="000000"/>
          <w:position w:val="0"/>
          <w:sz w:val="20"/>
          <w:u w:val="none"/>
          <w:vertAlign w:val="baseline"/>
        </w:rPr>
        <w:t xml:space="preserve">See </w:t>
      </w:r>
      <w:bookmarkStart w:id="63" w:name="Bookmark_I6CH1PJN2D6NB80040000400"/>
      <w:bookmarkEnd w:id="63"/>
      <w:hyperlink r:id="rId27" w:history="1">
        <w:r>
          <w:rPr>
            <w:rFonts w:ascii="arial" w:eastAsia="arial" w:hAnsi="arial" w:cs="arial"/>
            <w:b w:val="0"/>
            <w:i/>
            <w:strike w:val="0"/>
            <w:noProof w:val="0"/>
            <w:color w:val="0077CC"/>
            <w:position w:val="0"/>
            <w:sz w:val="20"/>
            <w:u w:val="single"/>
            <w:vertAlign w:val="baseline"/>
          </w:rPr>
          <w:t>United States v. Molina-Gazca</w:t>
        </w:r>
      </w:hyperlink>
      <w:hyperlink r:id="rId27" w:history="1">
        <w:r>
          <w:rPr>
            <w:rFonts w:ascii="arial" w:eastAsia="arial" w:hAnsi="arial" w:cs="arial"/>
            <w:b w:val="0"/>
            <w:i/>
            <w:strike w:val="0"/>
            <w:noProof w:val="0"/>
            <w:color w:val="0077CC"/>
            <w:position w:val="0"/>
            <w:sz w:val="20"/>
            <w:u w:val="single"/>
            <w:vertAlign w:val="baseline"/>
          </w:rPr>
          <w:t>, 571 F.3d 470, 472-73 (5th Cir. 2009)</w:t>
        </w:r>
      </w:hyperlink>
      <w:r>
        <w:rPr>
          <w:rFonts w:ascii="arial" w:eastAsia="arial" w:hAnsi="arial" w:cs="arial"/>
          <w:b w:val="0"/>
          <w:i w:val="0"/>
          <w:strike w:val="0"/>
          <w:noProof w:val="0"/>
          <w:color w:val="000000"/>
          <w:position w:val="0"/>
          <w:sz w:val="20"/>
          <w:u w:val="none"/>
          <w:vertAlign w:val="baseline"/>
        </w:rPr>
        <w:t xml:space="preserve">; </w:t>
      </w:r>
      <w:bookmarkStart w:id="64" w:name="Bookmark_I6CH1PJN2D6NB90010000400"/>
      <w:bookmarkEnd w:id="64"/>
      <w:hyperlink r:id="rId28" w:history="1">
        <w:r>
          <w:rPr>
            <w:rFonts w:ascii="arial" w:eastAsia="arial" w:hAnsi="arial" w:cs="arial"/>
            <w:b w:val="0"/>
            <w:i/>
            <w:strike w:val="0"/>
            <w:noProof w:val="0"/>
            <w:color w:val="0077CC"/>
            <w:position w:val="0"/>
            <w:sz w:val="20"/>
            <w:u w:val="single"/>
            <w:vertAlign w:val="baseline"/>
          </w:rPr>
          <w:t>United States v. Jackson</w:t>
        </w:r>
      </w:hyperlink>
      <w:hyperlink r:id="rId28" w:history="1">
        <w:r>
          <w:rPr>
            <w:rFonts w:ascii="arial" w:eastAsia="arial" w:hAnsi="arial" w:cs="arial"/>
            <w:b w:val="0"/>
            <w:i/>
            <w:strike w:val="0"/>
            <w:noProof w:val="0"/>
            <w:color w:val="0077CC"/>
            <w:position w:val="0"/>
            <w:sz w:val="20"/>
            <w:u w:val="single"/>
            <w:vertAlign w:val="baseline"/>
          </w:rPr>
          <w:t>, 426 F.3d 301, 305 (5th Cir. 2005)</w:t>
        </w:r>
      </w:hyperlink>
      <w:r>
        <w:rPr>
          <w:rFonts w:ascii="arial" w:eastAsia="arial" w:hAnsi="arial" w:cs="arial"/>
          <w:b w:val="0"/>
          <w:i w:val="0"/>
          <w:strike w:val="0"/>
          <w:noProof w:val="0"/>
          <w:color w:val="000000"/>
          <w:position w:val="0"/>
          <w:sz w:val="20"/>
          <w:u w:val="none"/>
          <w:vertAlign w:val="baseline"/>
        </w:rPr>
        <w:t xml:space="preserve">; </w:t>
      </w:r>
      <w:bookmarkStart w:id="65" w:name="Bookmark_I6CH1PJN2D6NB90030000400"/>
      <w:bookmarkEnd w:id="65"/>
      <w:hyperlink r:id="rId29" w:history="1">
        <w:r>
          <w:rPr>
            <w:rFonts w:ascii="arial" w:eastAsia="arial" w:hAnsi="arial" w:cs="arial"/>
            <w:b w:val="0"/>
            <w:i/>
            <w:strike w:val="0"/>
            <w:noProof w:val="0"/>
            <w:color w:val="0077CC"/>
            <w:position w:val="0"/>
            <w:sz w:val="20"/>
            <w:u w:val="single"/>
            <w:vertAlign w:val="baseline"/>
          </w:rPr>
          <w:t>United States v. Refert</w:t>
        </w:r>
      </w:hyperlink>
      <w:hyperlink r:id="rId29" w:history="1">
        <w:r>
          <w:rPr>
            <w:rFonts w:ascii="arial" w:eastAsia="arial" w:hAnsi="arial" w:cs="arial"/>
            <w:b w:val="0"/>
            <w:i/>
            <w:strike w:val="0"/>
            <w:noProof w:val="0"/>
            <w:color w:val="0077CC"/>
            <w:position w:val="0"/>
            <w:sz w:val="20"/>
            <w:u w:val="single"/>
            <w:vertAlign w:val="baseline"/>
          </w:rPr>
          <w:t>, 519 F.3d 752, 759 (8th Cir. 2008)</w:t>
        </w:r>
      </w:hyperlink>
      <w:r>
        <w:rPr>
          <w:rFonts w:ascii="arial" w:eastAsia="arial" w:hAnsi="arial" w:cs="arial"/>
          <w:b w:val="0"/>
          <w:i w:val="0"/>
          <w:strike w:val="0"/>
          <w:noProof w:val="0"/>
          <w:color w:val="000000"/>
          <w:position w:val="0"/>
          <w:sz w:val="20"/>
          <w:u w:val="none"/>
          <w:vertAlign w:val="baseline"/>
        </w:rPr>
        <w:t>. Lynn is just wrong as to what concurrent means.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66" w:name="Bookmark_para_13"/>
      <w:bookmarkEnd w:id="66"/>
      <w:r>
        <w:rPr>
          <w:rFonts w:ascii="arial" w:eastAsia="arial" w:hAnsi="arial" w:cs="arial"/>
          <w:b w:val="0"/>
          <w:i w:val="0"/>
          <w:strike w:val="0"/>
          <w:noProof w:val="0"/>
          <w:color w:val="000000"/>
          <w:position w:val="0"/>
          <w:sz w:val="20"/>
          <w:u w:val="none"/>
          <w:vertAlign w:val="baseline"/>
        </w:rPr>
        <w:t>For the reasons set forth in this opinion, Lynn's Motion [9] to Correct Error in Execution of Multiple Terms of Supervised Release is DENIED.</w:t>
      </w:r>
    </w:p>
    <w:p>
      <w:pPr>
        <w:keepNext w:val="0"/>
        <w:spacing w:before="200" w:after="0" w:line="260" w:lineRule="atLeast"/>
        <w:ind w:left="0" w:right="0" w:firstLine="0"/>
        <w:jc w:val="both"/>
      </w:pPr>
      <w:bookmarkStart w:id="67" w:name="Bookmark_para_14"/>
      <w:bookmarkEnd w:id="67"/>
      <w:r>
        <w:rPr>
          <w:rFonts w:ascii="arial" w:eastAsia="arial" w:hAnsi="arial" w:cs="arial"/>
          <w:b w:val="0"/>
          <w:i w:val="0"/>
          <w:strike w:val="0"/>
          <w:noProof w:val="0"/>
          <w:color w:val="000000"/>
          <w:position w:val="0"/>
          <w:sz w:val="20"/>
          <w:u w:val="none"/>
          <w:vertAlign w:val="baseline"/>
        </w:rPr>
        <w:t>This the 24th day of February, 2023.</w:t>
      </w:r>
    </w:p>
    <w:p>
      <w:pPr>
        <w:keepNext w:val="0"/>
        <w:spacing w:before="200" w:after="0" w:line="260" w:lineRule="atLeast"/>
        <w:ind w:left="0" w:right="0" w:firstLine="0"/>
        <w:jc w:val="both"/>
      </w:pPr>
      <w:bookmarkStart w:id="68" w:name="Bookmark_para_15"/>
      <w:bookmarkEnd w:id="68"/>
      <w:r>
        <w:rPr>
          <w:rFonts w:ascii="arial" w:eastAsia="arial" w:hAnsi="arial" w:cs="arial"/>
          <w:b w:val="0"/>
          <w:i w:val="0"/>
          <w:strike w:val="0"/>
          <w:noProof w:val="0"/>
          <w:color w:val="000000"/>
          <w:position w:val="0"/>
          <w:sz w:val="20"/>
          <w:u w:val="none"/>
          <w:vertAlign w:val="baseline"/>
        </w:rPr>
        <w:t>/s/ Taylor B. McNeel</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TAYLOR B. McNEEL</w:t>
      </w:r>
    </w:p>
    <w:p>
      <w:pPr>
        <w:keepNext w:val="0"/>
        <w:spacing w:before="200" w:after="0" w:line="260" w:lineRule="atLeast"/>
        <w:ind w:left="0" w:right="0" w:firstLine="0"/>
        <w:jc w:val="both"/>
      </w:pPr>
      <w:bookmarkStart w:id="70" w:name="Bookmark_para_17"/>
      <w:bookmarkEnd w:id="7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A more extensive history of Lynn's exploits is detailed in this Court's prior Opinion Denying Motion to Terminate Supervised Release. [8]; </w:t>
      </w:r>
      <w:bookmarkStart w:id="11" w:name="Bookmark_I6CH1PJJ2HM6JW0010000400"/>
      <w:bookmarkEnd w:id="11"/>
      <w:hyperlink r:id="rId1" w:history="1">
        <w:r>
          <w:rPr>
            <w:rFonts w:ascii="arial" w:eastAsia="arial" w:hAnsi="arial" w:cs="arial"/>
            <w:b w:val="0"/>
            <w:i/>
            <w:strike w:val="0"/>
            <w:noProof w:val="0"/>
            <w:color w:val="0077CC"/>
            <w:position w:val="0"/>
            <w:sz w:val="18"/>
            <w:u w:val="single"/>
            <w:vertAlign w:val="baseline"/>
          </w:rPr>
          <w:t>United States v. Lynn</w:t>
        </w:r>
      </w:hyperlink>
      <w:hyperlink r:id="rId1" w:history="1">
        <w:r>
          <w:rPr>
            <w:rFonts w:ascii="arial" w:eastAsia="arial" w:hAnsi="arial" w:cs="arial"/>
            <w:b w:val="0"/>
            <w:i/>
            <w:strike w:val="0"/>
            <w:noProof w:val="0"/>
            <w:color w:val="0077CC"/>
            <w:position w:val="0"/>
            <w:sz w:val="18"/>
            <w:u w:val="single"/>
            <w:vertAlign w:val="baseline"/>
          </w:rPr>
          <w:t>, No. 1:90-cr-53, 2022 U.S. Dist. LEXIS 123193, 2022 WL 2446328 (S.D. Miss. May 31, 2022)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Lynn, 2023 U.S. Dist. LEXIS 239538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X4-7PF1-DXPM-S1WJ-00000-00&amp;context=1519360" TargetMode="External" /><Relationship Id="rId11" Type="http://schemas.openxmlformats.org/officeDocument/2006/relationships/hyperlink" Target="https://advance.lexis.com/api/document?collection=cases&amp;id=urn:contentItem:4C5B-5SH0-0038-X2XS-00000-00&amp;context=1519360" TargetMode="External" /><Relationship Id="rId12" Type="http://schemas.openxmlformats.org/officeDocument/2006/relationships/hyperlink" Target="https://advance.lexis.com/api/document?collection=cases&amp;id=urn:contentItem:3S4X-9260-003B-S43J-00000-00&amp;context=1519360" TargetMode="External" /><Relationship Id="rId13" Type="http://schemas.openxmlformats.org/officeDocument/2006/relationships/hyperlink" Target="https://advance.lexis.com/api/document?collection=statutes-legislation&amp;id=urn:contentItem:5GYC-2421-6N19-F16C-00000-00&amp;context=1519360" TargetMode="External" /><Relationship Id="rId14" Type="http://schemas.openxmlformats.org/officeDocument/2006/relationships/hyperlink" Target="https://advance.lexis.com/api/document?collection=cases&amp;id=urn:contentItem:5TX5-H2B1-JN6B-S33S-00000-00&amp;context=1519360" TargetMode="External" /><Relationship Id="rId15" Type="http://schemas.openxmlformats.org/officeDocument/2006/relationships/hyperlink" Target="https://advance.lexis.com/api/document?collection=cases&amp;id=urn:contentItem:66KK-16X1-JKPJ-G133-00000-00&amp;context=1519360" TargetMode="External" /><Relationship Id="rId16" Type="http://schemas.openxmlformats.org/officeDocument/2006/relationships/hyperlink" Target="https://advance.lexis.com/api/document?collection=cases&amp;id=urn:contentItem:4C6M-0W20-0038-X3DP-00000-00&amp;context=1519360" TargetMode="External" /><Relationship Id="rId17" Type="http://schemas.openxmlformats.org/officeDocument/2006/relationships/hyperlink" Target="https://advance.lexis.com/api/document?collection=cases&amp;id=urn:contentItem:46K9-X550-0038-X299-00000-00&amp;context=1519360" TargetMode="External" /><Relationship Id="rId18" Type="http://schemas.openxmlformats.org/officeDocument/2006/relationships/hyperlink" Target="https://advance.lexis.com/api/document?collection=cases&amp;id=urn:contentItem:5BJS-FJ51-F04K-N3VD-00000-00&amp;context=1519360" TargetMode="External" /><Relationship Id="rId19" Type="http://schemas.openxmlformats.org/officeDocument/2006/relationships/hyperlink" Target="https://advance.lexis.com/api/document?collection=cases&amp;id=urn:contentItem:3V9G-C6J0-0038-X32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V4-SV42-8T6X-72W2-00000-00&amp;context=1519360" TargetMode="External" /><Relationship Id="rId21" Type="http://schemas.openxmlformats.org/officeDocument/2006/relationships/hyperlink" Target="https://advance.lexis.com/api/document?collection=cases&amp;id=urn:contentItem:5DK8-XFK1-F04K-W0PR-00000-00&amp;context=1519360" TargetMode="External" /><Relationship Id="rId22" Type="http://schemas.openxmlformats.org/officeDocument/2006/relationships/hyperlink" Target="https://advance.lexis.com/api/document?collection=cases&amp;id=urn:contentItem:56C1-PPF1-F07Y-12DW-00000-00&amp;context=1519360" TargetMode="External" /><Relationship Id="rId23" Type="http://schemas.openxmlformats.org/officeDocument/2006/relationships/hyperlink" Target="https://advance.lexis.com/api/document?collection=cases&amp;id=urn:contentItem:64K1-1TC1-F22N-X4P7-00000-00&amp;context=1519360" TargetMode="External" /><Relationship Id="rId24" Type="http://schemas.openxmlformats.org/officeDocument/2006/relationships/hyperlink" Target="https://advance.lexis.com/api/document?collection=cases&amp;id=urn:contentItem:3S4W-YYJ0-0039-X41N-00000-00&amp;context=1519360" TargetMode="External" /><Relationship Id="rId25" Type="http://schemas.openxmlformats.org/officeDocument/2006/relationships/hyperlink" Target="https://advance.lexis.com/api/document?collection=cases&amp;id=urn:contentItem:3S4X-92D0-0039-X3XH-00000-00&amp;context=1519360" TargetMode="External" /><Relationship Id="rId26" Type="http://schemas.openxmlformats.org/officeDocument/2006/relationships/hyperlink" Target="https://advance.lexis.com/api/document?collection=cases&amp;id=urn:contentItem:5Y98-5DV1-JFKM-64BK-00000-00&amp;context=1519360" TargetMode="External" /><Relationship Id="rId27" Type="http://schemas.openxmlformats.org/officeDocument/2006/relationships/hyperlink" Target="https://advance.lexis.com/api/document?collection=cases&amp;id=urn:contentItem:4WHC-J110-TXFX-72J8-00000-00&amp;context=1519360" TargetMode="External" /><Relationship Id="rId28" Type="http://schemas.openxmlformats.org/officeDocument/2006/relationships/hyperlink" Target="https://advance.lexis.com/api/document?collection=cases&amp;id=urn:contentItem:4H58-W9J0-0038-X4GX-00000-00&amp;context=1519360" TargetMode="External" /><Relationship Id="rId29" Type="http://schemas.openxmlformats.org/officeDocument/2006/relationships/hyperlink" Target="https://advance.lexis.com/api/document?collection=cases&amp;id=urn:contentItem:4S22-1DW0-TXFX-B34K-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CFT-KD83-S2R7-10F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5X4-7PF1-DXPM-S1W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Lynn, 2023 U.S. Dist. LEXIS 239538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urn:user:PA186186283</vt:lpwstr>
  </property>
</Properties>
</file>