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Perpuly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21-4173</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264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CESAR PERPULY,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NORTHERN DISTRICT OF OHIO.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Fletcher, 2020 U.S. Dist. LEXIS 65254, 2020 WL 1872527 (N.D. Ohio, Apr. 14, 2020)</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guilty plea, magistrate judge, plea agreement, district court, guidelines, criminal history, right to appeal, base offense, imprisonment, conviction and sentence, plea hearing, confirmed, maximum, waived</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Margaret A. Sweeney, Office of the U.S. Attorney, Cleveland,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CESAR PERPULY, Defendant - Appellant, Pro se, Adelanto, CA.</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COLE, KETHLEDGE, and LARSEN,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0" w:name="Bookmark_para_3"/>
      <w:bookmarkEnd w:id="10"/>
      <w:bookmarkStart w:id="11" w:name="Bookmark_I6799T112D6P110020000400"/>
      <w:bookmarkEnd w:id="11"/>
      <w:r>
        <w:rPr>
          <w:rFonts w:ascii="arial" w:eastAsia="arial" w:hAnsi="arial" w:cs="arial"/>
          <w:b w:val="0"/>
          <w:i w:val="0"/>
          <w:strike w:val="0"/>
          <w:noProof w:val="0"/>
          <w:color w:val="000000"/>
          <w:position w:val="0"/>
          <w:sz w:val="20"/>
          <w:u w:val="none"/>
          <w:vertAlign w:val="baseline"/>
        </w:rPr>
        <w:t xml:space="preserve">Cesar Perpuly appeals his conviction and sentence for conspiracy to distribute and possess with intent to distribute controlled substances,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interstate travel in aid of racketeering, </w:t>
      </w:r>
      <w:hyperlink r:id="rId11" w:history="1">
        <w:r>
          <w:rPr>
            <w:rFonts w:ascii="arial" w:eastAsia="arial" w:hAnsi="arial" w:cs="arial"/>
            <w:b w:val="0"/>
            <w:i/>
            <w:strike w:val="0"/>
            <w:noProof w:val="0"/>
            <w:color w:val="0077CC"/>
            <w:position w:val="0"/>
            <w:sz w:val="20"/>
            <w:u w:val="single"/>
            <w:vertAlign w:val="baseline"/>
          </w:rPr>
          <w:t>18 U.S.C. § 1952(a)(3)</w:t>
        </w:r>
      </w:hyperlink>
      <w:r>
        <w:rPr>
          <w:rFonts w:ascii="arial" w:eastAsia="arial" w:hAnsi="arial" w:cs="arial"/>
          <w:b w:val="0"/>
          <w:i w:val="0"/>
          <w:strike w:val="0"/>
          <w:noProof w:val="0"/>
          <w:color w:val="000000"/>
          <w:position w:val="0"/>
          <w:sz w:val="20"/>
          <w:u w:val="none"/>
          <w:vertAlign w:val="baseline"/>
        </w:rPr>
        <w:t xml:space="preserve">. His counsel has filed a brief and a motion to withdraw pursuant to </w:t>
      </w:r>
      <w:bookmarkStart w:id="12" w:name="Bookmark_I6799T112D6P110010000400"/>
      <w:bookmarkEnd w:id="12"/>
      <w:hyperlink r:id="rId12" w:history="1">
        <w:r>
          <w:rPr>
            <w:rFonts w:ascii="arial" w:eastAsia="arial" w:hAnsi="arial" w:cs="arial"/>
            <w:b w:val="0"/>
            <w:i/>
            <w:strike w:val="0"/>
            <w:noProof w:val="0"/>
            <w:color w:val="0077CC"/>
            <w:position w:val="0"/>
            <w:sz w:val="20"/>
            <w:u w:val="single"/>
            <w:vertAlign w:val="baseline"/>
          </w:rPr>
          <w:t>Anders v. California</w:t>
        </w:r>
      </w:hyperlink>
      <w:hyperlink r:id="rId12" w:history="1">
        <w:r>
          <w:rPr>
            <w:rFonts w:ascii="arial" w:eastAsia="arial" w:hAnsi="arial" w:cs="arial"/>
            <w:b w:val="0"/>
            <w:i/>
            <w:strike w:val="0"/>
            <w:noProof w:val="0"/>
            <w:color w:val="0077CC"/>
            <w:position w:val="0"/>
            <w:sz w:val="20"/>
            <w:u w:val="single"/>
            <w:vertAlign w:val="baseline"/>
          </w:rPr>
          <w:t>, 386 U.S. 738, 87 S. Ct. 1396, 18 L. Ed. 2d 493 (1967)</w:t>
        </w:r>
      </w:hyperlink>
      <w:r>
        <w:rPr>
          <w:rFonts w:ascii="arial" w:eastAsia="arial" w:hAnsi="arial" w:cs="arial"/>
          <w:b w:val="0"/>
          <w:i w:val="0"/>
          <w:strike w:val="0"/>
          <w:noProof w:val="0"/>
          <w:color w:val="000000"/>
          <w:position w:val="0"/>
          <w:sz w:val="20"/>
          <w:u w:val="none"/>
          <w:vertAlign w:val="baseline"/>
        </w:rPr>
        <w:t xml:space="preserve">. This case has been referred to a panel of the court that, upon examination,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Pursuant to </w:t>
      </w:r>
      <w:hyperlink r:id="rId13" w:history="1">
        <w:r>
          <w:rPr>
            <w:rFonts w:ascii="arial" w:eastAsia="arial" w:hAnsi="arial" w:cs="arial"/>
            <w:b w:val="0"/>
            <w:i/>
            <w:strike w:val="0"/>
            <w:noProof w:val="0"/>
            <w:color w:val="0077CC"/>
            <w:position w:val="0"/>
            <w:sz w:val="20"/>
            <w:u w:val="single"/>
            <w:vertAlign w:val="baseline"/>
          </w:rPr>
          <w:t>Federal Rule of Criminal Procedure 11(c)(1)(A)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Perpuly pleaded guilty to conspiracy to distribute controlled substances—fentanyl, cocaine, and heroin—and interstate travel in aid of racketeering. Based on a stipulated converted drug weight of 32,950 kilograms, the parties agreed, pursuant to the Sentencing Guidelines, to a base offense level of 36. The parties further agreed that, at sentencing, Perpuly could argue that he is entitled to a minor-role reduction under </w:t>
      </w:r>
      <w:hyperlink r:id="rId14"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 xml:space="preserve"> and that the district court "should reduce 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base offense level by two levels based on the converted drug weight being near the threshold of a Level 36 and a Level 34." Under the agreement, Perpuly waived his right to appeal his conviction and sentence but reserved the right to appeal (1) any punishment that exceeded the statutory maximum, (2) his sentence if it exceeded the maximum of the guidelines imprisonment range determined in accordance with the guidelines stipulations and computations in the plea agreement, and (3) his criminal history category. Perpuly also retained the right to appeal or collaterally attack his conviction and sentence on ineffective-assistance-of-counsel and prosecutorial-misconduct grounds.</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Perpuly consented to a plea hearing before a magistrate judge. After the hearing, the magistrate judge recommended that the court accept Perpuly's guilty plea. Neither party objected to the magistrate judge's recommendation, and the district court entered an order accepting Perpuly's plea. The probation office prepared a presentence report. Applying a base offense level of 36 and a three-level reduction for acceptance of responsibility, </w:t>
      </w:r>
      <w:hyperlink r:id="rId15" w:history="1">
        <w:r>
          <w:rPr>
            <w:rFonts w:ascii="arial" w:eastAsia="arial" w:hAnsi="arial" w:cs="arial"/>
            <w:b w:val="0"/>
            <w:i/>
            <w:strike w:val="0"/>
            <w:noProof w:val="0"/>
            <w:color w:val="0077CC"/>
            <w:position w:val="0"/>
            <w:sz w:val="20"/>
            <w:u w:val="single"/>
            <w:vertAlign w:val="baseline"/>
          </w:rPr>
          <w:t>USSG § 3E1.1</w:t>
        </w:r>
      </w:hyperlink>
      <w:r>
        <w:rPr>
          <w:rFonts w:ascii="arial" w:eastAsia="arial" w:hAnsi="arial" w:cs="arial"/>
          <w:b w:val="0"/>
          <w:i w:val="0"/>
          <w:strike w:val="0"/>
          <w:noProof w:val="0"/>
          <w:color w:val="000000"/>
          <w:position w:val="0"/>
          <w:sz w:val="20"/>
          <w:u w:val="none"/>
          <w:vertAlign w:val="baseline"/>
        </w:rPr>
        <w:t>, the report calculated a total offense level of 33. That total offense level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coupled with a criminal history category of IV resulted in a guidelines imprisonment range of 188 to 235 months. Defense counsel objected, arguing that the base offense level should be 34 rather than 36 and that Perpuly was entitled to a minor-role reduction under </w:t>
      </w:r>
      <w:hyperlink r:id="rId14"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district court overruled Perpuly's objection to the base offense level of 36 and denied him a minor-role reduction to the offense level. The court ultimately applied a total offense level of 31, which resulted in a guidelines imprisonment range of 151 to 188 months, and sentenced Perpuly within that range to concurrent terms of imprisonment of 160 months for the drug-distribution-conspiracy conviction and 60 months for the interstate-travel-in-aid-of-racketeering conviction and to a five-year term of supervised release.</w:t>
      </w:r>
    </w:p>
    <w:p>
      <w:pPr>
        <w:keepNext w:val="0"/>
        <w:spacing w:before="240" w:after="0" w:line="260" w:lineRule="atLeast"/>
        <w:ind w:left="0" w:right="0" w:firstLine="0"/>
        <w:jc w:val="both"/>
      </w:pPr>
      <w:bookmarkStart w:id="16" w:name="Bookmark_para_7"/>
      <w:bookmarkEnd w:id="16"/>
      <w:bookmarkStart w:id="17" w:name="Bookmark_I6799T112D6P110040000400"/>
      <w:bookmarkEnd w:id="17"/>
      <w:r>
        <w:rPr>
          <w:rFonts w:ascii="arial" w:eastAsia="arial" w:hAnsi="arial" w:cs="arial"/>
          <w:b w:val="0"/>
          <w:i w:val="0"/>
          <w:strike w:val="0"/>
          <w:noProof w:val="0"/>
          <w:color w:val="000000"/>
          <w:position w:val="0"/>
          <w:sz w:val="20"/>
          <w:u w:val="none"/>
          <w:vertAlign w:val="baseline"/>
        </w:rPr>
        <w:t xml:space="preserve">Perpuly now appeals. His attorney has filed a brief and a motion to withdraw pursuant to </w:t>
      </w:r>
      <w:bookmarkStart w:id="18" w:name="Bookmark_I6799T112D6P110030000400"/>
      <w:bookmarkEnd w:id="18"/>
      <w:hyperlink r:id="rId12" w:history="1">
        <w:r>
          <w:rPr>
            <w:rFonts w:ascii="arial" w:eastAsia="arial" w:hAnsi="arial" w:cs="arial"/>
            <w:b w:val="0"/>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stating that he has examined the record and found no non-frivolous grounds to raise on appeal. Nonetheless, counsel identifies one potential issue for appeal: whether the district court erred by not applying a base offense level of 34. </w:t>
      </w:r>
      <w:bookmarkStart w:id="19" w:name="Bookmark_I6799T112D6P130010000400"/>
      <w:bookmarkEnd w:id="19"/>
      <w:r>
        <w:rPr>
          <w:rFonts w:ascii="arial" w:eastAsia="arial" w:hAnsi="arial" w:cs="arial"/>
          <w:b w:val="0"/>
          <w:i w:val="0"/>
          <w:strike w:val="0"/>
          <w:noProof w:val="0"/>
          <w:color w:val="000000"/>
          <w:position w:val="0"/>
          <w:sz w:val="20"/>
          <w:u w:val="none"/>
          <w:vertAlign w:val="baseline"/>
        </w:rPr>
        <w:t>Perpuly was notified of his right to respond but has not done so, and the deadline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filing a response has passed. Our independent review of the record supports counsel's conclusion that there are no appealable issues of arguable merit. </w:t>
      </w:r>
      <w:r>
        <w:rPr>
          <w:rFonts w:ascii="arial" w:eastAsia="arial" w:hAnsi="arial" w:cs="arial"/>
          <w:b w:val="0"/>
          <w:i/>
          <w:strike w:val="0"/>
          <w:noProof w:val="0"/>
          <w:color w:val="000000"/>
          <w:position w:val="0"/>
          <w:sz w:val="20"/>
          <w:u w:val="none"/>
          <w:vertAlign w:val="baseline"/>
        </w:rPr>
        <w:t xml:space="preserve">See </w:t>
      </w:r>
      <w:bookmarkStart w:id="20" w:name="Bookmark_I6799T112D6P110050000400"/>
      <w:bookmarkEnd w:id="20"/>
      <w:hyperlink r:id="rId12" w:history="1">
        <w:r>
          <w:rPr>
            <w:rFonts w:ascii="arial" w:eastAsia="arial" w:hAnsi="arial" w:cs="arial"/>
            <w:b w:val="0"/>
            <w:i/>
            <w:strike w:val="0"/>
            <w:noProof w:val="0"/>
            <w:color w:val="0077CC"/>
            <w:position w:val="0"/>
            <w:sz w:val="20"/>
            <w:u w:val="single"/>
            <w:vertAlign w:val="baseline"/>
          </w:rPr>
          <w:t>Anders</w:t>
        </w:r>
      </w:hyperlink>
      <w:hyperlink r:id="rId12" w:history="1">
        <w:r>
          <w:rPr>
            <w:rFonts w:ascii="arial" w:eastAsia="arial" w:hAnsi="arial" w:cs="arial"/>
            <w:b w:val="0"/>
            <w:i/>
            <w:strike w:val="0"/>
            <w:noProof w:val="0"/>
            <w:color w:val="0077CC"/>
            <w:position w:val="0"/>
            <w:sz w:val="20"/>
            <w:u w:val="single"/>
            <w:vertAlign w:val="baseline"/>
          </w:rPr>
          <w:t>, 386 U.S. at 744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 w:name="Bookmark_I6799T112D6P130020000400"/>
      <w:bookmarkEnd w:id="21"/>
      <w:hyperlink r:id="rId16" w:history="1">
        <w:r>
          <w:rPr>
            <w:rFonts w:ascii="arial" w:eastAsia="arial" w:hAnsi="arial" w:cs="arial"/>
            <w:b w:val="0"/>
            <w:i/>
            <w:strike w:val="0"/>
            <w:noProof w:val="0"/>
            <w:color w:val="0077CC"/>
            <w:position w:val="0"/>
            <w:sz w:val="20"/>
            <w:u w:val="single"/>
            <w:vertAlign w:val="baseline"/>
          </w:rPr>
          <w:t>Penson v. Ohio</w:t>
        </w:r>
      </w:hyperlink>
      <w:hyperlink r:id="rId16" w:history="1">
        <w:r>
          <w:rPr>
            <w:rFonts w:ascii="arial" w:eastAsia="arial" w:hAnsi="arial" w:cs="arial"/>
            <w:b w:val="0"/>
            <w:i/>
            <w:strike w:val="0"/>
            <w:noProof w:val="0"/>
            <w:color w:val="0077CC"/>
            <w:position w:val="0"/>
            <w:sz w:val="20"/>
            <w:u w:val="single"/>
            <w:vertAlign w:val="baseline"/>
          </w:rPr>
          <w:t>, 488 U.S. 75, 89, 109 S. Ct. 346, 102 L. Ed. 2d 300 (1988)</w:t>
        </w:r>
      </w:hyperlink>
      <w:r>
        <w:rPr>
          <w:rFonts w:ascii="arial" w:eastAsia="arial" w:hAnsi="arial" w:cs="arial"/>
          <w:b w:val="0"/>
          <w:i w:val="0"/>
          <w:strike w:val="0"/>
          <w:noProof w:val="0"/>
          <w:color w:val="000000"/>
          <w:position w:val="0"/>
          <w:sz w:val="20"/>
          <w:u w:val="none"/>
          <w:vertAlign w:val="baseline"/>
        </w:rPr>
        <w:t xml:space="preserve"> (O'Connor, J., concurring).</w:t>
      </w:r>
    </w:p>
    <w:p>
      <w:pPr>
        <w:keepNext w:val="0"/>
        <w:spacing w:before="240" w:after="0" w:line="260" w:lineRule="atLeast"/>
        <w:ind w:left="0" w:right="0" w:firstLine="0"/>
        <w:jc w:val="both"/>
      </w:pPr>
      <w:bookmarkStart w:id="22" w:name="Bookmark_para_8"/>
      <w:bookmarkEnd w:id="22"/>
      <w:bookmarkStart w:id="23" w:name="Bookmark_I6799T112D6P130050000400"/>
      <w:bookmarkEnd w:id="23"/>
      <w:bookmarkStart w:id="24" w:name="Bookmark_I6799T112D6P160040000400"/>
      <w:bookmarkEnd w:id="24"/>
      <w:r>
        <w:rPr>
          <w:rFonts w:ascii="arial" w:eastAsia="arial" w:hAnsi="arial" w:cs="arial"/>
          <w:b w:val="0"/>
          <w:i w:val="0"/>
          <w:strike w:val="0"/>
          <w:noProof w:val="0"/>
          <w:color w:val="000000"/>
          <w:position w:val="0"/>
          <w:sz w:val="20"/>
          <w:u w:val="none"/>
          <w:vertAlign w:val="baseline"/>
        </w:rPr>
        <w:t xml:space="preserve">First, Perpuly entered a valid guilty plea. A guilty plea is valid if it is entered knowingly, voluntarily, and intelligently. </w:t>
      </w:r>
      <w:bookmarkStart w:id="25" w:name="Bookmark_I6799T112D6P130040000400"/>
      <w:bookmarkEnd w:id="25"/>
      <w:hyperlink r:id="rId17" w:history="1">
        <w:r>
          <w:rPr>
            <w:rFonts w:ascii="arial" w:eastAsia="arial" w:hAnsi="arial" w:cs="arial"/>
            <w:b w:val="0"/>
            <w:i/>
            <w:strike w:val="0"/>
            <w:noProof w:val="0"/>
            <w:color w:val="0077CC"/>
            <w:position w:val="0"/>
            <w:sz w:val="20"/>
            <w:u w:val="single"/>
            <w:vertAlign w:val="baseline"/>
          </w:rPr>
          <w:t>Bousley v. United States</w:t>
        </w:r>
      </w:hyperlink>
      <w:hyperlink r:id="rId17" w:history="1">
        <w:r>
          <w:rPr>
            <w:rFonts w:ascii="arial" w:eastAsia="arial" w:hAnsi="arial" w:cs="arial"/>
            <w:b w:val="0"/>
            <w:i/>
            <w:strike w:val="0"/>
            <w:noProof w:val="0"/>
            <w:color w:val="0077CC"/>
            <w:position w:val="0"/>
            <w:sz w:val="20"/>
            <w:u w:val="single"/>
            <w:vertAlign w:val="baseline"/>
          </w:rPr>
          <w:t>, 523 U.S. 614, 618, 118 S. Ct. 1604, 140 L. Ed. 2d 828 (1998)</w:t>
        </w:r>
      </w:hyperlink>
      <w:r>
        <w:rPr>
          <w:rFonts w:ascii="arial" w:eastAsia="arial" w:hAnsi="arial" w:cs="arial"/>
          <w:b w:val="0"/>
          <w:i w:val="0"/>
          <w:strike w:val="0"/>
          <w:noProof w:val="0"/>
          <w:color w:val="000000"/>
          <w:position w:val="0"/>
          <w:sz w:val="20"/>
          <w:u w:val="none"/>
          <w:vertAlign w:val="baseline"/>
        </w:rPr>
        <w:t xml:space="preserve">; </w:t>
      </w:r>
      <w:bookmarkStart w:id="26" w:name="Bookmark_I6799T112D6P160010000400"/>
      <w:bookmarkEnd w:id="26"/>
      <w:hyperlink r:id="rId18" w:history="1">
        <w:r>
          <w:rPr>
            <w:rFonts w:ascii="arial" w:eastAsia="arial" w:hAnsi="arial" w:cs="arial"/>
            <w:b w:val="0"/>
            <w:i/>
            <w:strike w:val="0"/>
            <w:noProof w:val="0"/>
            <w:color w:val="0077CC"/>
            <w:position w:val="0"/>
            <w:sz w:val="20"/>
            <w:u w:val="single"/>
            <w:vertAlign w:val="baseline"/>
          </w:rPr>
          <w:t>United States v. Dixon</w:t>
        </w:r>
      </w:hyperlink>
      <w:hyperlink r:id="rId18" w:history="1">
        <w:r>
          <w:rPr>
            <w:rFonts w:ascii="arial" w:eastAsia="arial" w:hAnsi="arial" w:cs="arial"/>
            <w:b w:val="0"/>
            <w:i/>
            <w:strike w:val="0"/>
            <w:noProof w:val="0"/>
            <w:color w:val="0077CC"/>
            <w:position w:val="0"/>
            <w:sz w:val="20"/>
            <w:u w:val="single"/>
            <w:vertAlign w:val="baseline"/>
          </w:rPr>
          <w:t>, 479 F.3d 431, 434 (6th Cir. 2007)</w:t>
        </w:r>
      </w:hyperlink>
      <w:r>
        <w:rPr>
          <w:rFonts w:ascii="arial" w:eastAsia="arial" w:hAnsi="arial" w:cs="arial"/>
          <w:b w:val="0"/>
          <w:i w:val="0"/>
          <w:strike w:val="0"/>
          <w:noProof w:val="0"/>
          <w:color w:val="000000"/>
          <w:position w:val="0"/>
          <w:sz w:val="20"/>
          <w:u w:val="none"/>
          <w:vertAlign w:val="baseline"/>
        </w:rPr>
        <w:t xml:space="preserve">. </w:t>
      </w:r>
      <w:bookmarkStart w:id="27" w:name="Bookmark_I6799T122SF7XY0030000400"/>
      <w:bookmarkEnd w:id="27"/>
      <w:r>
        <w:rPr>
          <w:rFonts w:ascii="arial" w:eastAsia="arial" w:hAnsi="arial" w:cs="arial"/>
          <w:b w:val="0"/>
          <w:i w:val="0"/>
          <w:strike w:val="0"/>
          <w:noProof w:val="0"/>
          <w:color w:val="000000"/>
          <w:position w:val="0"/>
          <w:sz w:val="20"/>
          <w:u w:val="none"/>
          <w:vertAlign w:val="baseline"/>
        </w:rPr>
        <w:t xml:space="preserve">In accordance with </w:t>
      </w:r>
      <w:hyperlink r:id="rId13" w:history="1">
        <w:r>
          <w:rPr>
            <w:rFonts w:ascii="arial" w:eastAsia="arial" w:hAnsi="arial" w:cs="arial"/>
            <w:b w:val="0"/>
            <w:i/>
            <w:strike w:val="0"/>
            <w:noProof w:val="0"/>
            <w:color w:val="0077CC"/>
            <w:position w:val="0"/>
            <w:sz w:val="20"/>
            <w:u w:val="single"/>
            <w:vertAlign w:val="baseline"/>
          </w:rPr>
          <w:t>Federal Rule of Criminal Procedure 11</w:t>
        </w:r>
      </w:hyperlink>
      <w:r>
        <w:rPr>
          <w:rFonts w:ascii="arial" w:eastAsia="arial" w:hAnsi="arial" w:cs="arial"/>
          <w:b w:val="0"/>
          <w:i w:val="0"/>
          <w:strike w:val="0"/>
          <w:noProof w:val="0"/>
          <w:color w:val="000000"/>
          <w:position w:val="0"/>
          <w:sz w:val="20"/>
          <w:u w:val="none"/>
          <w:vertAlign w:val="baseline"/>
        </w:rPr>
        <w:t xml:space="preserve">, the district court "must verify that 'the defendant's plea is voluntary and that the defendant understands his or her applicable constitutional rights, the nature of the crime charged, the consequences of the guilty plea, and the factual basis for concluding that the defendant committed the crime charged.'" </w:t>
      </w:r>
      <w:bookmarkStart w:id="28" w:name="Bookmark_I6799T112D6P160030000400"/>
      <w:bookmarkEnd w:id="28"/>
      <w:hyperlink r:id="rId18" w:history="1">
        <w:r>
          <w:rPr>
            <w:rFonts w:ascii="arial" w:eastAsia="arial" w:hAnsi="arial" w:cs="arial"/>
            <w:b w:val="0"/>
            <w:i/>
            <w:strike w:val="0"/>
            <w:noProof w:val="0"/>
            <w:color w:val="0077CC"/>
            <w:position w:val="0"/>
            <w:sz w:val="20"/>
            <w:u w:val="single"/>
            <w:vertAlign w:val="baseline"/>
          </w:rPr>
          <w:t>Dixon</w:t>
        </w:r>
      </w:hyperlink>
      <w:hyperlink r:id="rId18" w:history="1">
        <w:r>
          <w:rPr>
            <w:rFonts w:ascii="arial" w:eastAsia="arial" w:hAnsi="arial" w:cs="arial"/>
            <w:b w:val="0"/>
            <w:i/>
            <w:strike w:val="0"/>
            <w:noProof w:val="0"/>
            <w:color w:val="0077CC"/>
            <w:position w:val="0"/>
            <w:sz w:val="20"/>
            <w:u w:val="single"/>
            <w:vertAlign w:val="baseline"/>
          </w:rPr>
          <w:t>, 479 F.3d at 434</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799T112D6P160050000400"/>
      <w:bookmarkEnd w:id="29"/>
      <w:hyperlink r:id="rId19" w:history="1">
        <w:r>
          <w:rPr>
            <w:rFonts w:ascii="arial" w:eastAsia="arial" w:hAnsi="arial" w:cs="arial"/>
            <w:b w:val="0"/>
            <w:i/>
            <w:strike w:val="0"/>
            <w:noProof w:val="0"/>
            <w:color w:val="0077CC"/>
            <w:position w:val="0"/>
            <w:sz w:val="20"/>
            <w:u w:val="single"/>
            <w:vertAlign w:val="baseline"/>
          </w:rPr>
          <w:t>United States v. Webb</w:t>
        </w:r>
      </w:hyperlink>
      <w:hyperlink r:id="rId19" w:history="1">
        <w:r>
          <w:rPr>
            <w:rFonts w:ascii="arial" w:eastAsia="arial" w:hAnsi="arial" w:cs="arial"/>
            <w:b w:val="0"/>
            <w:i/>
            <w:strike w:val="0"/>
            <w:noProof w:val="0"/>
            <w:color w:val="0077CC"/>
            <w:position w:val="0"/>
            <w:sz w:val="20"/>
            <w:u w:val="single"/>
            <w:vertAlign w:val="baseline"/>
          </w:rPr>
          <w:t>, 403 F.3d 373, 378-79 (6th Cir. 2005)</w:t>
        </w:r>
      </w:hyperlink>
      <w:r>
        <w:rPr>
          <w:rFonts w:ascii="arial" w:eastAsia="arial" w:hAnsi="arial" w:cs="arial"/>
          <w:b w:val="0"/>
          <w:i w:val="0"/>
          <w:strike w:val="0"/>
          <w:noProof w:val="0"/>
          <w:color w:val="000000"/>
          <w:position w:val="0"/>
          <w:sz w:val="20"/>
          <w:u w:val="none"/>
          <w:vertAlign w:val="baseline"/>
        </w:rPr>
        <w:t xml:space="preserve">). </w:t>
      </w:r>
      <w:bookmarkStart w:id="30" w:name="Bookmark_I6799T122SF7XY0030000400_2"/>
      <w:bookmarkEnd w:id="30"/>
      <w:bookmarkStart w:id="31" w:name="Bookmark_I6799T122SF7XY0050000400"/>
      <w:bookmarkEnd w:id="31"/>
      <w:r>
        <w:rPr>
          <w:rFonts w:ascii="arial" w:eastAsia="arial" w:hAnsi="arial" w:cs="arial"/>
          <w:b w:val="0"/>
          <w:i w:val="0"/>
          <w:strike w:val="0"/>
          <w:noProof w:val="0"/>
          <w:color w:val="000000"/>
          <w:position w:val="0"/>
          <w:sz w:val="20"/>
          <w:u w:val="none"/>
          <w:vertAlign w:val="baseline"/>
        </w:rPr>
        <w:t xml:space="preserve">Where a defendant does not object to a </w:t>
      </w:r>
      <w:hyperlink r:id="rId13"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violation at the plea hearing, we review the plea for plain error. </w:t>
      </w:r>
      <w:r>
        <w:rPr>
          <w:rFonts w:ascii="arial" w:eastAsia="arial" w:hAnsi="arial" w:cs="arial"/>
          <w:b w:val="0"/>
          <w:i/>
          <w:strike w:val="0"/>
          <w:noProof w:val="0"/>
          <w:color w:val="000000"/>
          <w:position w:val="0"/>
          <w:sz w:val="20"/>
          <w:u w:val="none"/>
          <w:vertAlign w:val="baseline"/>
        </w:rPr>
        <w:t xml:space="preserve">See </w:t>
      </w:r>
      <w:bookmarkStart w:id="32" w:name="Bookmark_I6799T122SF7XY0020000400"/>
      <w:bookmarkEnd w:id="32"/>
      <w:hyperlink r:id="rId20" w:history="1">
        <w:r>
          <w:rPr>
            <w:rFonts w:ascii="arial" w:eastAsia="arial" w:hAnsi="arial" w:cs="arial"/>
            <w:b w:val="0"/>
            <w:i/>
            <w:strike w:val="0"/>
            <w:noProof w:val="0"/>
            <w:color w:val="0077CC"/>
            <w:position w:val="0"/>
            <w:sz w:val="20"/>
            <w:u w:val="single"/>
            <w:vertAlign w:val="baseline"/>
          </w:rPr>
          <w:t>United States v. Vonn</w:t>
        </w:r>
      </w:hyperlink>
      <w:hyperlink r:id="rId20" w:history="1">
        <w:r>
          <w:rPr>
            <w:rFonts w:ascii="arial" w:eastAsia="arial" w:hAnsi="arial" w:cs="arial"/>
            <w:b w:val="0"/>
            <w:i/>
            <w:strike w:val="0"/>
            <w:noProof w:val="0"/>
            <w:color w:val="0077CC"/>
            <w:position w:val="0"/>
            <w:sz w:val="20"/>
            <w:u w:val="single"/>
            <w:vertAlign w:val="baseline"/>
          </w:rPr>
          <w:t>, 535 U.S. 55, 59, 122 S. Ct. 1043, 152 L. Ed. 2d 90 (2002)</w:t>
        </w:r>
      </w:hyperlink>
      <w:r>
        <w:rPr>
          <w:rFonts w:ascii="arial" w:eastAsia="arial" w:hAnsi="arial" w:cs="arial"/>
          <w:b w:val="0"/>
          <w:i w:val="0"/>
          <w:strike w:val="0"/>
          <w:noProof w:val="0"/>
          <w:color w:val="000000"/>
          <w:position w:val="0"/>
          <w:sz w:val="20"/>
          <w:u w:val="none"/>
          <w:vertAlign w:val="baseline"/>
        </w:rPr>
        <w:t xml:space="preserve">. </w:t>
      </w:r>
      <w:bookmarkStart w:id="33" w:name="Bookmark_I6799T122SF7XY0050000400_2"/>
      <w:bookmarkEnd w:id="33"/>
      <w:r>
        <w:rPr>
          <w:rFonts w:ascii="arial" w:eastAsia="arial" w:hAnsi="arial" w:cs="arial"/>
          <w:b w:val="0"/>
          <w:i w:val="0"/>
          <w:strike w:val="0"/>
          <w:noProof w:val="0"/>
          <w:color w:val="000000"/>
          <w:position w:val="0"/>
          <w:sz w:val="20"/>
          <w:u w:val="none"/>
          <w:vertAlign w:val="baseline"/>
        </w:rPr>
        <w:t xml:space="preserve">To establish plain error, a defendant must demonstrate that (1) "an error occurred"; (2) the error was "obvious or clear"; (3) "the error affected the defendant's substantial rights"; and (4) the error "seriously affected the fairness, integrity or public reputation of the judicial proceedings." </w:t>
      </w:r>
      <w:bookmarkStart w:id="34" w:name="Bookmark_I6799T122SF7XY0040000400"/>
      <w:bookmarkEnd w:id="34"/>
      <w:hyperlink r:id="rId21" w:history="1">
        <w:r>
          <w:rPr>
            <w:rFonts w:ascii="arial" w:eastAsia="arial" w:hAnsi="arial" w:cs="arial"/>
            <w:b w:val="0"/>
            <w:i/>
            <w:strike w:val="0"/>
            <w:noProof w:val="0"/>
            <w:color w:val="0077CC"/>
            <w:position w:val="0"/>
            <w:sz w:val="20"/>
            <w:u w:val="single"/>
            <w:vertAlign w:val="baseline"/>
          </w:rPr>
          <w:t>United States v. McCreary-Redd</w:t>
        </w:r>
      </w:hyperlink>
      <w:hyperlink r:id="rId21" w:history="1">
        <w:r>
          <w:rPr>
            <w:rFonts w:ascii="arial" w:eastAsia="arial" w:hAnsi="arial" w:cs="arial"/>
            <w:b w:val="0"/>
            <w:i/>
            <w:strike w:val="0"/>
            <w:noProof w:val="0"/>
            <w:color w:val="0077CC"/>
            <w:position w:val="0"/>
            <w:sz w:val="20"/>
            <w:u w:val="single"/>
            <w:vertAlign w:val="baseline"/>
          </w:rPr>
          <w:t>, 475 F.3d 718, 721 (6th Cir. 2007)</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799T122SF7Y30010000400"/>
      <w:bookmarkEnd w:id="35"/>
      <w:hyperlink r:id="rId22" w:history="1">
        <w:r>
          <w:rPr>
            <w:rFonts w:ascii="arial" w:eastAsia="arial" w:hAnsi="arial" w:cs="arial"/>
            <w:b w:val="0"/>
            <w:i/>
            <w:strike w:val="0"/>
            <w:noProof w:val="0"/>
            <w:color w:val="0077CC"/>
            <w:position w:val="0"/>
            <w:sz w:val="20"/>
            <w:u w:val="single"/>
            <w:vertAlign w:val="baseline"/>
          </w:rPr>
          <w:t>United States v. Koeberlein</w:t>
        </w:r>
      </w:hyperlink>
      <w:hyperlink r:id="rId22" w:history="1">
        <w:r>
          <w:rPr>
            <w:rFonts w:ascii="arial" w:eastAsia="arial" w:hAnsi="arial" w:cs="arial"/>
            <w:b w:val="0"/>
            <w:i/>
            <w:strike w:val="0"/>
            <w:noProof w:val="0"/>
            <w:color w:val="0077CC"/>
            <w:position w:val="0"/>
            <w:sz w:val="20"/>
            <w:u w:val="single"/>
            <w:vertAlign w:val="baseline"/>
          </w:rPr>
          <w:t>, 161 F.3d 946, 949 (6th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9"/>
      <w:bookmarkEnd w:id="36"/>
      <w:r>
        <w:rPr>
          <w:rFonts w:ascii="arial" w:eastAsia="arial" w:hAnsi="arial" w:cs="arial"/>
          <w:b w:val="0"/>
          <w:i w:val="0"/>
          <w:strike w:val="0"/>
          <w:noProof w:val="0"/>
          <w:color w:val="000000"/>
          <w:position w:val="0"/>
          <w:sz w:val="20"/>
          <w:u w:val="none"/>
          <w:vertAlign w:val="baseline"/>
        </w:rPr>
        <w:t xml:space="preserve">At the plea hearing, the magistrate judge substantially complied with the </w:t>
      </w:r>
      <w:hyperlink r:id="rId13"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requirements. First, the magistrate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judge placed Perpuly under oath and advised him that he could be subject to prosecution for perjury if he testified falsely during the proceeding. Second, the judge determined that Perpuly was competent to enter a guilty plea. Third, Perpuly confirmed that he understood the charges in the indictment and that he had consulted with his attorney about the case and was satisfied with his representation. Next, the judge reviewed Perpuly's constitutional rights and confirmed that Perpuly understood that he would be waiving those rights by pleading guilty. The magistrate judge reviewed the statutory penalties for each charge, and Perpuly confirmed that he understood the maximum possible penalties he faced. Perpuly assured the magistrate judge that no one had threatened him in any way or made promises to him in order to get him to plead guilty. The magistrate judge then went over the terms of the plea agreement, including the appeal-waiver provision, and Perpuly stated that he understood each term. The judge ensured that Perpuly understood how the sentencing guidelines might apply in his case and confirmed that Perpuly understood that sentencing was within the discretion of the court and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court was not bound by any sentencing recommendations in the plea agreement. Next, Perpuly admitted to the facts underlying each charge as set forth in the plea agreement. Finally, the prosecutor set forth the elements of each charge that the government would have to prove if Perpuly elected to go to trial. Finding that Perpuly was competent to enter a guilty plea, that he was doing so intelligently and voluntarily, and that there was a factual basis for the plea, the magistrate judge recommended that the district court accept the guilty plea. Without any objection from Perpuly, the district court accepted his plea.</w:t>
      </w:r>
    </w:p>
    <w:p>
      <w:pPr>
        <w:keepNext w:val="0"/>
        <w:spacing w:before="240" w:after="0" w:line="260" w:lineRule="atLeast"/>
        <w:ind w:left="0" w:right="0" w:firstLine="0"/>
        <w:jc w:val="both"/>
      </w:pPr>
      <w:bookmarkStart w:id="37" w:name="Bookmark_para_10"/>
      <w:bookmarkEnd w:id="37"/>
      <w:bookmarkStart w:id="38" w:name="Bookmark_I6799T122SF7Y30040000400"/>
      <w:bookmarkEnd w:id="38"/>
      <w:r>
        <w:rPr>
          <w:rFonts w:ascii="arial" w:eastAsia="arial" w:hAnsi="arial" w:cs="arial"/>
          <w:b w:val="0"/>
          <w:i w:val="0"/>
          <w:strike w:val="0"/>
          <w:noProof w:val="0"/>
          <w:color w:val="000000"/>
          <w:position w:val="0"/>
          <w:sz w:val="20"/>
          <w:u w:val="none"/>
          <w:vertAlign w:val="baseline"/>
        </w:rPr>
        <w:t xml:space="preserve">Given the magistrate judge's thorough colloquy at the plea hearing, Perpuly has no basis for challenging the voluntariness of his guilty plea. And, because he entered a valid and unconditional guilty plea, he has waived any non-jurisdictional claims that he may have regarding the pre-plea proceedings. </w:t>
      </w:r>
      <w:r>
        <w:rPr>
          <w:rFonts w:ascii="arial" w:eastAsia="arial" w:hAnsi="arial" w:cs="arial"/>
          <w:b w:val="0"/>
          <w:i/>
          <w:strike w:val="0"/>
          <w:noProof w:val="0"/>
          <w:color w:val="000000"/>
          <w:position w:val="0"/>
          <w:sz w:val="20"/>
          <w:u w:val="none"/>
          <w:vertAlign w:val="baseline"/>
        </w:rPr>
        <w:t xml:space="preserve">See </w:t>
      </w:r>
      <w:bookmarkStart w:id="39" w:name="Bookmark_I6799T122SF7Y30030000400"/>
      <w:bookmarkEnd w:id="39"/>
      <w:hyperlink r:id="rId23" w:history="1">
        <w:r>
          <w:rPr>
            <w:rFonts w:ascii="arial" w:eastAsia="arial" w:hAnsi="arial" w:cs="arial"/>
            <w:b w:val="0"/>
            <w:i/>
            <w:strike w:val="0"/>
            <w:noProof w:val="0"/>
            <w:color w:val="0077CC"/>
            <w:position w:val="0"/>
            <w:sz w:val="20"/>
            <w:u w:val="single"/>
            <w:vertAlign w:val="baseline"/>
          </w:rPr>
          <w:t>Tollett v. Henderson</w:t>
        </w:r>
      </w:hyperlink>
      <w:hyperlink r:id="rId23" w:history="1">
        <w:r>
          <w:rPr>
            <w:rFonts w:ascii="arial" w:eastAsia="arial" w:hAnsi="arial" w:cs="arial"/>
            <w:b w:val="0"/>
            <w:i/>
            <w:strike w:val="0"/>
            <w:noProof w:val="0"/>
            <w:color w:val="0077CC"/>
            <w:position w:val="0"/>
            <w:sz w:val="20"/>
            <w:u w:val="single"/>
            <w:vertAlign w:val="baseline"/>
          </w:rPr>
          <w:t>, 411 U.S. 258, 266-67, 93 S. Ct. 1602, 36 L. Ed. 2d 235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1"/>
      <w:bookmarkEnd w:id="40"/>
      <w:bookmarkStart w:id="41" w:name="Bookmark_I6799T142D6MRW0010000400"/>
      <w:bookmarkEnd w:id="41"/>
      <w:r>
        <w:rPr>
          <w:rFonts w:ascii="arial" w:eastAsia="arial" w:hAnsi="arial" w:cs="arial"/>
          <w:b w:val="0"/>
          <w:i w:val="0"/>
          <w:strike w:val="0"/>
          <w:noProof w:val="0"/>
          <w:color w:val="000000"/>
          <w:position w:val="0"/>
          <w:sz w:val="20"/>
          <w:u w:val="none"/>
          <w:vertAlign w:val="baseline"/>
        </w:rPr>
        <w:t xml:space="preserve">Second, Perpuly waived his right to appeal his conviction and sentence. </w:t>
      </w:r>
      <w:bookmarkStart w:id="42" w:name="Bookmark_I6799T142D6MRW0030000400"/>
      <w:bookmarkEnd w:id="42"/>
      <w:r>
        <w:rPr>
          <w:rFonts w:ascii="arial" w:eastAsia="arial" w:hAnsi="arial" w:cs="arial"/>
          <w:b w:val="0"/>
          <w:i w:val="0"/>
          <w:strike w:val="0"/>
          <w:noProof w:val="0"/>
          <w:color w:val="000000"/>
          <w:position w:val="0"/>
          <w:sz w:val="20"/>
          <w:u w:val="none"/>
          <w:vertAlign w:val="baseline"/>
        </w:rPr>
        <w:t xml:space="preserve">We review the question of whether a defendant waived his right to appeal de novo. </w:t>
      </w:r>
      <w:r>
        <w:rPr>
          <w:rFonts w:ascii="arial" w:eastAsia="arial" w:hAnsi="arial" w:cs="arial"/>
          <w:b w:val="0"/>
          <w:i/>
          <w:strike w:val="0"/>
          <w:noProof w:val="0"/>
          <w:color w:val="000000"/>
          <w:position w:val="0"/>
          <w:sz w:val="20"/>
          <w:u w:val="none"/>
          <w:vertAlign w:val="baseline"/>
        </w:rPr>
        <w:t xml:space="preserve">See </w:t>
      </w:r>
      <w:bookmarkStart w:id="43" w:name="Bookmark_I6799T122SF7Y30050000400"/>
      <w:bookmarkEnd w:id="43"/>
      <w:hyperlink r:id="rId24" w:history="1">
        <w:r>
          <w:rPr>
            <w:rFonts w:ascii="arial" w:eastAsia="arial" w:hAnsi="arial" w:cs="arial"/>
            <w:b w:val="0"/>
            <w:i/>
            <w:strike w:val="0"/>
            <w:noProof w:val="0"/>
            <w:color w:val="0077CC"/>
            <w:position w:val="0"/>
            <w:sz w:val="20"/>
            <w:u w:val="single"/>
            <w:vertAlign w:val="baseline"/>
          </w:rPr>
          <w:t>United States v. McGilvery</w:t>
        </w:r>
      </w:hyperlink>
      <w:hyperlink r:id="rId24" w:history="1">
        <w:r>
          <w:rPr>
            <w:rFonts w:ascii="arial" w:eastAsia="arial" w:hAnsi="arial" w:cs="arial"/>
            <w:b w:val="0"/>
            <w:i/>
            <w:strike w:val="0"/>
            <w:noProof w:val="0"/>
            <w:color w:val="0077CC"/>
            <w:position w:val="0"/>
            <w:sz w:val="20"/>
            <w:u w:val="single"/>
            <w:vertAlign w:val="baseline"/>
          </w:rPr>
          <w:t>, 403 F.3d 361, 362 (6th Cir. 2005)</w:t>
        </w:r>
      </w:hyperlink>
      <w:r>
        <w:rPr>
          <w:rFonts w:ascii="arial" w:eastAsia="arial" w:hAnsi="arial" w:cs="arial"/>
          <w:b w:val="0"/>
          <w:i w:val="0"/>
          <w:strike w:val="0"/>
          <w:noProof w:val="0"/>
          <w:color w:val="000000"/>
          <w:position w:val="0"/>
          <w:sz w:val="20"/>
          <w:u w:val="none"/>
          <w:vertAlign w:val="baseline"/>
        </w:rPr>
        <w:t>. A waiver provision in a plea agreement is binding so long as it is entered into knowingly and voluntarily.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44" w:name="Bookmark_I6799T142D6MRW0030000400_2"/>
      <w:bookmarkEnd w:id="44"/>
      <w:bookmarkStart w:id="45" w:name="Bookmark_I6799T142D6MRW0020000400"/>
      <w:bookmarkEnd w:id="45"/>
      <w:hyperlink r:id="rId25" w:history="1">
        <w:r>
          <w:rPr>
            <w:rFonts w:ascii="arial" w:eastAsia="arial" w:hAnsi="arial" w:cs="arial"/>
            <w:b w:val="0"/>
            <w:i/>
            <w:strike w:val="0"/>
            <w:noProof w:val="0"/>
            <w:color w:val="0077CC"/>
            <w:position w:val="0"/>
            <w:sz w:val="20"/>
            <w:u w:val="single"/>
            <w:vertAlign w:val="baseline"/>
          </w:rPr>
          <w:t>United States v. Smith</w:t>
        </w:r>
      </w:hyperlink>
      <w:hyperlink r:id="rId25" w:history="1">
        <w:r>
          <w:rPr>
            <w:rFonts w:ascii="arial" w:eastAsia="arial" w:hAnsi="arial" w:cs="arial"/>
            <w:b w:val="0"/>
            <w:i/>
            <w:strike w:val="0"/>
            <w:noProof w:val="0"/>
            <w:color w:val="0077CC"/>
            <w:position w:val="0"/>
            <w:sz w:val="20"/>
            <w:u w:val="single"/>
            <w:vertAlign w:val="baseline"/>
          </w:rPr>
          <w:t>, 344 F.3d 479, 483, 71 Fed. Appx. 511 (6th Cir. 2003)</w:t>
        </w:r>
      </w:hyperlink>
      <w:r>
        <w:rPr>
          <w:rFonts w:ascii="arial" w:eastAsia="arial" w:hAnsi="arial" w:cs="arial"/>
          <w:b w:val="0"/>
          <w:i w:val="0"/>
          <w:strike w:val="0"/>
          <w:noProof w:val="0"/>
          <w:color w:val="000000"/>
          <w:position w:val="0"/>
          <w:sz w:val="20"/>
          <w:u w:val="none"/>
          <w:vertAlign w:val="baseline"/>
        </w:rPr>
        <w:t xml:space="preserve">. As noted above, during the plea hearing, the magistrate judge reviewed the appeal-waiver provision of Perpuly's plea agreement, and Perpuly confirmed that he understood its terms. Perpuly was sentenced to a within-guidelines sentence of 160 months' imprisonment, which did not exceed the applicable statutory maximums or the maximum of the guidelines range determined in accordance with the sentencing stipulations and computations in the plea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1952(a)(3)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841(b)(1)(A)</w:t>
      </w:r>
      <w:r>
        <w:rPr>
          <w:rFonts w:ascii="arial" w:eastAsia="arial" w:hAnsi="arial" w:cs="arial"/>
          <w:b w:val="0"/>
          <w:i w:val="0"/>
          <w:strike w:val="0"/>
          <w:noProof w:val="0"/>
          <w:color w:val="000000"/>
          <w:position w:val="0"/>
          <w:sz w:val="20"/>
          <w:u w:val="none"/>
          <w:vertAlign w:val="baseline"/>
        </w:rPr>
        <w:t xml:space="preserve">. Moreover, Perpuly reserved the right to appeal the district court's determination of his criminal history category, but the record reveals no basis for doing so. Perpuly received two criminal history points for a prior drug-trafficking conviction and three points for a prior conviction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based on the sentences of imprisonment imposed.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USSG § 4A1.1(a)</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Two points were added because Perpuly committed the instant offenses while under sentence for his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USSG § 4A1.1(d)</w:t>
        </w:r>
      </w:hyperlink>
      <w:r>
        <w:rPr>
          <w:rFonts w:ascii="arial" w:eastAsia="arial" w:hAnsi="arial" w:cs="arial"/>
          <w:b w:val="0"/>
          <w:i w:val="0"/>
          <w:strike w:val="0"/>
          <w:noProof w:val="0"/>
          <w:color w:val="000000"/>
          <w:position w:val="0"/>
          <w:sz w:val="20"/>
          <w:u w:val="none"/>
          <w:vertAlign w:val="baseline"/>
        </w:rPr>
        <w:t xml:space="preserve">. Because he had seven criminal history points, Perpuly was correctly placed in criminal history category IV.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Ch.5, Pt. A</w:t>
      </w:r>
      <w:r>
        <w:rPr>
          <w:rFonts w:ascii="arial" w:eastAsia="arial" w:hAnsi="arial" w:cs="arial"/>
          <w:b w:val="0"/>
          <w:i w:val="0"/>
          <w:strike w:val="0"/>
          <w:noProof w:val="0"/>
          <w:color w:val="000000"/>
          <w:position w:val="0"/>
          <w:sz w:val="20"/>
          <w:u w:val="none"/>
          <w:vertAlign w:val="baseline"/>
        </w:rPr>
        <w:t>. Thus, the appeal-waiver provision in the plea agreement is enforceable, and Perpuly is barred from appealing his conviction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sentence, except with respect to claims of ineffective assistance of counsel and prosecutorial misconduct. </w:t>
      </w:r>
      <w:bookmarkStart w:id="46" w:name="Bookmark_I6799T142D6MRW0050000400"/>
      <w:bookmarkEnd w:id="46"/>
      <w:r>
        <w:rPr>
          <w:rFonts w:ascii="arial" w:eastAsia="arial" w:hAnsi="arial" w:cs="arial"/>
          <w:b w:val="0"/>
          <w:i w:val="0"/>
          <w:strike w:val="0"/>
          <w:noProof w:val="0"/>
          <w:color w:val="000000"/>
          <w:position w:val="0"/>
          <w:sz w:val="20"/>
          <w:u w:val="none"/>
          <w:vertAlign w:val="baseline"/>
        </w:rPr>
        <w:t xml:space="preserve">However, there are no such viable claims apparent on this record. Furthermore, claims of ineffective assistance of counsel are generally disfavored on direct appeal and are more appropriately raised in a </w:t>
      </w:r>
      <w:hyperlink r:id="rId27"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motion to vacate, set aside, or correct the sentence. </w:t>
      </w:r>
      <w:r>
        <w:rPr>
          <w:rFonts w:ascii="arial" w:eastAsia="arial" w:hAnsi="arial" w:cs="arial"/>
          <w:b w:val="0"/>
          <w:i/>
          <w:strike w:val="0"/>
          <w:noProof w:val="0"/>
          <w:color w:val="000000"/>
          <w:position w:val="0"/>
          <w:sz w:val="20"/>
          <w:u w:val="none"/>
          <w:vertAlign w:val="baseline"/>
        </w:rPr>
        <w:t xml:space="preserve">See </w:t>
      </w:r>
      <w:bookmarkStart w:id="47" w:name="Bookmark_I6799T142D6MRW0040000400"/>
      <w:bookmarkEnd w:id="47"/>
      <w:hyperlink r:id="rId28" w:history="1">
        <w:r>
          <w:rPr>
            <w:rFonts w:ascii="arial" w:eastAsia="arial" w:hAnsi="arial" w:cs="arial"/>
            <w:b w:val="0"/>
            <w:i/>
            <w:strike w:val="0"/>
            <w:noProof w:val="0"/>
            <w:color w:val="0077CC"/>
            <w:position w:val="0"/>
            <w:sz w:val="20"/>
            <w:u w:val="single"/>
            <w:vertAlign w:val="baseline"/>
          </w:rPr>
          <w:t>Massaro v. United States</w:t>
        </w:r>
      </w:hyperlink>
      <w:hyperlink r:id="rId28" w:history="1">
        <w:r>
          <w:rPr>
            <w:rFonts w:ascii="arial" w:eastAsia="arial" w:hAnsi="arial" w:cs="arial"/>
            <w:b w:val="0"/>
            <w:i/>
            <w:strike w:val="0"/>
            <w:noProof w:val="0"/>
            <w:color w:val="0077CC"/>
            <w:position w:val="0"/>
            <w:sz w:val="20"/>
            <w:u w:val="single"/>
            <w:vertAlign w:val="baseline"/>
          </w:rPr>
          <w:t>, 538 U.S. 500, 504-05, 123 S. Ct. 1690, 155 L. Ed. 2d 714 (2003)</w:t>
        </w:r>
      </w:hyperlink>
      <w:r>
        <w:rPr>
          <w:rFonts w:ascii="arial" w:eastAsia="arial" w:hAnsi="arial" w:cs="arial"/>
          <w:b w:val="0"/>
          <w:i w:val="0"/>
          <w:strike w:val="0"/>
          <w:noProof w:val="0"/>
          <w:color w:val="000000"/>
          <w:position w:val="0"/>
          <w:sz w:val="20"/>
          <w:u w:val="none"/>
          <w:vertAlign w:val="baseline"/>
        </w:rPr>
        <w:t xml:space="preserve">; </w:t>
      </w:r>
      <w:bookmarkStart w:id="48" w:name="Bookmark_I6799T142D6MS90010000400"/>
      <w:bookmarkEnd w:id="48"/>
      <w:hyperlink r:id="rId29" w:history="1">
        <w:r>
          <w:rPr>
            <w:rFonts w:ascii="arial" w:eastAsia="arial" w:hAnsi="arial" w:cs="arial"/>
            <w:b w:val="0"/>
            <w:i/>
            <w:strike w:val="0"/>
            <w:noProof w:val="0"/>
            <w:color w:val="0077CC"/>
            <w:position w:val="0"/>
            <w:sz w:val="20"/>
            <w:u w:val="single"/>
            <w:vertAlign w:val="baseline"/>
          </w:rPr>
          <w:t>United States v. Walden</w:t>
        </w:r>
      </w:hyperlink>
      <w:hyperlink r:id="rId29" w:history="1">
        <w:r>
          <w:rPr>
            <w:rFonts w:ascii="arial" w:eastAsia="arial" w:hAnsi="arial" w:cs="arial"/>
            <w:b w:val="0"/>
            <w:i/>
            <w:strike w:val="0"/>
            <w:noProof w:val="0"/>
            <w:color w:val="0077CC"/>
            <w:position w:val="0"/>
            <w:sz w:val="20"/>
            <w:u w:val="single"/>
            <w:vertAlign w:val="baseline"/>
          </w:rPr>
          <w:t>, 625 F.3d 961, 967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 xml:space="preserve">We therefore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counsel's motion to withdraw and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Perpuly, 2023 U.S. App. LEXIS 264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DD-0C82-8T6X-73J2-00000-00&amp;context=1519360" TargetMode="External" /><Relationship Id="rId11" Type="http://schemas.openxmlformats.org/officeDocument/2006/relationships/hyperlink" Target="https://advance.lexis.com/api/document?collection=statutes-legislation&amp;id=urn:contentItem:8SG9-5042-D6RV-H0PC-00000-00&amp;context=1519360" TargetMode="External" /><Relationship Id="rId12" Type="http://schemas.openxmlformats.org/officeDocument/2006/relationships/hyperlink" Target="https://advance.lexis.com/api/document?collection=cases&amp;id=urn:contentItem:3S4X-FXK0-003B-S4J1-00000-00&amp;context=1519360" TargetMode="External" /><Relationship Id="rId13" Type="http://schemas.openxmlformats.org/officeDocument/2006/relationships/hyperlink" Target="https://advance.lexis.com/api/document?collection=statutes-legislation&amp;id=urn:contentItem:5GYC-2731-FG36-13TD-00000-00&amp;context=1519360" TargetMode="External" /><Relationship Id="rId14" Type="http://schemas.openxmlformats.org/officeDocument/2006/relationships/hyperlink" Target="https://advance.lexis.com/api/document?collection=statutes-legislation&amp;id=urn:contentItem:8SGR-CKX2-D6RV-H0S3-00000-00&amp;context=1519360" TargetMode="External" /><Relationship Id="rId15" Type="http://schemas.openxmlformats.org/officeDocument/2006/relationships/hyperlink" Target="https://advance.lexis.com/api/document?collection=statutes-legislation&amp;id=urn:contentItem:69KS-6JH3-S650-F38Y-00000-00&amp;context=1519360" TargetMode="External" /><Relationship Id="rId16" Type="http://schemas.openxmlformats.org/officeDocument/2006/relationships/hyperlink" Target="https://advance.lexis.com/api/document?collection=cases&amp;id=urn:contentItem:3S4X-CV70-003B-405C-00000-00&amp;context=1519360" TargetMode="External" /><Relationship Id="rId17" Type="http://schemas.openxmlformats.org/officeDocument/2006/relationships/hyperlink" Target="https://advance.lexis.com/api/document?collection=cases&amp;id=urn:contentItem:3SR3-2RK0-004C-0002-00000-00&amp;context=1519360" TargetMode="External" /><Relationship Id="rId18" Type="http://schemas.openxmlformats.org/officeDocument/2006/relationships/hyperlink" Target="https://advance.lexis.com/api/document?collection=cases&amp;id=urn:contentItem:4N6X-BXW0-0038-X1W8-00000-00&amp;context=1519360" TargetMode="External" /><Relationship Id="rId19" Type="http://schemas.openxmlformats.org/officeDocument/2006/relationships/hyperlink" Target="https://advance.lexis.com/api/document?collection=cases&amp;id=urn:contentItem:4FWD-SW40-0038-X2XY-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58M-KT20-004B-Y05P-00000-00&amp;context=1519360" TargetMode="External" /><Relationship Id="rId21" Type="http://schemas.openxmlformats.org/officeDocument/2006/relationships/hyperlink" Target="https://advance.lexis.com/api/document?collection=cases&amp;id=urn:contentItem:4N0H-6XC0-0038-X4H8-00000-00&amp;context=1519360" TargetMode="External" /><Relationship Id="rId22" Type="http://schemas.openxmlformats.org/officeDocument/2006/relationships/hyperlink" Target="https://advance.lexis.com/api/document?collection=cases&amp;id=urn:contentItem:3V33-2HT0-0038-X1YR-00000-00&amp;context=1519360" TargetMode="External" /><Relationship Id="rId23" Type="http://schemas.openxmlformats.org/officeDocument/2006/relationships/hyperlink" Target="https://advance.lexis.com/api/document?collection=cases&amp;id=urn:contentItem:3S4X-CVW0-003B-S36K-00000-00&amp;context=1519360" TargetMode="External" /><Relationship Id="rId24" Type="http://schemas.openxmlformats.org/officeDocument/2006/relationships/hyperlink" Target="https://advance.lexis.com/api/document?collection=cases&amp;id=urn:contentItem:4FW6-TNV0-0038-X2WG-00000-00&amp;context=1519360" TargetMode="External" /><Relationship Id="rId25" Type="http://schemas.openxmlformats.org/officeDocument/2006/relationships/hyperlink" Target="https://advance.lexis.com/api/document?collection=cases&amp;id=urn:contentItem:4979-S4W0-0038-X34T-00000-00&amp;context=1519360" TargetMode="External" /><Relationship Id="rId26" Type="http://schemas.openxmlformats.org/officeDocument/2006/relationships/hyperlink" Target="https://advance.lexis.com/api/document?collection=statutes-legislation&amp;id=urn:contentItem:6D28-BTY3-RRHR-H208-00000-00&amp;context=1519360" TargetMode="External" /><Relationship Id="rId27" Type="http://schemas.openxmlformats.org/officeDocument/2006/relationships/hyperlink" Target="https://advance.lexis.com/api/document?collection=statutes-legislation&amp;id=urn:contentItem:8SG9-5HW2-D6RV-H0VJ-00000-00&amp;context=1519360" TargetMode="External" /><Relationship Id="rId28" Type="http://schemas.openxmlformats.org/officeDocument/2006/relationships/hyperlink" Target="https://advance.lexis.com/api/document?collection=cases&amp;id=urn:contentItem:48F4-HF40-004B-Y020-00000-00&amp;context=1519360" TargetMode="External" /><Relationship Id="rId29" Type="http://schemas.openxmlformats.org/officeDocument/2006/relationships/hyperlink" Target="https://advance.lexis.com/api/document?collection=cases&amp;id=urn:contentItem:51GS-MNS1-652R-4000-00000-00&amp;context=1519360"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83-CKC1-JX3N-B1TJ-00000-00&amp;context=1519360" TargetMode="External" /><Relationship Id="rId9" Type="http://schemas.openxmlformats.org/officeDocument/2006/relationships/hyperlink" Target="https://advance.lexis.com/api/document?collection=cases&amp;id=urn:contentItem:5YNM-NNS1-F5KY-B5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Perpuly, 2023 U.S. App. LEXIS 264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urn:user:PA186186283</vt:lpwstr>
  </property>
</Properties>
</file>