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Vento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Brownsville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2023, Decided; May 26,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1:23-cv-79; CRIM. ACTION NO. 1:19-664-1</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111483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4208703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RODOLFO VENTO, Petitioner, v. UNITED STATES OF AMERICA,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Post-conviction relief denied at, Certificate of appealability denied </w:t>
      </w:r>
      <w:hyperlink r:id="rId9" w:history="1">
        <w:r>
          <w:rPr>
            <w:rFonts w:ascii="arial" w:eastAsia="arial" w:hAnsi="arial" w:cs="arial"/>
            <w:b w:val="0"/>
            <w:i/>
            <w:strike w:val="0"/>
            <w:noProof w:val="0"/>
            <w:color w:val="0077CC"/>
            <w:position w:val="0"/>
            <w:sz w:val="20"/>
            <w:u w:val="single"/>
            <w:vertAlign w:val="baseline"/>
          </w:rPr>
          <w:t>Vento v. United States, 2023 U.S. Dist. LEXIS 110275 (S.D. Tex., June 27,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Vento, 2020 U.S. Dist. LEXIS 37110, 2020 WL 1041371 (S.D. Tex., Mar. 4,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aliens, transporting, enhancement, ineffective, direct appeal, conspiracy, harbor, Recommendation, law of the case, allegations,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vacate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Rodolfo Vento, Petitioner (1:23-cv-00079), Pro se, Beaumont,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(1:23-cv-00079): Appellate Division, LEAD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(1:19-cr-00664-1): Maria Elena Llanos-Salinas, LEAD ATTORNEY, US Attorney's Office, #201, Brownsville, TX; Paul Marius Marian, LEAD ATTORNEY, US Attorney's Office, Brownsville, TX; Financial Litigation, U S Attorney's Office, Southern District of Texas, Houston, TX.</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Ronald G. Morgan,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Ronald G. Morgan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 OF THE MAGISTRATE JUDGE</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May 22, 2023, Petitioner Rodolfo Vento filed a motion to vacate, set aside or correct his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The Court has an independent obligation to review the record and the pleadings; "if it plainly appears" that the petitioner is not entitled to relief, the Court "must dismiss" the petition without ordering the Government to respond. </w:t>
      </w:r>
      <w:hyperlink r:id="rId12" w:history="1">
        <w:r>
          <w:rPr>
            <w:rFonts w:ascii="arial" w:eastAsia="arial" w:hAnsi="arial" w:cs="arial"/>
            <w:b w:val="0"/>
            <w:i/>
            <w:strike w:val="0"/>
            <w:noProof w:val="0"/>
            <w:color w:val="0077CC"/>
            <w:position w:val="0"/>
            <w:sz w:val="20"/>
            <w:u w:val="single"/>
            <w:vertAlign w:val="baseline"/>
          </w:rPr>
          <w:t>Rule 4(b) of the Rules Governing Section 2255 Proceedings.</w:t>
        </w:r>
      </w:hyperlink>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After conducting that review, the Court recommends that the petition be denied. Vento's petition is substantively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Indictment &amp; Guilty Plea</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July 16, 2019, the grand jury indicted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Vento on one count of conspiracy to transport or harbor aliens into the United States and one counts of transporting or harboring an alien into the United States. </w:t>
      </w:r>
      <w:r>
        <w:rPr>
          <w:rFonts w:ascii="arial" w:eastAsia="arial" w:hAnsi="arial" w:cs="arial"/>
          <w:b w:val="0"/>
          <w:i w:val="0"/>
          <w:strike w:val="0"/>
          <w:noProof w:val="0"/>
          <w:color w:val="000000"/>
          <w:position w:val="0"/>
          <w:sz w:val="20"/>
          <w:u w:val="single"/>
          <w:vertAlign w:val="baseline"/>
        </w:rPr>
        <w:t>U.S. v. Vento</w:t>
      </w:r>
      <w:r>
        <w:rPr>
          <w:rFonts w:ascii="arial" w:eastAsia="arial" w:hAnsi="arial" w:cs="arial"/>
          <w:b w:val="0"/>
          <w:i w:val="0"/>
          <w:strike w:val="0"/>
          <w:noProof w:val="0"/>
          <w:color w:val="000000"/>
          <w:position w:val="0"/>
          <w:sz w:val="20"/>
          <w:u w:val="none"/>
          <w:vertAlign w:val="baseline"/>
        </w:rPr>
        <w:t>, Criminal No. 1:19-664-1, Dkt. No. 7 (J. Rodriguez, presiding) [hereinafter CR].</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On August 20, 2019, the grand jury returned a superseding indictment against Vento and a co-defendant. CR Dkt. No. 29. Vento was indicted on two counts of conspiracy to transport or harbor aliens in the United States, and one count of transporting or harboring aliens in the United States.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November 18, 2019, the Court held a three-day jury trial. CR Dkt. Nos. 181, 182, 183. Prior to the trial, the Court dismissed one of the conspiracy charges on the Government's motion. CR Dkt. No. 100. On the first day of trial, the Court also dismissed the transporting or harboring count on the Government's oral motion. CR Dkt. No. 181. Thus, Vento went to trial on the sole remaining count of conspiracy to transport or harbor aliens. On November 20, 2019, the jury found him guilty of that sole charge. CR Dkt. No. 104.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Presentence Report</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In the final presentence report ("PSR"), Vento was assessed a base offense level of 12. CR Dkt. No. 138,</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 10. He was assessed an additional six-level enhancement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more than 25 aliens, but less than 99.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Vento was assessed a two-level enhancement because he had a prior immigration-related felony conviction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aliens and a four level enhancement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minors.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was also assessed a two-level enhancement for serving as a manager or leader of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Vento had a total offense level of 26.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 11.</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Regarding his criminal history, Vento had 36 adult criminal convictions and was assessed 13 criminal history points, resulting in a criminal history category of VI. CR Dkt. No. 138, pp. 11-24. An offense level of 26 and criminal history category of VI, produced a sentencing guideline imprisonment range of 120 to 150 months.</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However, the conspiracy to harbor aliens charge carried a maximum term of 120 months of imprisonment; thus, his guideline sentencing range became 120 months. CR Dkt. No. 138, p. 28.</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Via counsel, Vento filed objections to the PSR. CR Dkt. No. 136. As relevant here, Vento contested the underlying evidence behind the PSR's calculation that he was responsible for transporting between 25 and 99 undocumented aliens, arguing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that the underlying evidence was unreliable.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 also contested the two-level enhancement for being a manager or leader of the conspiracy.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Sentencing</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On April 26, 2021, the Court held the sentencing hearing. CR Dkt. No. 185. The Court overruled Vento's objection as to the enhancement for transporting between 25 and 99 aliens, finding that the evidence was sufficient to support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15. The Court also overruled the objection about being a manager or leader of the conspiracy.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23. Thus, his guideline sentencing range remained unchanged. Vento sought a downward departure to a sentence of between 70 and 80 months.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 28.</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The Court sentenced Vento to 120 months imprisonment, and three years of supervised release. CR Dkt. No. 174. Judgment was entered on May 7, 2021.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Direct Appeal</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Vento timely filed a notice of appeal. CR Dkt. No. 160.</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Vento raised four issues on direct appeal: (1) the evidence was insufficient to support the jury's verdict; (2) the Court erred in allowing the Government to admit multiple out of court testimonial statements from witnesses; (3) there was insufficient evidence to support the enhancement for transporting between 25 and 99 aliens;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(4) the sentence was substantively unreasonable. CR Dkt. No. 205.</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On June 14, 2022, the Fifth Circuit affirmed Vento's conviction and sentence. CR Dkt. No. 205. The appellate court found that the evidence was sufficient to support the jury's verdict. As to the admission of the out of court statements, the Fifth Circuit noted that counsel did not object at trial and reviewed this issue under the plain error standard.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It found that even if the admission of the out of court statements was legally erroneous, "Vento has failed to show that the error affected his substantial rights in light of the ample evidence of his participation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and the harboring of the child."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 3. As to the sentencing enhancement, the Fifth Circuit found that there was sufficient evidence to show that Vento transported at least 29 aliens.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Fifth Circuit also found that the sentence was not substantively unreasonable.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 xml:space="preserve">Vento did not file a petition for </w:t>
      </w:r>
      <w:r>
        <w:rPr>
          <w:rFonts w:ascii="arial" w:eastAsia="arial" w:hAnsi="arial" w:cs="arial"/>
          <w:b w:val="0"/>
          <w:i w:val="0"/>
          <w:strike w:val="0"/>
          <w:noProof w:val="0"/>
          <w:color w:val="000000"/>
          <w:position w:val="0"/>
          <w:sz w:val="20"/>
          <w:u w:val="single"/>
          <w:vertAlign w:val="baseline"/>
        </w:rPr>
        <w:t>writ of certiorari</w:t>
      </w:r>
      <w:r>
        <w:rPr>
          <w:rFonts w:ascii="arial" w:eastAsia="arial" w:hAnsi="arial" w:cs="arial"/>
          <w:b w:val="0"/>
          <w:i w:val="0"/>
          <w:strike w:val="0"/>
          <w:noProof w:val="0"/>
          <w:color w:val="000000"/>
          <w:position w:val="0"/>
          <w:sz w:val="20"/>
          <w:u w:val="none"/>
          <w:vertAlign w:val="baseline"/>
        </w:rPr>
        <w:t xml:space="preserve"> with the Supreme Court. </w:t>
      </w:r>
      <w:bookmarkStart w:id="25" w:name="Bookmark_I68M6M4C2SF8N70020000400"/>
      <w:bookmarkEnd w:id="25"/>
      <w:r>
        <w:rPr>
          <w:rFonts w:ascii="arial" w:eastAsia="arial" w:hAnsi="arial" w:cs="arial"/>
          <w:b w:val="0"/>
          <w:i w:val="0"/>
          <w:strike w:val="0"/>
          <w:noProof w:val="0"/>
          <w:color w:val="000000"/>
          <w:position w:val="0"/>
          <w:sz w:val="20"/>
          <w:u w:val="none"/>
          <w:vertAlign w:val="baseline"/>
        </w:rPr>
        <w:t xml:space="preserve">Vento had 90 days in which to file that petition; that deadline expired on September 13, 2022. </w:t>
      </w:r>
      <w:hyperlink r:id="rId13" w:history="1">
        <w:r>
          <w:rPr>
            <w:rFonts w:ascii="arial" w:eastAsia="arial" w:hAnsi="arial" w:cs="arial"/>
            <w:b w:val="0"/>
            <w:i/>
            <w:strike w:val="0"/>
            <w:noProof w:val="0"/>
            <w:color w:val="0077CC"/>
            <w:position w:val="0"/>
            <w:sz w:val="20"/>
            <w:u w:val="single"/>
            <w:vertAlign w:val="baseline"/>
          </w:rPr>
          <w:t>SUP. CT. R. 13.1</w:t>
        </w:r>
      </w:hyperlink>
      <w:r>
        <w:rPr>
          <w:rFonts w:ascii="arial" w:eastAsia="arial" w:hAnsi="arial" w:cs="arial"/>
          <w:b w:val="0"/>
          <w:i w:val="0"/>
          <w:strike w:val="0"/>
          <w:noProof w:val="0"/>
          <w:color w:val="000000"/>
          <w:position w:val="0"/>
          <w:sz w:val="20"/>
          <w:u w:val="none"/>
          <w:vertAlign w:val="baseline"/>
        </w:rPr>
        <w:t xml:space="preserve">. Thus, Vento's conviction became final on that date. </w:t>
      </w:r>
      <w:bookmarkStart w:id="26" w:name="Bookmark_I68M6M4C2SF8N70010000400"/>
      <w:bookmarkEnd w:id="26"/>
      <w:hyperlink r:id="rId14" w:history="1">
        <w:r>
          <w:rPr>
            <w:rFonts w:ascii="arial" w:eastAsia="arial" w:hAnsi="arial" w:cs="arial"/>
            <w:b w:val="0"/>
            <w:i/>
            <w:strike w:val="0"/>
            <w:noProof w:val="0"/>
            <w:color w:val="0077CC"/>
            <w:position w:val="0"/>
            <w:sz w:val="20"/>
            <w:u w:val="single"/>
            <w:vertAlign w:val="baseline"/>
          </w:rPr>
          <w:t>Clay v. U.S.</w:t>
        </w:r>
      </w:hyperlink>
      <w:hyperlink r:id="rId14" w:history="1">
        <w:r>
          <w:rPr>
            <w:rFonts w:ascii="arial" w:eastAsia="arial" w:hAnsi="arial" w:cs="arial"/>
            <w:b w:val="0"/>
            <w:i/>
            <w:strike w:val="0"/>
            <w:noProof w:val="0"/>
            <w:color w:val="0077CC"/>
            <w:position w:val="0"/>
            <w:sz w:val="20"/>
            <w:u w:val="single"/>
            <w:vertAlign w:val="baseline"/>
          </w:rPr>
          <w:t>, 537 U.S. 522 (2003), 123 S. Ct. 1072, 155 L. Ed. 2d 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to Vacate, Set</w:t>
      </w:r>
      <w:r>
        <w:rPr>
          <w:rFonts w:ascii="arial" w:eastAsia="arial" w:hAnsi="arial" w:cs="arial"/>
          <w:b/>
          <w:i w:val="0"/>
          <w:strike w:val="0"/>
          <w:noProof w:val="0"/>
          <w:color w:val="000000"/>
          <w:position w:val="0"/>
          <w:sz w:val="20"/>
          <w:u w:val="none"/>
          <w:vertAlign w:val="baseline"/>
        </w:rPr>
        <w:t> [*6] </w:t>
      </w:r>
      <w:r>
        <w:rPr>
          <w:rFonts w:ascii="arial" w:eastAsia="arial" w:hAnsi="arial" w:cs="arial"/>
          <w:b/>
          <w:i w:val="0"/>
          <w:strike w:val="0"/>
          <w:noProof w:val="0"/>
          <w:color w:val="000000"/>
          <w:position w:val="0"/>
          <w:sz w:val="20"/>
          <w:u w:val="none"/>
          <w:vertAlign w:val="baseline"/>
        </w:rPr>
        <w:t xml:space="preserve"> Aside or Correct Sentence Pursuant to </w:t>
      </w:r>
      <w:hyperlink r:id="rId11" w:history="1">
        <w:r>
          <w:rPr>
            <w:rFonts w:ascii="arial" w:eastAsia="arial" w:hAnsi="arial" w:cs="arial"/>
            <w:b/>
            <w:i/>
            <w:strike w:val="0"/>
            <w:noProof w:val="0"/>
            <w:color w:val="0077CC"/>
            <w:position w:val="0"/>
            <w:sz w:val="20"/>
            <w:u w:val="single"/>
            <w:vertAlign w:val="baseline"/>
          </w:rPr>
          <w:t>§ 2255</w:t>
        </w:r>
      </w:hyperlink>
    </w:p>
    <w:p>
      <w:pPr>
        <w:keepNext w:val="0"/>
        <w:spacing w:before="200" w:after="0" w:line="260" w:lineRule="atLeast"/>
        <w:ind w:left="0" w:right="0" w:firstLine="0"/>
        <w:jc w:val="both"/>
      </w:pPr>
      <w:bookmarkStart w:id="27" w:name="Bookmark_para_17"/>
      <w:bookmarkEnd w:id="27"/>
      <w:r>
        <w:rPr>
          <w:rFonts w:ascii="arial" w:eastAsia="arial" w:hAnsi="arial" w:cs="arial"/>
          <w:b w:val="0"/>
          <w:i w:val="0"/>
          <w:strike w:val="0"/>
          <w:noProof w:val="0"/>
          <w:color w:val="000000"/>
          <w:position w:val="0"/>
          <w:sz w:val="20"/>
          <w:u w:val="none"/>
          <w:vertAlign w:val="baseline"/>
        </w:rPr>
        <w:t xml:space="preserve">On May 22, 2023, Vento timely filed the instant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requesting that the District Court vacate, set aside, or correct his sentence. Dkt. No. 1. Vento did not submit the motion under penalty of perjury.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 14.</w:t>
      </w:r>
    </w:p>
    <w:p>
      <w:pPr>
        <w:keepNext w:val="0"/>
        <w:spacing w:before="24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Vento argues that (1) trial counsel was ineffective for failing to object to the out-of-court statements admitted in violation of his </w:t>
      </w:r>
      <w:hyperlink r:id="rId15"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rights; (2) the Court erred in applying the six-level enhancement for transporting between 25 and 99 aliens; and (3) there was insufficient evidence to support the jury's verdict. Dkt. No. 1.</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Because this petition can be resolved solely on the record, the Court has not ordered the Government to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Applicable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1" w:history="1">
        <w:r>
          <w:rPr>
            <w:rFonts w:ascii="arial" w:eastAsia="arial" w:hAnsi="arial" w:cs="arial"/>
            <w:b/>
            <w:i/>
            <w:strike w:val="0"/>
            <w:noProof w:val="0"/>
            <w:color w:val="0077CC"/>
            <w:position w:val="0"/>
            <w:sz w:val="20"/>
            <w:u w:val="single"/>
            <w:vertAlign w:val="baseline"/>
          </w:rPr>
          <w:t>Section 2255</w:t>
        </w:r>
      </w:hyperlink>
    </w:p>
    <w:p>
      <w:pPr>
        <w:keepNext w:val="0"/>
        <w:spacing w:before="24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Vento seeks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As relevant here, that section provides:</w:t>
      </w:r>
    </w:p>
    <w:p>
      <w:pPr>
        <w:keepNext w:val="0"/>
        <w:spacing w:before="200" w:after="0" w:line="260" w:lineRule="atLeast"/>
        <w:ind w:left="40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(a) A prisoner in custody under sentence of a court established by Act of Congress claiming the right to be released upon the ground that the sentence was imposed in violation of the Constitution or the laws of the United States, or that the court was without jurisdiction to impose such sentence, or that the sentence was in excess of the maximum authorized by law, or is otherwise subject to collateral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attack, may move the court which imposed the sentence to vacate, set aside or correct the sentence.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22"/>
      <w:bookmarkEnd w:id="32"/>
      <w:bookmarkStart w:id="33" w:name="Bookmark_I68M6M4C2SF8N70040000400"/>
      <w:bookmarkEnd w:id="33"/>
      <w:r>
        <w:rPr>
          <w:rFonts w:ascii="arial" w:eastAsia="arial" w:hAnsi="arial" w:cs="arial"/>
          <w:b w:val="0"/>
          <w:i w:val="0"/>
          <w:strike w:val="0"/>
          <w:noProof w:val="0"/>
          <w:color w:val="000000"/>
          <w:position w:val="0"/>
          <w:sz w:val="20"/>
          <w:u w:val="none"/>
          <w:vertAlign w:val="baseline"/>
        </w:rPr>
        <w:t xml:space="preserve">Where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petitioner exhausts or waives his direct appeal, courts may presume that he was fairly convicted. </w:t>
      </w:r>
      <w:bookmarkStart w:id="34" w:name="Bookmark_I68M6M4C2SF8N70030000400"/>
      <w:bookmarkEnd w:id="34"/>
      <w:hyperlink r:id="rId16" w:history="1">
        <w:r>
          <w:rPr>
            <w:rFonts w:ascii="arial" w:eastAsia="arial" w:hAnsi="arial" w:cs="arial"/>
            <w:b w:val="0"/>
            <w:i/>
            <w:strike w:val="0"/>
            <w:noProof w:val="0"/>
            <w:color w:val="0077CC"/>
            <w:position w:val="0"/>
            <w:sz w:val="20"/>
            <w:u w:val="single"/>
            <w:vertAlign w:val="baseline"/>
          </w:rPr>
          <w:t>U.S. v. Willis</w:t>
        </w:r>
      </w:hyperlink>
      <w:hyperlink r:id="rId16"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Generally, a petitioner may not raise on collateral attack issues that he failed to raise on direct appeal, absent a showing of cause and prejudice.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5" w:name="Bookmark_para_23"/>
      <w:bookmarkEnd w:id="35"/>
      <w:bookmarkStart w:id="36" w:name="Bookmark_I68M6M4D2HM6090010000400"/>
      <w:bookmarkEnd w:id="36"/>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val="0"/>
          <w:i w:val="0"/>
          <w:strike w:val="0"/>
          <w:noProof w:val="0"/>
          <w:color w:val="000000"/>
          <w:position w:val="0"/>
          <w:sz w:val="20"/>
          <w:u w:val="single"/>
          <w:vertAlign w:val="baseline"/>
        </w:rPr>
        <w:t>habeas</w:t>
      </w:r>
      <w:r>
        <w:rPr>
          <w:rFonts w:ascii="arial" w:eastAsia="arial" w:hAnsi="arial" w:cs="arial"/>
          <w:b w:val="0"/>
          <w:i w:val="0"/>
          <w:strike w:val="0"/>
          <w:noProof w:val="0"/>
          <w:color w:val="000000"/>
          <w:position w:val="0"/>
          <w:sz w:val="20"/>
          <w:u w:val="none"/>
          <w:vertAlign w:val="baseline"/>
        </w:rPr>
        <w:t xml:space="preserve"> action, federal courts stand willing to review issues of jurisdiction, allegations of substantial constitutional violations, and claims that exceptional circumstances resulted in a fundamental miscarriage of justice." </w:t>
      </w:r>
      <w:bookmarkStart w:id="37" w:name="Bookmark_I68M6M4C2SF8N70050000400"/>
      <w:bookmarkEnd w:id="37"/>
      <w:hyperlink r:id="rId17" w:history="1">
        <w:r>
          <w:rPr>
            <w:rFonts w:ascii="arial" w:eastAsia="arial" w:hAnsi="arial" w:cs="arial"/>
            <w:b w:val="0"/>
            <w:i/>
            <w:strike w:val="0"/>
            <w:noProof w:val="0"/>
            <w:color w:val="0077CC"/>
            <w:position w:val="0"/>
            <w:sz w:val="20"/>
            <w:u w:val="single"/>
            <w:vertAlign w:val="baseline"/>
          </w:rPr>
          <w:t>Lawrence v. McCarthy</w:t>
        </w:r>
      </w:hyperlink>
      <w:hyperlink r:id="rId17" w:history="1">
        <w:r>
          <w:rPr>
            <w:rFonts w:ascii="arial" w:eastAsia="arial" w:hAnsi="arial" w:cs="arial"/>
            <w:b w:val="0"/>
            <w:i/>
            <w:strike w:val="0"/>
            <w:noProof w:val="0"/>
            <w:color w:val="0077CC"/>
            <w:position w:val="0"/>
            <w:sz w:val="20"/>
            <w:u w:val="single"/>
            <w:vertAlign w:val="baseline"/>
          </w:rPr>
          <w:t>, 344 F.3d 467, 474 (5th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38" w:name="Bookmark_para_24"/>
      <w:bookmarkEnd w:id="38"/>
      <w:bookmarkStart w:id="39" w:name="Bookmark_I68M6M4D2HM6090030000400"/>
      <w:bookmarkEnd w:id="39"/>
      <w:bookmarkStart w:id="40" w:name="Bookmark_I68M6M4D2HM6090050000400"/>
      <w:bookmarkEnd w:id="40"/>
      <w:r>
        <w:rPr>
          <w:rFonts w:ascii="arial" w:eastAsia="arial" w:hAnsi="arial" w:cs="arial"/>
          <w:b w:val="0"/>
          <w:i w:val="0"/>
          <w:strike w:val="0"/>
          <w:noProof w:val="0"/>
          <w:color w:val="000000"/>
          <w:position w:val="0"/>
          <w:sz w:val="20"/>
          <w:u w:val="none"/>
          <w:vertAlign w:val="baseline"/>
        </w:rPr>
        <w:t xml:space="preserve">An ineffective assistance of counsel claim brought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is subject to the two-prong analysis articulated in </w:t>
      </w:r>
      <w:bookmarkStart w:id="41" w:name="Bookmark_I68M6M4D2HM6090020000400"/>
      <w:bookmarkEnd w:id="41"/>
      <w:hyperlink r:id="rId18" w:history="1">
        <w:r>
          <w:rPr>
            <w:rFonts w:ascii="arial" w:eastAsia="arial" w:hAnsi="arial" w:cs="arial"/>
            <w:b w:val="0"/>
            <w:i/>
            <w:strike w:val="0"/>
            <w:noProof w:val="0"/>
            <w:color w:val="0077CC"/>
            <w:position w:val="0"/>
            <w:sz w:val="20"/>
            <w:u w:val="single"/>
            <w:vertAlign w:val="baseline"/>
          </w:rPr>
          <w:t>Strickland v. Washington</w:t>
        </w:r>
      </w:hyperlink>
      <w:hyperlink r:id="rId18"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42" w:name="Bookmark_I68M6M4D2HM60F0020000400"/>
      <w:bookmarkEnd w:id="42"/>
      <w:bookmarkStart w:id="43" w:name="Bookmark_I68M6M4D2HM6090040000400"/>
      <w:bookmarkEnd w:id="43"/>
      <w:hyperlink r:id="rId19" w:history="1">
        <w:r>
          <w:rPr>
            <w:rFonts w:ascii="arial" w:eastAsia="arial" w:hAnsi="arial" w:cs="arial"/>
            <w:b w:val="0"/>
            <w:i/>
            <w:strike w:val="0"/>
            <w:noProof w:val="0"/>
            <w:color w:val="0077CC"/>
            <w:position w:val="0"/>
            <w:sz w:val="20"/>
            <w:u w:val="single"/>
            <w:vertAlign w:val="baseline"/>
          </w:rPr>
          <w:t>U.S. v. Grammas</w:t>
        </w:r>
      </w:hyperlink>
      <w:hyperlink r:id="rId19" w:history="1">
        <w:r>
          <w:rPr>
            <w:rFonts w:ascii="arial" w:eastAsia="arial" w:hAnsi="arial" w:cs="arial"/>
            <w:b w:val="0"/>
            <w:i/>
            <w:strike w:val="0"/>
            <w:noProof w:val="0"/>
            <w:color w:val="0077CC"/>
            <w:position w:val="0"/>
            <w:sz w:val="20"/>
            <w:u w:val="single"/>
            <w:vertAlign w:val="baseline"/>
          </w:rPr>
          <w:t>, 376 F.3d 433, 436 (5th Cir. 2004)</w:t>
        </w:r>
      </w:hyperlink>
      <w:r>
        <w:rPr>
          <w:rFonts w:ascii="arial" w:eastAsia="arial" w:hAnsi="arial" w:cs="arial"/>
          <w:b w:val="0"/>
          <w:i w:val="0"/>
          <w:strike w:val="0"/>
          <w:noProof w:val="0"/>
          <w:color w:val="000000"/>
          <w:position w:val="0"/>
          <w:sz w:val="20"/>
          <w:u w:val="none"/>
          <w:vertAlign w:val="baseline"/>
        </w:rPr>
        <w:t xml:space="preserve">. To establish ineffective assistance, the petitioner must show: (1) that defense counsel's performance was deficient; and (2) that the deficient performance prejudiced the defendant. </w:t>
      </w:r>
      <w:bookmarkStart w:id="44" w:name="Bookmark_I68M6M4D2HM60F0020000400_2"/>
      <w:bookmarkEnd w:id="44"/>
      <w:bookmarkStart w:id="45" w:name="Bookmark_I68M6M4D2HM60F0010000400"/>
      <w:bookmarkEnd w:id="45"/>
      <w:hyperlink r:id="rId19" w:history="1">
        <w:r>
          <w:rPr>
            <w:rFonts w:ascii="arial" w:eastAsia="arial" w:hAnsi="arial" w:cs="arial"/>
            <w:b w:val="0"/>
            <w:i/>
            <w:strike w:val="0"/>
            <w:noProof w:val="0"/>
            <w:color w:val="0077CC"/>
            <w:position w:val="0"/>
            <w:sz w:val="20"/>
            <w:u w:val="single"/>
            <w:vertAlign w:val="baseline"/>
          </w:rPr>
          <w:t>Grammas</w:t>
        </w:r>
      </w:hyperlink>
      <w:hyperlink r:id="rId19" w:history="1">
        <w:r>
          <w:rPr>
            <w:rFonts w:ascii="arial" w:eastAsia="arial" w:hAnsi="arial" w:cs="arial"/>
            <w:b w:val="0"/>
            <w:i/>
            <w:strike w:val="0"/>
            <w:noProof w:val="0"/>
            <w:color w:val="0077CC"/>
            <w:position w:val="0"/>
            <w:sz w:val="20"/>
            <w:u w:val="single"/>
            <w:vertAlign w:val="baseline"/>
          </w:rPr>
          <w:t>, 376 F.3d at 436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25"/>
      <w:bookmarkEnd w:id="46"/>
      <w:bookmarkStart w:id="47" w:name="Bookmark_I68M6M4D2HM60F0040000400"/>
      <w:bookmarkEnd w:id="47"/>
      <w:bookmarkStart w:id="48" w:name="Bookmark_I68M6M4D2N1PVH0010000400"/>
      <w:bookmarkEnd w:id="48"/>
      <w:r>
        <w:rPr>
          <w:rFonts w:ascii="arial" w:eastAsia="arial" w:hAnsi="arial" w:cs="arial"/>
          <w:b w:val="0"/>
          <w:i w:val="0"/>
          <w:strike w:val="0"/>
          <w:noProof w:val="0"/>
          <w:color w:val="000000"/>
          <w:position w:val="0"/>
          <w:sz w:val="20"/>
          <w:u w:val="none"/>
          <w:vertAlign w:val="baseline"/>
        </w:rPr>
        <w:t xml:space="preserve">To prove that counsel's performance was deficient, petitioner must show that "it fell below an objective standard of reasonableness." </w:t>
      </w:r>
      <w:bookmarkStart w:id="49" w:name="Bookmark_I68M6M4D2HM60F0030000400"/>
      <w:bookmarkEnd w:id="49"/>
      <w:hyperlink r:id="rId20" w:history="1">
        <w:r>
          <w:rPr>
            <w:rFonts w:ascii="arial" w:eastAsia="arial" w:hAnsi="arial" w:cs="arial"/>
            <w:b w:val="0"/>
            <w:i/>
            <w:strike w:val="0"/>
            <w:noProof w:val="0"/>
            <w:color w:val="0077CC"/>
            <w:position w:val="0"/>
            <w:sz w:val="20"/>
            <w:u w:val="single"/>
            <w:vertAlign w:val="baseline"/>
          </w:rPr>
          <w:t>U.S. v. Juarez</w:t>
        </w:r>
      </w:hyperlink>
      <w:hyperlink r:id="rId20" w:history="1">
        <w:r>
          <w:rPr>
            <w:rFonts w:ascii="arial" w:eastAsia="arial" w:hAnsi="arial" w:cs="arial"/>
            <w:b w:val="0"/>
            <w:i/>
            <w:strike w:val="0"/>
            <w:noProof w:val="0"/>
            <w:color w:val="0077CC"/>
            <w:position w:val="0"/>
            <w:sz w:val="20"/>
            <w:u w:val="single"/>
            <w:vertAlign w:val="baseline"/>
          </w:rPr>
          <w:t>, 672 F.3d 381, 385 (5th Cir. 2012)</w:t>
        </w:r>
      </w:hyperlink>
      <w:r>
        <w:rPr>
          <w:rFonts w:ascii="arial" w:eastAsia="arial" w:hAnsi="arial" w:cs="arial"/>
          <w:b w:val="0"/>
          <w:i w:val="0"/>
          <w:strike w:val="0"/>
          <w:noProof w:val="0"/>
          <w:color w:val="000000"/>
          <w:position w:val="0"/>
          <w:sz w:val="20"/>
          <w:u w:val="none"/>
          <w:vertAlign w:val="baseline"/>
        </w:rPr>
        <w:t xml:space="preserve">. Courts will not "audit decisions that are within the bounds of professional prudence." </w:t>
      </w:r>
      <w:bookmarkStart w:id="50" w:name="Bookmark_I68M6M4D2HM60F0050000400"/>
      <w:bookmarkEnd w:id="50"/>
      <w:hyperlink r:id="rId21" w:history="1">
        <w:r>
          <w:rPr>
            <w:rFonts w:ascii="arial" w:eastAsia="arial" w:hAnsi="arial" w:cs="arial"/>
            <w:b w:val="0"/>
            <w:i/>
            <w:strike w:val="0"/>
            <w:noProof w:val="0"/>
            <w:color w:val="0077CC"/>
            <w:position w:val="0"/>
            <w:sz w:val="20"/>
            <w:u w:val="single"/>
            <w:vertAlign w:val="baseline"/>
          </w:rPr>
          <w:t>U.S. v. Molina-Uribe</w:t>
        </w:r>
      </w:hyperlink>
      <w:hyperlink r:id="rId21" w:history="1">
        <w:r>
          <w:rPr>
            <w:rFonts w:ascii="arial" w:eastAsia="arial" w:hAnsi="arial" w:cs="arial"/>
            <w:b w:val="0"/>
            <w:i/>
            <w:strike w:val="0"/>
            <w:noProof w:val="0"/>
            <w:color w:val="0077CC"/>
            <w:position w:val="0"/>
            <w:sz w:val="20"/>
            <w:u w:val="single"/>
            <w:vertAlign w:val="baseline"/>
          </w:rPr>
          <w:t>, 429 F.3d 514, 518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26"/>
      <w:bookmarkEnd w:id="51"/>
      <w:bookmarkStart w:id="52" w:name="Bookmark_I68M6M4D2N1PVH0030000400"/>
      <w:bookmarkEnd w:id="52"/>
      <w:r>
        <w:rPr>
          <w:rFonts w:ascii="arial" w:eastAsia="arial" w:hAnsi="arial" w:cs="arial"/>
          <w:b w:val="0"/>
          <w:i w:val="0"/>
          <w:strike w:val="0"/>
          <w:noProof w:val="0"/>
          <w:color w:val="000000"/>
          <w:position w:val="0"/>
          <w:sz w:val="20"/>
          <w:u w:val="none"/>
          <w:vertAlign w:val="baseline"/>
        </w:rPr>
        <w:t>The petitioner "has the burden to prove ineffectiveness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by a preponderance of the evidence." </w:t>
      </w:r>
      <w:bookmarkStart w:id="53" w:name="Bookmark_I68M6M4D2N1PVH0020000400"/>
      <w:bookmarkEnd w:id="53"/>
      <w:hyperlink r:id="rId22" w:history="1">
        <w:r>
          <w:rPr>
            <w:rFonts w:ascii="arial" w:eastAsia="arial" w:hAnsi="arial" w:cs="arial"/>
            <w:b w:val="0"/>
            <w:i/>
            <w:strike w:val="0"/>
            <w:noProof w:val="0"/>
            <w:color w:val="0077CC"/>
            <w:position w:val="0"/>
            <w:sz w:val="20"/>
            <w:u w:val="single"/>
            <w:vertAlign w:val="baseline"/>
          </w:rPr>
          <w:t>Montoya v. Johnson</w:t>
        </w:r>
      </w:hyperlink>
      <w:hyperlink r:id="rId22" w:history="1">
        <w:r>
          <w:rPr>
            <w:rFonts w:ascii="arial" w:eastAsia="arial" w:hAnsi="arial" w:cs="arial"/>
            <w:b w:val="0"/>
            <w:i/>
            <w:strike w:val="0"/>
            <w:noProof w:val="0"/>
            <w:color w:val="0077CC"/>
            <w:position w:val="0"/>
            <w:sz w:val="20"/>
            <w:u w:val="single"/>
            <w:vertAlign w:val="baseline"/>
          </w:rPr>
          <w:t>, 226 F.3d 399, 408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Law of the Case</w:t>
      </w:r>
    </w:p>
    <w:p>
      <w:pPr>
        <w:keepNext w:val="0"/>
        <w:spacing w:before="200" w:after="0" w:line="260" w:lineRule="atLeast"/>
        <w:ind w:left="0" w:right="0" w:firstLine="0"/>
        <w:jc w:val="both"/>
      </w:pPr>
      <w:bookmarkStart w:id="54" w:name="Bookmark_para_27"/>
      <w:bookmarkEnd w:id="54"/>
      <w:bookmarkStart w:id="55" w:name="Bookmark_I68M6M4D2N1PVH0050000400"/>
      <w:bookmarkEnd w:id="55"/>
      <w:bookmarkStart w:id="56" w:name="Bookmark_I68M6M4G2D6N1K0010000400"/>
      <w:bookmarkEnd w:id="56"/>
      <w:r>
        <w:rPr>
          <w:rFonts w:ascii="arial" w:eastAsia="arial" w:hAnsi="arial" w:cs="arial"/>
          <w:b w:val="0"/>
          <w:i w:val="0"/>
          <w:strike w:val="0"/>
          <w:noProof w:val="0"/>
          <w:color w:val="000000"/>
          <w:position w:val="0"/>
          <w:sz w:val="20"/>
          <w:u w:val="none"/>
          <w:vertAlign w:val="baseline"/>
        </w:rPr>
        <w:t xml:space="preserve">"[I]ssues raised and disposed of in a previous appeal from an original judgment of conviction are not considered in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w:t>
      </w:r>
      <w:bookmarkStart w:id="57" w:name="Bookmark_I68M6M4D2N1PVH0040000400"/>
      <w:bookmarkEnd w:id="57"/>
      <w:hyperlink r:id="rId23" w:history="1">
        <w:r>
          <w:rPr>
            <w:rFonts w:ascii="arial" w:eastAsia="arial" w:hAnsi="arial" w:cs="arial"/>
            <w:b w:val="0"/>
            <w:i/>
            <w:strike w:val="0"/>
            <w:noProof w:val="0"/>
            <w:color w:val="0077CC"/>
            <w:position w:val="0"/>
            <w:sz w:val="20"/>
            <w:u w:val="single"/>
            <w:vertAlign w:val="baseline"/>
          </w:rPr>
          <w:t>U.S. v. Kalish</w:t>
        </w:r>
      </w:hyperlink>
      <w:hyperlink r:id="rId23" w:history="1">
        <w:r>
          <w:rPr>
            <w:rFonts w:ascii="arial" w:eastAsia="arial" w:hAnsi="arial" w:cs="arial"/>
            <w:b w:val="0"/>
            <w:i/>
            <w:strike w:val="0"/>
            <w:noProof w:val="0"/>
            <w:color w:val="0077CC"/>
            <w:position w:val="0"/>
            <w:sz w:val="20"/>
            <w:u w:val="single"/>
            <w:vertAlign w:val="baseline"/>
          </w:rPr>
          <w:t>, 780 F.2d 506, 508 (5th Cir. 1986)</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8M6M4F2HM60M0010000400"/>
      <w:bookmarkEnd w:id="58"/>
      <w:hyperlink r:id="rId24" w:history="1">
        <w:r>
          <w:rPr>
            <w:rFonts w:ascii="arial" w:eastAsia="arial" w:hAnsi="arial" w:cs="arial"/>
            <w:b w:val="0"/>
            <w:i/>
            <w:strike w:val="0"/>
            <w:noProof w:val="0"/>
            <w:color w:val="0077CC"/>
            <w:position w:val="0"/>
            <w:sz w:val="20"/>
            <w:u w:val="single"/>
            <w:vertAlign w:val="baseline"/>
          </w:rPr>
          <w:t>U.S. v. Jones</w:t>
        </w:r>
      </w:hyperlink>
      <w:hyperlink r:id="rId24" w:history="1">
        <w:r>
          <w:rPr>
            <w:rFonts w:ascii="arial" w:eastAsia="arial" w:hAnsi="arial" w:cs="arial"/>
            <w:b w:val="0"/>
            <w:i/>
            <w:strike w:val="0"/>
            <w:noProof w:val="0"/>
            <w:color w:val="0077CC"/>
            <w:position w:val="0"/>
            <w:sz w:val="20"/>
            <w:u w:val="single"/>
            <w:vertAlign w:val="baseline"/>
          </w:rPr>
          <w:t>, 614 F.2d 80, 82 (5th Cir. 1980)</w:t>
        </w:r>
      </w:hyperlink>
      <w:r>
        <w:rPr>
          <w:rFonts w:ascii="arial" w:eastAsia="arial" w:hAnsi="arial" w:cs="arial"/>
          <w:b w:val="0"/>
          <w:i w:val="0"/>
          <w:strike w:val="0"/>
          <w:noProof w:val="0"/>
          <w:color w:val="000000"/>
          <w:position w:val="0"/>
          <w:sz w:val="20"/>
          <w:u w:val="none"/>
          <w:vertAlign w:val="baseline"/>
        </w:rPr>
        <w:t xml:space="preserve">); </w:t>
      </w:r>
      <w:bookmarkStart w:id="59" w:name="Bookmark_I68M6M4F2HM60M0030000400"/>
      <w:bookmarkEnd w:id="59"/>
      <w:hyperlink r:id="rId25" w:history="1">
        <w:r>
          <w:rPr>
            <w:rFonts w:ascii="arial" w:eastAsia="arial" w:hAnsi="arial" w:cs="arial"/>
            <w:b w:val="0"/>
            <w:i/>
            <w:strike w:val="0"/>
            <w:noProof w:val="0"/>
            <w:color w:val="0077CC"/>
            <w:position w:val="0"/>
            <w:sz w:val="20"/>
            <w:u w:val="single"/>
            <w:vertAlign w:val="baseline"/>
          </w:rPr>
          <w:t>U.S. v. Rocha</w:t>
        </w:r>
      </w:hyperlink>
      <w:hyperlink r:id="rId25" w:history="1">
        <w:r>
          <w:rPr>
            <w:rFonts w:ascii="arial" w:eastAsia="arial" w:hAnsi="arial" w:cs="arial"/>
            <w:b w:val="0"/>
            <w:i/>
            <w:strike w:val="0"/>
            <w:noProof w:val="0"/>
            <w:color w:val="0077CC"/>
            <w:position w:val="0"/>
            <w:sz w:val="20"/>
            <w:u w:val="single"/>
            <w:vertAlign w:val="baseline"/>
          </w:rPr>
          <w:t>, 109 F.3d 225, 229 (5th Cir. 1997)</w:t>
        </w:r>
      </w:hyperlink>
      <w:r>
        <w:rPr>
          <w:rFonts w:ascii="arial" w:eastAsia="arial" w:hAnsi="arial" w:cs="arial"/>
          <w:b w:val="0"/>
          <w:i w:val="0"/>
          <w:strike w:val="0"/>
          <w:noProof w:val="0"/>
          <w:color w:val="000000"/>
          <w:position w:val="0"/>
          <w:sz w:val="20"/>
          <w:u w:val="none"/>
          <w:vertAlign w:val="baseline"/>
        </w:rPr>
        <w:t xml:space="preserve">. </w:t>
      </w:r>
      <w:bookmarkStart w:id="60" w:name="Bookmark_I68M6M4G2D6N1K0030000400"/>
      <w:bookmarkEnd w:id="60"/>
      <w:r>
        <w:rPr>
          <w:rFonts w:ascii="arial" w:eastAsia="arial" w:hAnsi="arial" w:cs="arial"/>
          <w:b w:val="0"/>
          <w:i w:val="0"/>
          <w:strike w:val="0"/>
          <w:noProof w:val="0"/>
          <w:color w:val="000000"/>
          <w:position w:val="0"/>
          <w:sz w:val="20"/>
          <w:u w:val="none"/>
          <w:vertAlign w:val="baseline"/>
        </w:rPr>
        <w:t xml:space="preserve">Any decision made by the Fifth Circuit on direct appeal constitutes the "law of the case" for purposes of the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 </w:t>
      </w:r>
      <w:bookmarkStart w:id="61" w:name="Bookmark_I68M6M4F2HM60M0050000400"/>
      <w:bookmarkEnd w:id="61"/>
      <w:hyperlink r:id="rId26" w:history="1">
        <w:r>
          <w:rPr>
            <w:rFonts w:ascii="arial" w:eastAsia="arial" w:hAnsi="arial" w:cs="arial"/>
            <w:b w:val="0"/>
            <w:i/>
            <w:strike w:val="0"/>
            <w:noProof w:val="0"/>
            <w:color w:val="0077CC"/>
            <w:position w:val="0"/>
            <w:sz w:val="20"/>
            <w:u w:val="single"/>
            <w:vertAlign w:val="baseline"/>
          </w:rPr>
          <w:t>U.S. v. Goudeau</w:t>
        </w:r>
      </w:hyperlink>
      <w:hyperlink r:id="rId26" w:history="1">
        <w:r>
          <w:rPr>
            <w:rFonts w:ascii="arial" w:eastAsia="arial" w:hAnsi="arial" w:cs="arial"/>
            <w:b w:val="0"/>
            <w:i/>
            <w:strike w:val="0"/>
            <w:noProof w:val="0"/>
            <w:color w:val="0077CC"/>
            <w:position w:val="0"/>
            <w:sz w:val="20"/>
            <w:u w:val="single"/>
            <w:vertAlign w:val="baseline"/>
          </w:rPr>
          <w:t>, 512 Fed. App'x. 390, 393 (5th Cir. 2013)</w:t>
        </w:r>
      </w:hyperlink>
      <w:r>
        <w:rPr>
          <w:rFonts w:ascii="arial" w:eastAsia="arial" w:hAnsi="arial" w:cs="arial"/>
          <w:b w:val="0"/>
          <w:i w:val="0"/>
          <w:strike w:val="0"/>
          <w:noProof w:val="0"/>
          <w:color w:val="000000"/>
          <w:position w:val="0"/>
          <w:sz w:val="20"/>
          <w:u w:val="none"/>
          <w:vertAlign w:val="baseline"/>
        </w:rPr>
        <w:t xml:space="preserve"> (unpubl.) </w:t>
      </w:r>
      <w:bookmarkStart w:id="62" w:name="Bookmark_I68M6M4G2D6N1K0030000400_2"/>
      <w:bookmarkEnd w:id="62"/>
      <w:r>
        <w:rPr>
          <w:rFonts w:ascii="arial" w:eastAsia="arial" w:hAnsi="arial" w:cs="arial"/>
          <w:b w:val="0"/>
          <w:i w:val="0"/>
          <w:strike w:val="0"/>
          <w:noProof w:val="0"/>
          <w:color w:val="000000"/>
          <w:position w:val="0"/>
          <w:sz w:val="20"/>
          <w:u w:val="none"/>
          <w:vertAlign w:val="baseline"/>
        </w:rPr>
        <w:t>(</w:t>
      </w:r>
      <w:bookmarkStart w:id="63" w:name="Bookmark_I68M6M4G2D6N1K0020000400"/>
      <w:bookmarkEnd w:id="63"/>
      <w:r>
        <w:rPr>
          <w:rFonts w:ascii="arial" w:eastAsia="arial" w:hAnsi="arial" w:cs="arial"/>
          <w:b w:val="0"/>
          <w:i/>
          <w:strike w:val="0"/>
          <w:noProof w:val="0"/>
          <w:color w:val="000000"/>
          <w:position w:val="0"/>
          <w:sz w:val="20"/>
          <w:u w:val="single"/>
          <w:vertAlign w:val="baseline"/>
        </w:rPr>
        <w:t>U.S. v. Troutman</w:t>
      </w:r>
      <w:r>
        <w:rPr>
          <w:rFonts w:ascii="arial" w:eastAsia="arial" w:hAnsi="arial" w:cs="arial"/>
          <w:b w:val="0"/>
          <w:i/>
          <w:strike w:val="0"/>
          <w:noProof w:val="0"/>
          <w:color w:val="000000"/>
          <w:position w:val="0"/>
          <w:sz w:val="20"/>
          <w:u w:val="none"/>
          <w:vertAlign w:val="baseline"/>
        </w:rPr>
        <w:t>, 16 F.3d 1215 (5th Cir. 1994)</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4" w:name="Bookmark_para_28"/>
      <w:bookmarkEnd w:id="64"/>
      <w:bookmarkStart w:id="65" w:name="Bookmark_I68M6M4G2D6N1K0050000400"/>
      <w:bookmarkEnd w:id="65"/>
      <w:bookmarkStart w:id="66" w:name="Bookmark_I68M6M4G2HM60V0020000400"/>
      <w:bookmarkEnd w:id="66"/>
      <w:r>
        <w:rPr>
          <w:rFonts w:ascii="arial" w:eastAsia="arial" w:hAnsi="arial" w:cs="arial"/>
          <w:b w:val="0"/>
          <w:i w:val="0"/>
          <w:strike w:val="0"/>
          <w:noProof w:val="0"/>
          <w:color w:val="000000"/>
          <w:position w:val="0"/>
          <w:sz w:val="20"/>
          <w:u w:val="none"/>
          <w:vertAlign w:val="baseline"/>
        </w:rPr>
        <w:t xml:space="preserve">"Under the law of the case doctrine, an issue of fact or law decided on appeal may not be re-examined either by the district court on remand or by the appellate court on a subsequent appeal." </w:t>
      </w:r>
      <w:bookmarkStart w:id="67" w:name="Bookmark_I68M6M4G2D6N1K0040000400"/>
      <w:bookmarkEnd w:id="67"/>
      <w:hyperlink r:id="rId27" w:history="1">
        <w:r>
          <w:rPr>
            <w:rFonts w:ascii="arial" w:eastAsia="arial" w:hAnsi="arial" w:cs="arial"/>
            <w:b w:val="0"/>
            <w:i/>
            <w:strike w:val="0"/>
            <w:noProof w:val="0"/>
            <w:color w:val="0077CC"/>
            <w:position w:val="0"/>
            <w:sz w:val="20"/>
            <w:u w:val="single"/>
            <w:vertAlign w:val="baseline"/>
          </w:rPr>
          <w:t>U.S. v. Matthews</w:t>
        </w:r>
      </w:hyperlink>
      <w:hyperlink r:id="rId27" w:history="1">
        <w:r>
          <w:rPr>
            <w:rFonts w:ascii="arial" w:eastAsia="arial" w:hAnsi="arial" w:cs="arial"/>
            <w:b w:val="0"/>
            <w:i/>
            <w:strike w:val="0"/>
            <w:noProof w:val="0"/>
            <w:color w:val="0077CC"/>
            <w:position w:val="0"/>
            <w:sz w:val="20"/>
            <w:u w:val="single"/>
            <w:vertAlign w:val="baseline"/>
          </w:rPr>
          <w:t>, 312 F.3d 652, 657 (5th Cir. 2002)</w:t>
        </w:r>
      </w:hyperlink>
      <w:r>
        <w:rPr>
          <w:rFonts w:ascii="arial" w:eastAsia="arial" w:hAnsi="arial" w:cs="arial"/>
          <w:b w:val="0"/>
          <w:i w:val="0"/>
          <w:strike w:val="0"/>
          <w:noProof w:val="0"/>
          <w:color w:val="000000"/>
          <w:position w:val="0"/>
          <w:sz w:val="20"/>
          <w:u w:val="none"/>
          <w:vertAlign w:val="baseline"/>
        </w:rPr>
        <w:t xml:space="preserve"> (internal quotation marks omitted). </w:t>
      </w:r>
      <w:bookmarkStart w:id="68" w:name="Bookmark_I68M6M4G2HM60V0040000400"/>
      <w:bookmarkEnd w:id="68"/>
      <w:r>
        <w:rPr>
          <w:rFonts w:ascii="arial" w:eastAsia="arial" w:hAnsi="arial" w:cs="arial"/>
          <w:b w:val="0"/>
          <w:i w:val="0"/>
          <w:strike w:val="0"/>
          <w:noProof w:val="0"/>
          <w:color w:val="000000"/>
          <w:position w:val="0"/>
          <w:sz w:val="20"/>
          <w:u w:val="none"/>
          <w:vertAlign w:val="baseline"/>
        </w:rPr>
        <w:t xml:space="preserve">The limitation imposed by the law of the case doctrine is not jurisdictional, but discretionary.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law of the case doctrine generally instructs that a prior decision of [the appellate] court will be followed without re-examination ... unless (i) the evidence at a subsequent trial is substantially different; (ii) controlling authority has since made a contrary decision of the law applicable to such issues; or (iii) the decision was clearly erroneous and would work a manifest injustice." </w:t>
      </w:r>
      <w:bookmarkStart w:id="69" w:name="Bookmark_I68M6M4G2HM60V0010000400"/>
      <w:bookmarkEnd w:id="69"/>
      <w:hyperlink r:id="rId28" w:history="1">
        <w:r>
          <w:rPr>
            <w:rFonts w:ascii="arial" w:eastAsia="arial" w:hAnsi="arial" w:cs="arial"/>
            <w:b w:val="0"/>
            <w:i/>
            <w:strike w:val="0"/>
            <w:noProof w:val="0"/>
            <w:color w:val="0077CC"/>
            <w:position w:val="0"/>
            <w:sz w:val="20"/>
            <w:u w:val="single"/>
            <w:vertAlign w:val="baseline"/>
          </w:rPr>
          <w:t>U.S. v. Bonilla-Mungia</w:t>
        </w:r>
      </w:hyperlink>
      <w:hyperlink r:id="rId28" w:history="1">
        <w:r>
          <w:rPr>
            <w:rFonts w:ascii="arial" w:eastAsia="arial" w:hAnsi="arial" w:cs="arial"/>
            <w:b w:val="0"/>
            <w:i/>
            <w:strike w:val="0"/>
            <w:noProof w:val="0"/>
            <w:color w:val="0077CC"/>
            <w:position w:val="0"/>
            <w:sz w:val="20"/>
            <w:u w:val="single"/>
            <w:vertAlign w:val="baseline"/>
          </w:rPr>
          <w:t>, 200 Fed. App'x. 376 (5th Cir. 2006)</w:t>
        </w:r>
      </w:hyperlink>
      <w:r>
        <w:rPr>
          <w:rFonts w:ascii="arial" w:eastAsia="arial" w:hAnsi="arial" w:cs="arial"/>
          <w:b w:val="0"/>
          <w:i w:val="0"/>
          <w:strike w:val="0"/>
          <w:noProof w:val="0"/>
          <w:color w:val="000000"/>
          <w:position w:val="0"/>
          <w:sz w:val="20"/>
          <w:u w:val="none"/>
          <w:vertAlign w:val="baseline"/>
        </w:rPr>
        <w:t xml:space="preserve"> (unpubl.) </w:t>
      </w:r>
      <w:bookmarkStart w:id="70" w:name="Bookmark_I68M6M4G2HM60V0040000400_2"/>
      <w:bookmarkEnd w:id="70"/>
      <w:r>
        <w:rPr>
          <w:rFonts w:ascii="arial" w:eastAsia="arial" w:hAnsi="arial" w:cs="arial"/>
          <w:b w:val="0"/>
          <w:i w:val="0"/>
          <w:strike w:val="0"/>
          <w:noProof w:val="0"/>
          <w:color w:val="000000"/>
          <w:position w:val="0"/>
          <w:sz w:val="20"/>
          <w:u w:val="none"/>
          <w:vertAlign w:val="baseline"/>
        </w:rPr>
        <w:t xml:space="preserve">(quoting </w:t>
      </w:r>
      <w:bookmarkStart w:id="71" w:name="Bookmark_I68M6M4G2HM60V0030000400"/>
      <w:bookmarkEnd w:id="71"/>
      <w:hyperlink r:id="rId29" w:history="1">
        <w:r>
          <w:rPr>
            <w:rFonts w:ascii="arial" w:eastAsia="arial" w:hAnsi="arial" w:cs="arial"/>
            <w:b w:val="0"/>
            <w:i/>
            <w:strike w:val="0"/>
            <w:noProof w:val="0"/>
            <w:color w:val="0077CC"/>
            <w:position w:val="0"/>
            <w:sz w:val="20"/>
            <w:u w:val="single"/>
            <w:vertAlign w:val="baseline"/>
          </w:rPr>
          <w:t>U.S. v. Becerra</w:t>
        </w:r>
      </w:hyperlink>
      <w:hyperlink r:id="rId29" w:history="1">
        <w:r>
          <w:rPr>
            <w:rFonts w:ascii="arial" w:eastAsia="arial" w:hAnsi="arial" w:cs="arial"/>
            <w:b w:val="0"/>
            <w:i/>
            <w:strike w:val="0"/>
            <w:noProof w:val="0"/>
            <w:color w:val="0077CC"/>
            <w:position w:val="0"/>
            <w:sz w:val="20"/>
            <w:u w:val="single"/>
            <w:vertAlign w:val="baseline"/>
          </w:rPr>
          <w:t>, 155 F.3d 740, 752-53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72" w:name="Bookmark_para_29"/>
      <w:bookmarkEnd w:id="72"/>
      <w:bookmarkStart w:id="73" w:name="Bookmark_I68M6M4H2N1PVW0010000400"/>
      <w:bookmarkEnd w:id="73"/>
      <w:r>
        <w:rPr>
          <w:rFonts w:ascii="arial" w:eastAsia="arial" w:hAnsi="arial" w:cs="arial"/>
          <w:b w:val="0"/>
          <w:i w:val="0"/>
          <w:strike w:val="0"/>
          <w:noProof w:val="0"/>
          <w:color w:val="000000"/>
          <w:position w:val="0"/>
          <w:sz w:val="20"/>
          <w:u w:val="none"/>
          <w:vertAlign w:val="baseline"/>
        </w:rPr>
        <w:t xml:space="preserve">A court may entertain and decide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without requiring the production of the prisoner at a hearing.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Further, where the information available in the record and the clarity of the facts demonstrate a clear absence of entitlement to relief, a hearing is not required. </w:t>
      </w:r>
      <w:bookmarkStart w:id="74" w:name="Bookmark_I68M6M4G2HM60V0050000400"/>
      <w:bookmarkEnd w:id="74"/>
      <w:hyperlink r:id="rId30" w:history="1">
        <w:r>
          <w:rPr>
            <w:rFonts w:ascii="arial" w:eastAsia="arial" w:hAnsi="arial" w:cs="arial"/>
            <w:b w:val="0"/>
            <w:i/>
            <w:strike w:val="0"/>
            <w:noProof w:val="0"/>
            <w:color w:val="0077CC"/>
            <w:position w:val="0"/>
            <w:sz w:val="20"/>
            <w:u w:val="single"/>
            <w:vertAlign w:val="baseline"/>
          </w:rPr>
          <w:t>U.S. v. Bartholomew</w:t>
        </w:r>
      </w:hyperlink>
      <w:hyperlink r:id="rId30"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("A motion brought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can be denied without a hearing only if the motion, files, and records of the case conclusively show that the prisoner is entitled to no relief."). The record in this case satisfies this requirement, for which reason the motion can be decided without a hearing.</w:t>
      </w:r>
    </w:p>
    <w:p>
      <w:pPr>
        <w:keepNext w:val="0"/>
        <w:spacing w:before="240" w:after="0" w:line="260" w:lineRule="atLeast"/>
        <w:ind w:left="0" w:right="0" w:firstLine="0"/>
        <w:jc w:val="both"/>
      </w:pPr>
      <w:bookmarkStart w:id="75" w:name="Bookmark_para_30"/>
      <w:bookmarkEnd w:id="75"/>
      <w:bookmarkStart w:id="76" w:name="Bookmark_I68M6M4H2N1PVW0030000400"/>
      <w:bookmarkEnd w:id="76"/>
      <w:r>
        <w:rPr>
          <w:rFonts w:ascii="arial" w:eastAsia="arial" w:hAnsi="arial" w:cs="arial"/>
          <w:b w:val="0"/>
          <w:i w:val="0"/>
          <w:strike w:val="0"/>
          <w:noProof w:val="0"/>
          <w:color w:val="000000"/>
          <w:position w:val="0"/>
          <w:sz w:val="20"/>
          <w:u w:val="none"/>
          <w:vertAlign w:val="baseline"/>
        </w:rPr>
        <w:t xml:space="preserve">In analyzing Vento's claim, a basic premise is that allegations by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litigants must be given liberal construction to ensure that their claims are not unfairly dismissed because of their unfamiliarity with the law. </w:t>
      </w:r>
      <w:bookmarkStart w:id="77" w:name="Bookmark_I68M6M4H2N1PVW0020000400"/>
      <w:bookmarkEnd w:id="77"/>
      <w:hyperlink r:id="rId31" w:history="1">
        <w:r>
          <w:rPr>
            <w:rFonts w:ascii="arial" w:eastAsia="arial" w:hAnsi="arial" w:cs="arial"/>
            <w:b w:val="0"/>
            <w:i/>
            <w:strike w:val="0"/>
            <w:noProof w:val="0"/>
            <w:color w:val="0077CC"/>
            <w:position w:val="0"/>
            <w:sz w:val="20"/>
            <w:u w:val="single"/>
            <w:vertAlign w:val="baseline"/>
          </w:rPr>
          <w:t>Haines v. Kerner</w:t>
        </w:r>
      </w:hyperlink>
      <w:hyperlink r:id="rId31" w:history="1">
        <w:r>
          <w:rPr>
            <w:rFonts w:ascii="arial" w:eastAsia="arial" w:hAnsi="arial" w:cs="arial"/>
            <w:b w:val="0"/>
            <w:i/>
            <w:strike w:val="0"/>
            <w:noProof w:val="0"/>
            <w:color w:val="0077CC"/>
            <w:position w:val="0"/>
            <w:sz w:val="20"/>
            <w:u w:val="single"/>
            <w:vertAlign w:val="baseline"/>
          </w:rPr>
          <w:t>, 404 U.S. 519, 520, 92 S. Ct. 594, 30 L. Ed. 2d 652 (1972)</w:t>
        </w:r>
      </w:hyperlink>
      <w:r>
        <w:rPr>
          <w:rFonts w:ascii="arial" w:eastAsia="arial" w:hAnsi="arial" w:cs="arial"/>
          <w:b w:val="0"/>
          <w:i w:val="0"/>
          <w:strike w:val="0"/>
          <w:noProof w:val="0"/>
          <w:color w:val="000000"/>
          <w:position w:val="0"/>
          <w:sz w:val="20"/>
          <w:u w:val="none"/>
          <w:vertAlign w:val="baseline"/>
        </w:rPr>
        <w:t>. Even applying that standard, neither the record — nor the law — supports Vento's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Penalty of Perjury</w:t>
      </w:r>
    </w:p>
    <w:p>
      <w:pPr>
        <w:keepNext w:val="0"/>
        <w:spacing w:before="200" w:after="0" w:line="260" w:lineRule="atLeast"/>
        <w:ind w:left="0" w:right="0" w:firstLine="0"/>
        <w:jc w:val="both"/>
      </w:pPr>
      <w:bookmarkStart w:id="78" w:name="Bookmark_para_31"/>
      <w:bookmarkEnd w:id="78"/>
      <w:r>
        <w:rPr>
          <w:rFonts w:ascii="arial" w:eastAsia="arial" w:hAnsi="arial" w:cs="arial"/>
          <w:b w:val="0"/>
          <w:i w:val="0"/>
          <w:strike w:val="0"/>
          <w:noProof w:val="0"/>
          <w:color w:val="000000"/>
          <w:position w:val="0"/>
          <w:sz w:val="20"/>
          <w:u w:val="none"/>
          <w:vertAlign w:val="baseline"/>
        </w:rPr>
        <w:t>Vento did not file his petition under penalty of perjury. His petition can be denied on this basis.</w:t>
      </w:r>
    </w:p>
    <w:p>
      <w:pPr>
        <w:keepNext w:val="0"/>
        <w:spacing w:before="200" w:after="0" w:line="260" w:lineRule="atLeast"/>
        <w:ind w:left="0" w:right="0" w:firstLine="0"/>
        <w:jc w:val="both"/>
      </w:pPr>
      <w:bookmarkStart w:id="79" w:name="Bookmark_para_32"/>
      <w:bookmarkEnd w:id="79"/>
      <w:bookmarkStart w:id="80" w:name="Bookmark_I68M6M4H2N1PVW0050000400"/>
      <w:bookmarkEnd w:id="80"/>
      <w:r>
        <w:rPr>
          <w:rFonts w:ascii="arial" w:eastAsia="arial" w:hAnsi="arial" w:cs="arial"/>
          <w:b w:val="0"/>
          <w:i w:val="0"/>
          <w:strike w:val="0"/>
          <w:noProof w:val="0"/>
          <w:color w:val="000000"/>
          <w:position w:val="0"/>
          <w:sz w:val="20"/>
          <w:u w:val="none"/>
          <w:vertAlign w:val="baseline"/>
        </w:rPr>
        <w:t xml:space="preserve">Vento's allegations are unsworn. A petitioner's "unsworn allegations do not bear sufficient indicia of reliability to be considered by the court." </w:t>
      </w:r>
      <w:bookmarkStart w:id="81" w:name="Bookmark_I68M6M4H2N1PVW0040000400"/>
      <w:bookmarkEnd w:id="81"/>
      <w:hyperlink r:id="rId32" w:history="1">
        <w:r>
          <w:rPr>
            <w:rFonts w:ascii="arial" w:eastAsia="arial" w:hAnsi="arial" w:cs="arial"/>
            <w:b w:val="0"/>
            <w:i/>
            <w:strike w:val="0"/>
            <w:noProof w:val="0"/>
            <w:color w:val="0077CC"/>
            <w:position w:val="0"/>
            <w:sz w:val="20"/>
            <w:u w:val="single"/>
            <w:vertAlign w:val="baseline"/>
          </w:rPr>
          <w:t>U.S. v. Gonzalez</w:t>
        </w:r>
      </w:hyperlink>
      <w:hyperlink r:id="rId32" w:history="1">
        <w:r>
          <w:rPr>
            <w:rFonts w:ascii="arial" w:eastAsia="arial" w:hAnsi="arial" w:cs="arial"/>
            <w:b w:val="0"/>
            <w:i/>
            <w:strike w:val="0"/>
            <w:noProof w:val="0"/>
            <w:color w:val="0077CC"/>
            <w:position w:val="0"/>
            <w:sz w:val="20"/>
            <w:u w:val="single"/>
            <w:vertAlign w:val="baseline"/>
          </w:rPr>
          <w:t>, 493 F. App'x 541, 544 (5th Cir. 2012)</w:t>
        </w:r>
      </w:hyperlink>
      <w:r>
        <w:rPr>
          <w:rFonts w:ascii="arial" w:eastAsia="arial" w:hAnsi="arial" w:cs="arial"/>
          <w:b w:val="0"/>
          <w:i w:val="0"/>
          <w:strike w:val="0"/>
          <w:noProof w:val="0"/>
          <w:color w:val="000000"/>
          <w:position w:val="0"/>
          <w:sz w:val="20"/>
          <w:u w:val="none"/>
          <w:vertAlign w:val="baseline"/>
        </w:rPr>
        <w:t xml:space="preserve"> (citing </w:t>
      </w:r>
      <w:bookmarkStart w:id="82" w:name="Bookmark_I68M6M4H2D6N1V0010000400"/>
      <w:bookmarkEnd w:id="82"/>
      <w:hyperlink r:id="rId33" w:history="1">
        <w:r>
          <w:rPr>
            <w:rFonts w:ascii="arial" w:eastAsia="arial" w:hAnsi="arial" w:cs="arial"/>
            <w:b w:val="0"/>
            <w:i/>
            <w:strike w:val="0"/>
            <w:noProof w:val="0"/>
            <w:color w:val="0077CC"/>
            <w:position w:val="0"/>
            <w:sz w:val="20"/>
            <w:u w:val="single"/>
            <w:vertAlign w:val="baseline"/>
          </w:rPr>
          <w:t>U.S. v. Lghodaro</w:t>
        </w:r>
      </w:hyperlink>
      <w:hyperlink r:id="rId33" w:history="1">
        <w:r>
          <w:rPr>
            <w:rFonts w:ascii="arial" w:eastAsia="arial" w:hAnsi="arial" w:cs="arial"/>
            <w:b w:val="0"/>
            <w:i/>
            <w:strike w:val="0"/>
            <w:noProof w:val="0"/>
            <w:color w:val="0077CC"/>
            <w:position w:val="0"/>
            <w:sz w:val="20"/>
            <w:u w:val="single"/>
            <w:vertAlign w:val="baseline"/>
          </w:rPr>
          <w:t>, 967 F.2d 1028, 1030 (5th Cir. 1992)</w:t>
        </w:r>
      </w:hyperlink>
      <w:r>
        <w:rPr>
          <w:rFonts w:ascii="arial" w:eastAsia="arial" w:hAnsi="arial" w:cs="arial"/>
          <w:b w:val="0"/>
          <w:i w:val="0"/>
          <w:strike w:val="0"/>
          <w:noProof w:val="0"/>
          <w:color w:val="000000"/>
          <w:position w:val="0"/>
          <w:sz w:val="20"/>
          <w:u w:val="none"/>
          <w:vertAlign w:val="baseline"/>
        </w:rPr>
        <w:t>). As such, Vento has not raised any issues to be considered by the Court. However, even if the petition were to be considered to have been filed under penalty of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perjury, he would fare no better, for the reasons set out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00" w:after="0" w:line="260" w:lineRule="atLeast"/>
        <w:ind w:left="0" w:right="0" w:firstLine="0"/>
        <w:jc w:val="both"/>
      </w:pPr>
      <w:bookmarkStart w:id="83" w:name="Bookmark_para_33"/>
      <w:bookmarkEnd w:id="83"/>
      <w:r>
        <w:rPr>
          <w:rFonts w:ascii="arial" w:eastAsia="arial" w:hAnsi="arial" w:cs="arial"/>
          <w:b w:val="0"/>
          <w:i w:val="0"/>
          <w:strike w:val="0"/>
          <w:noProof w:val="0"/>
          <w:color w:val="000000"/>
          <w:position w:val="0"/>
          <w:sz w:val="20"/>
          <w:u w:val="none"/>
          <w:vertAlign w:val="baseline"/>
        </w:rPr>
        <w:t>Vento alleges that counsel was ineffective for failing to object to the out of court statements. This claim is meritless.</w:t>
      </w:r>
    </w:p>
    <w:p>
      <w:pPr>
        <w:keepNext w:val="0"/>
        <w:spacing w:before="200" w:after="0" w:line="260" w:lineRule="atLeast"/>
        <w:ind w:left="0" w:right="0" w:firstLine="0"/>
        <w:jc w:val="both"/>
      </w:pPr>
      <w:bookmarkStart w:id="84" w:name="Bookmark_para_34"/>
      <w:bookmarkEnd w:id="84"/>
      <w:r>
        <w:rPr>
          <w:rFonts w:ascii="arial" w:eastAsia="arial" w:hAnsi="arial" w:cs="arial"/>
          <w:b w:val="0"/>
          <w:i w:val="0"/>
          <w:strike w:val="0"/>
          <w:noProof w:val="0"/>
          <w:color w:val="000000"/>
          <w:position w:val="0"/>
          <w:sz w:val="20"/>
          <w:u w:val="none"/>
          <w:vertAlign w:val="baseline"/>
        </w:rPr>
        <w:t>On direct appeal, the Fifth Circuit found that any error in admitting the statements did not impact Vento's substantial rights, because of the strength of the Government's remaining evidence. CR Dkt. No. 205.</w:t>
      </w:r>
    </w:p>
    <w:p>
      <w:pPr>
        <w:keepNext w:val="0"/>
        <w:spacing w:before="240" w:after="0" w:line="260" w:lineRule="atLeast"/>
        <w:ind w:left="0" w:right="0" w:firstLine="0"/>
        <w:jc w:val="both"/>
      </w:pPr>
      <w:bookmarkStart w:id="85" w:name="Bookmark_para_35"/>
      <w:bookmarkEnd w:id="85"/>
      <w:bookmarkStart w:id="86" w:name="Bookmark_I68M6M4H2D6N1V0040000400"/>
      <w:bookmarkEnd w:id="86"/>
      <w:bookmarkStart w:id="87" w:name="Bookmark_I68M6M4H28T4V60010000400"/>
      <w:bookmarkEnd w:id="87"/>
      <w:r>
        <w:rPr>
          <w:rFonts w:ascii="arial" w:eastAsia="arial" w:hAnsi="arial" w:cs="arial"/>
          <w:b w:val="0"/>
          <w:i w:val="0"/>
          <w:strike w:val="0"/>
          <w:noProof w:val="0"/>
          <w:color w:val="000000"/>
          <w:position w:val="0"/>
          <w:sz w:val="20"/>
          <w:u w:val="none"/>
          <w:vertAlign w:val="baseline"/>
        </w:rPr>
        <w:t xml:space="preserve">This decision on "direct appeal constitutes law of the case for purposes of [the]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action." </w:t>
      </w:r>
      <w:bookmarkStart w:id="88" w:name="Bookmark_I68M6M4H2D6N1V0030000400"/>
      <w:bookmarkEnd w:id="88"/>
      <w:r>
        <w:rPr>
          <w:rFonts w:ascii="arial" w:eastAsia="arial" w:hAnsi="arial" w:cs="arial"/>
          <w:b w:val="0"/>
          <w:i w:val="0"/>
          <w:strike w:val="0"/>
          <w:noProof w:val="0"/>
          <w:color w:val="000000"/>
          <w:position w:val="0"/>
          <w:sz w:val="20"/>
          <w:u w:val="single"/>
          <w:vertAlign w:val="baseline"/>
        </w:rPr>
        <w:t>Goudeau</w:t>
      </w:r>
      <w:r>
        <w:rPr>
          <w:rFonts w:ascii="arial" w:eastAsia="arial" w:hAnsi="arial" w:cs="arial"/>
          <w:b w:val="0"/>
          <w:i w:val="0"/>
          <w:strike w:val="0"/>
          <w:noProof w:val="0"/>
          <w:color w:val="000000"/>
          <w:position w:val="0"/>
          <w:sz w:val="20"/>
          <w:u w:val="none"/>
          <w:vertAlign w:val="baseline"/>
        </w:rPr>
        <w:t xml:space="preserve">, 512 F. App'x at 393. Thus, this Court is bound by the Fifth Circuit's decision that the introduction of this evidence did not affect Vento's substantial rights. </w:t>
      </w:r>
      <w:bookmarkStart w:id="89" w:name="Bookmark_I68M6M4H2D6N1V0050000400"/>
      <w:bookmarkEnd w:id="89"/>
      <w:hyperlink r:id="rId27" w:history="1">
        <w:r>
          <w:rPr>
            <w:rFonts w:ascii="arial" w:eastAsia="arial" w:hAnsi="arial" w:cs="arial"/>
            <w:b w:val="0"/>
            <w:i/>
            <w:strike w:val="0"/>
            <w:noProof w:val="0"/>
            <w:color w:val="0077CC"/>
            <w:position w:val="0"/>
            <w:sz w:val="20"/>
            <w:u w:val="single"/>
            <w:vertAlign w:val="baseline"/>
          </w:rPr>
          <w:t>U.S. v. Matthews</w:t>
        </w:r>
      </w:hyperlink>
      <w:hyperlink r:id="rId27" w:history="1">
        <w:r>
          <w:rPr>
            <w:rFonts w:ascii="arial" w:eastAsia="arial" w:hAnsi="arial" w:cs="arial"/>
            <w:b w:val="0"/>
            <w:i/>
            <w:strike w:val="0"/>
            <w:noProof w:val="0"/>
            <w:color w:val="0077CC"/>
            <w:position w:val="0"/>
            <w:sz w:val="20"/>
            <w:u w:val="single"/>
            <w:vertAlign w:val="baseline"/>
          </w:rPr>
          <w:t>, 312 F.3d 652, 657 (5th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36"/>
      <w:bookmarkEnd w:id="90"/>
      <w:bookmarkStart w:id="91" w:name="Bookmark_I68M6M4H28T4V60030000400"/>
      <w:bookmarkEnd w:id="91"/>
      <w:r>
        <w:rPr>
          <w:rFonts w:ascii="arial" w:eastAsia="arial" w:hAnsi="arial" w:cs="arial"/>
          <w:b w:val="0"/>
          <w:i w:val="0"/>
          <w:strike w:val="0"/>
          <w:noProof w:val="0"/>
          <w:color w:val="000000"/>
          <w:position w:val="0"/>
          <w:sz w:val="20"/>
          <w:u w:val="none"/>
          <w:vertAlign w:val="baseline"/>
        </w:rPr>
        <w:t xml:space="preserve">This finding is fatal to Vento's ineffective assistance claim. The prejudice standard required to find that counsel was constitutionally ineffective "is significantly more rigorous than even the plain error standard we applied on direct appeal." </w:t>
      </w:r>
      <w:bookmarkStart w:id="92" w:name="Bookmark_I68M6M4H28T4V60020000400"/>
      <w:bookmarkEnd w:id="92"/>
      <w:hyperlink r:id="rId34" w:history="1">
        <w:r>
          <w:rPr>
            <w:rFonts w:ascii="arial" w:eastAsia="arial" w:hAnsi="arial" w:cs="arial"/>
            <w:b w:val="0"/>
            <w:i/>
            <w:strike w:val="0"/>
            <w:noProof w:val="0"/>
            <w:color w:val="0077CC"/>
            <w:position w:val="0"/>
            <w:sz w:val="20"/>
            <w:u w:val="single"/>
            <w:vertAlign w:val="baseline"/>
          </w:rPr>
          <w:t>U.S. v. Gaudet</w:t>
        </w:r>
      </w:hyperlink>
      <w:hyperlink r:id="rId34" w:history="1">
        <w:r>
          <w:rPr>
            <w:rFonts w:ascii="arial" w:eastAsia="arial" w:hAnsi="arial" w:cs="arial"/>
            <w:b w:val="0"/>
            <w:i/>
            <w:strike w:val="0"/>
            <w:noProof w:val="0"/>
            <w:color w:val="0077CC"/>
            <w:position w:val="0"/>
            <w:sz w:val="20"/>
            <w:u w:val="single"/>
            <w:vertAlign w:val="baseline"/>
          </w:rPr>
          <w:t>, 81 F.3d 585, 589 (5th Cir. 1996)</w:t>
        </w:r>
      </w:hyperlink>
      <w:r>
        <w:rPr>
          <w:rFonts w:ascii="arial" w:eastAsia="arial" w:hAnsi="arial" w:cs="arial"/>
          <w:b w:val="0"/>
          <w:i w:val="0"/>
          <w:strike w:val="0"/>
          <w:noProof w:val="0"/>
          <w:color w:val="000000"/>
          <w:position w:val="0"/>
          <w:sz w:val="20"/>
          <w:u w:val="none"/>
          <w:vertAlign w:val="baseline"/>
        </w:rPr>
        <w:t xml:space="preserve">. Thus, if Vento cannot meet the plain error standard for prejudice, he cannot clear the more rigorous standard for prejudice for ineffective assistance of counsel.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This claim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Law of the Case</w:t>
      </w:r>
    </w:p>
    <w:p>
      <w:pPr>
        <w:keepNext w:val="0"/>
        <w:spacing w:before="200" w:after="0" w:line="260" w:lineRule="atLeast"/>
        <w:ind w:left="0" w:right="0" w:firstLine="0"/>
        <w:jc w:val="both"/>
      </w:pPr>
      <w:bookmarkStart w:id="93" w:name="Bookmark_para_37"/>
      <w:bookmarkEnd w:id="93"/>
      <w:r>
        <w:rPr>
          <w:rFonts w:ascii="arial" w:eastAsia="arial" w:hAnsi="arial" w:cs="arial"/>
          <w:b w:val="0"/>
          <w:i w:val="0"/>
          <w:strike w:val="0"/>
          <w:noProof w:val="0"/>
          <w:color w:val="000000"/>
          <w:position w:val="0"/>
          <w:sz w:val="20"/>
          <w:u w:val="none"/>
          <w:vertAlign w:val="baseline"/>
        </w:rPr>
        <w:t>Vento has asserted that (1) the Government's evidence was insufficient to support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conviction; (2) the Court erred in applying the six-level enhancement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between 25 and 99 aliens; and (3) his sentence was substantively unreasonable. Each of these claims is barred from collateral attack.</w:t>
      </w:r>
    </w:p>
    <w:p>
      <w:pPr>
        <w:keepNext w:val="0"/>
        <w:spacing w:before="200" w:after="0" w:line="260" w:lineRule="atLeast"/>
        <w:ind w:left="0" w:right="0" w:firstLine="0"/>
        <w:jc w:val="both"/>
      </w:pPr>
      <w:bookmarkStart w:id="94" w:name="Bookmark_para_38"/>
      <w:bookmarkEnd w:id="94"/>
      <w:bookmarkStart w:id="95" w:name="Bookmark_I68M6M4H28T4V60050000400"/>
      <w:bookmarkEnd w:id="95"/>
      <w:r>
        <w:rPr>
          <w:rFonts w:ascii="arial" w:eastAsia="arial" w:hAnsi="arial" w:cs="arial"/>
          <w:b w:val="0"/>
          <w:i w:val="0"/>
          <w:strike w:val="0"/>
          <w:noProof w:val="0"/>
          <w:color w:val="000000"/>
          <w:position w:val="0"/>
          <w:sz w:val="20"/>
          <w:u w:val="none"/>
          <w:vertAlign w:val="baseline"/>
        </w:rPr>
        <w:t xml:space="preserve">Each of these claims was raised and rejected on direct appeal. CR Dkt. No. 205. The Court cannot consider these claims, as the Fifth Circuit's decision constitutes the law of the case. </w:t>
      </w:r>
      <w:bookmarkStart w:id="96" w:name="Bookmark_I68M6M4H28T4V60040000400"/>
      <w:bookmarkEnd w:id="96"/>
      <w:r>
        <w:rPr>
          <w:rFonts w:ascii="arial" w:eastAsia="arial" w:hAnsi="arial" w:cs="arial"/>
          <w:b w:val="0"/>
          <w:i w:val="0"/>
          <w:strike w:val="0"/>
          <w:noProof w:val="0"/>
          <w:color w:val="000000"/>
          <w:position w:val="0"/>
          <w:sz w:val="20"/>
          <w:u w:val="single"/>
          <w:vertAlign w:val="baseline"/>
        </w:rPr>
        <w:t>Goudeau</w:t>
      </w:r>
      <w:r>
        <w:rPr>
          <w:rFonts w:ascii="arial" w:eastAsia="arial" w:hAnsi="arial" w:cs="arial"/>
          <w:b w:val="0"/>
          <w:i w:val="0"/>
          <w:strike w:val="0"/>
          <w:noProof w:val="0"/>
          <w:color w:val="000000"/>
          <w:position w:val="0"/>
          <w:sz w:val="20"/>
          <w:u w:val="none"/>
          <w:vertAlign w:val="baseline"/>
        </w:rPr>
        <w:t>, 512 Fed. App'x. at 393.</w:t>
      </w:r>
    </w:p>
    <w:p>
      <w:pPr>
        <w:keepNext w:val="0"/>
        <w:spacing w:before="200" w:after="0" w:line="260" w:lineRule="atLeast"/>
        <w:ind w:left="0" w:right="0" w:firstLine="0"/>
        <w:jc w:val="both"/>
      </w:pPr>
      <w:bookmarkStart w:id="97" w:name="Bookmark_para_39"/>
      <w:bookmarkEnd w:id="97"/>
      <w:bookmarkStart w:id="98" w:name="Bookmark_I68M6M4J28T4V80020000400"/>
      <w:bookmarkEnd w:id="98"/>
      <w:r>
        <w:rPr>
          <w:rFonts w:ascii="arial" w:eastAsia="arial" w:hAnsi="arial" w:cs="arial"/>
          <w:b w:val="0"/>
          <w:i w:val="0"/>
          <w:strike w:val="0"/>
          <w:noProof w:val="0"/>
          <w:color w:val="000000"/>
          <w:position w:val="0"/>
          <w:sz w:val="20"/>
          <w:u w:val="none"/>
          <w:vertAlign w:val="baseline"/>
        </w:rPr>
        <w:t xml:space="preserve">Vento has not shown that the underlying case law has been overturned or that the Fifth Circuit's decision was clearly erroneous. </w:t>
      </w:r>
      <w:bookmarkStart w:id="99" w:name="Bookmark_I68M6M4J28T4V80010000400"/>
      <w:bookmarkEnd w:id="99"/>
      <w:r>
        <w:rPr>
          <w:rFonts w:ascii="arial" w:eastAsia="arial" w:hAnsi="arial" w:cs="arial"/>
          <w:b w:val="0"/>
          <w:i w:val="0"/>
          <w:strike w:val="0"/>
          <w:noProof w:val="0"/>
          <w:color w:val="000000"/>
          <w:position w:val="0"/>
          <w:sz w:val="20"/>
          <w:u w:val="single"/>
          <w:vertAlign w:val="baseline"/>
        </w:rPr>
        <w:t>Bonilla-Mungia</w:t>
      </w:r>
      <w:r>
        <w:rPr>
          <w:rFonts w:ascii="arial" w:eastAsia="arial" w:hAnsi="arial" w:cs="arial"/>
          <w:b w:val="0"/>
          <w:i w:val="0"/>
          <w:strike w:val="0"/>
          <w:noProof w:val="0"/>
          <w:color w:val="000000"/>
          <w:position w:val="0"/>
          <w:sz w:val="20"/>
          <w:u w:val="none"/>
          <w:vertAlign w:val="baseline"/>
        </w:rPr>
        <w:t xml:space="preserve">, 200 Fed. App'x. at 376. Thus, this Court is bound by the Fifth Circuit's decision and must apply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These claims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40" w:after="0" w:line="260" w:lineRule="atLeast"/>
        <w:ind w:left="0" w:right="0" w:firstLine="0"/>
        <w:jc w:val="both"/>
      </w:pPr>
      <w:bookmarkStart w:id="100" w:name="Bookmark_para_40"/>
      <w:bookmarkEnd w:id="100"/>
      <w:r>
        <w:rPr>
          <w:rFonts w:ascii="arial" w:eastAsia="arial" w:hAnsi="arial" w:cs="arial"/>
          <w:b w:val="0"/>
          <w:i w:val="0"/>
          <w:strike w:val="0"/>
          <w:noProof w:val="0"/>
          <w:color w:val="000000"/>
          <w:position w:val="0"/>
          <w:sz w:val="20"/>
          <w:u w:val="none"/>
          <w:vertAlign w:val="baseline"/>
        </w:rPr>
        <w:t xml:space="preserve">It is recommended that Petitioner Rodolfo Vento's Motion to Vacate, Set Aside or Correct his Sentence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Dkt. No. 1, be denied as meritless.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Certificate of Appealability</w:t>
      </w:r>
    </w:p>
    <w:p>
      <w:pPr>
        <w:keepNext w:val="0"/>
        <w:spacing w:before="240" w:after="0" w:line="260" w:lineRule="atLeast"/>
        <w:ind w:left="0" w:right="0" w:firstLine="0"/>
        <w:jc w:val="both"/>
      </w:pPr>
      <w:bookmarkStart w:id="101" w:name="Bookmark_para_41"/>
      <w:bookmarkEnd w:id="101"/>
      <w:bookmarkStart w:id="102" w:name="Bookmark_I68M6M4J28T4V80040000400"/>
      <w:bookmarkEnd w:id="102"/>
      <w:r>
        <w:rPr>
          <w:rFonts w:ascii="arial" w:eastAsia="arial" w:hAnsi="arial" w:cs="arial"/>
          <w:b w:val="0"/>
          <w:i w:val="0"/>
          <w:strike w:val="0"/>
          <w:noProof w:val="0"/>
          <w:color w:val="000000"/>
          <w:position w:val="0"/>
          <w:sz w:val="20"/>
          <w:u w:val="none"/>
          <w:vertAlign w:val="baseline"/>
        </w:rPr>
        <w:t xml:space="preserve">Unless a circuit justice or judge issues a Certificate of Appealability ("COA"), a petitioner may not appeal the denial of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to the Fifth Circuit. </w:t>
      </w:r>
      <w:hyperlink r:id="rId35" w:history="1">
        <w:r>
          <w:rPr>
            <w:rFonts w:ascii="arial" w:eastAsia="arial" w:hAnsi="arial" w:cs="arial"/>
            <w:b w:val="0"/>
            <w:i/>
            <w:strike w:val="0"/>
            <w:noProof w:val="0"/>
            <w:color w:val="0077CC"/>
            <w:position w:val="0"/>
            <w:sz w:val="20"/>
            <w:u w:val="single"/>
            <w:vertAlign w:val="baseline"/>
          </w:rPr>
          <w:t>28 U.S.C. § 2253(a)</w:t>
        </w:r>
      </w:hyperlink>
      <w:r>
        <w:rPr>
          <w:rFonts w:ascii="arial" w:eastAsia="arial" w:hAnsi="arial" w:cs="arial"/>
          <w:b w:val="0"/>
          <w:i w:val="0"/>
          <w:strike w:val="0"/>
          <w:noProof w:val="0"/>
          <w:color w:val="000000"/>
          <w:position w:val="0"/>
          <w:sz w:val="20"/>
          <w:u w:val="none"/>
          <w:vertAlign w:val="baseline"/>
        </w:rPr>
        <w:t>,</w:t>
      </w:r>
      <w:hyperlink r:id="rId35" w:history="1">
        <w:r>
          <w:rPr>
            <w:rFonts w:ascii="arial" w:eastAsia="arial" w:hAnsi="arial" w:cs="arial"/>
            <w:b w:val="0"/>
            <w:i/>
            <w:strike w:val="0"/>
            <w:noProof w:val="0"/>
            <w:color w:val="0077CC"/>
            <w:position w:val="0"/>
            <w:sz w:val="20"/>
            <w:u w:val="single"/>
            <w:vertAlign w:val="baseline"/>
          </w:rPr>
          <w:t>(c)(1)</w:t>
        </w:r>
      </w:hyperlink>
      <w:r>
        <w:rPr>
          <w:rFonts w:ascii="arial" w:eastAsia="arial" w:hAnsi="arial" w:cs="arial"/>
          <w:b w:val="0"/>
          <w:i w:val="0"/>
          <w:strike w:val="0"/>
          <w:noProof w:val="0"/>
          <w:color w:val="000000"/>
          <w:position w:val="0"/>
          <w:sz w:val="20"/>
          <w:u w:val="none"/>
          <w:vertAlign w:val="baseline"/>
        </w:rPr>
        <w:t xml:space="preserve">. </w:t>
      </w:r>
      <w:bookmarkStart w:id="103" w:name="Bookmark_I68M6M4J2HM6150010000400"/>
      <w:bookmarkEnd w:id="103"/>
      <w:r>
        <w:rPr>
          <w:rFonts w:ascii="arial" w:eastAsia="arial" w:hAnsi="arial" w:cs="arial"/>
          <w:b w:val="0"/>
          <w:i w:val="0"/>
          <w:strike w:val="0"/>
          <w:noProof w:val="0"/>
          <w:color w:val="000000"/>
          <w:position w:val="0"/>
          <w:sz w:val="20"/>
          <w:u w:val="none"/>
          <w:vertAlign w:val="baseline"/>
        </w:rPr>
        <w:t xml:space="preserve">A petitioner may receive a COA only if he makes a "substantial showing of the denial of a constitutional right." </w:t>
      </w:r>
      <w:hyperlink r:id="rId35" w:history="1">
        <w:r>
          <w:rPr>
            <w:rFonts w:ascii="arial" w:eastAsia="arial" w:hAnsi="arial" w:cs="arial"/>
            <w:b w:val="0"/>
            <w:i/>
            <w:strike w:val="0"/>
            <w:noProof w:val="0"/>
            <w:color w:val="0077CC"/>
            <w:position w:val="0"/>
            <w:sz w:val="20"/>
            <w:u w:val="single"/>
            <w:vertAlign w:val="baseline"/>
          </w:rPr>
          <w:t>§ 2253(c)(2)</w:t>
        </w:r>
      </w:hyperlink>
      <w:r>
        <w:rPr>
          <w:rFonts w:ascii="arial" w:eastAsia="arial" w:hAnsi="arial" w:cs="arial"/>
          <w:b w:val="0"/>
          <w:i w:val="0"/>
          <w:strike w:val="0"/>
          <w:noProof w:val="0"/>
          <w:color w:val="000000"/>
          <w:position w:val="0"/>
          <w:sz w:val="20"/>
          <w:u w:val="none"/>
          <w:vertAlign w:val="baseline"/>
        </w:rPr>
        <w:t xml:space="preserve">; </w:t>
      </w:r>
      <w:bookmarkStart w:id="104" w:name="Bookmark_I68M6M4J28T4V80030000400"/>
      <w:bookmarkEnd w:id="104"/>
      <w:hyperlink r:id="rId36" w:history="1">
        <w:r>
          <w:rPr>
            <w:rFonts w:ascii="arial" w:eastAsia="arial" w:hAnsi="arial" w:cs="arial"/>
            <w:b w:val="0"/>
            <w:i/>
            <w:strike w:val="0"/>
            <w:noProof w:val="0"/>
            <w:color w:val="0077CC"/>
            <w:position w:val="0"/>
            <w:sz w:val="20"/>
            <w:u w:val="single"/>
            <w:vertAlign w:val="baseline"/>
          </w:rPr>
          <w:t>Miller-El v. Cockrell</w:t>
        </w:r>
      </w:hyperlink>
      <w:hyperlink r:id="rId36"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To satisfy this standard, a petitioner must demonstrate that jurists of reason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could disagree with the court's resolution of his constitutional claims or that jurists could conclude that the issues presented are adequate to deserve encouragement to proceed further. </w:t>
      </w:r>
      <w:bookmarkStart w:id="105" w:name="Bookmark_I68M6M4J2HM6150010000400_2"/>
      <w:bookmarkEnd w:id="105"/>
      <w:bookmarkStart w:id="106" w:name="Bookmark_I68M6M4J2HM6150050000400"/>
      <w:bookmarkEnd w:id="106"/>
      <w:bookmarkStart w:id="107" w:name="Bookmark_I68M6M4J28T4V80050000400"/>
      <w:bookmarkEnd w:id="10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327</w:t>
        </w:r>
      </w:hyperlink>
      <w:r>
        <w:rPr>
          <w:rFonts w:ascii="arial" w:eastAsia="arial" w:hAnsi="arial" w:cs="arial"/>
          <w:b w:val="0"/>
          <w:i w:val="0"/>
          <w:strike w:val="0"/>
          <w:noProof w:val="0"/>
          <w:color w:val="000000"/>
          <w:position w:val="0"/>
          <w:sz w:val="20"/>
          <w:u w:val="none"/>
          <w:vertAlign w:val="baseline"/>
        </w:rPr>
        <w:t xml:space="preserve">; </w:t>
      </w:r>
      <w:bookmarkStart w:id="108" w:name="Bookmark_I68M6M4J2HM6150020000400"/>
      <w:bookmarkEnd w:id="108"/>
      <w:hyperlink r:id="rId37" w:history="1">
        <w:r>
          <w:rPr>
            <w:rFonts w:ascii="arial" w:eastAsia="arial" w:hAnsi="arial" w:cs="arial"/>
            <w:b w:val="0"/>
            <w:i/>
            <w:strike w:val="0"/>
            <w:noProof w:val="0"/>
            <w:color w:val="0077CC"/>
            <w:position w:val="0"/>
            <w:sz w:val="20"/>
            <w:u w:val="single"/>
            <w:vertAlign w:val="baseline"/>
          </w:rPr>
          <w:t>Moreno v. Dretke</w:t>
        </w:r>
      </w:hyperlink>
      <w:hyperlink r:id="rId37" w:history="1">
        <w:r>
          <w:rPr>
            <w:rFonts w:ascii="arial" w:eastAsia="arial" w:hAnsi="arial" w:cs="arial"/>
            <w:b w:val="0"/>
            <w:i/>
            <w:strike w:val="0"/>
            <w:noProof w:val="0"/>
            <w:color w:val="0077CC"/>
            <w:position w:val="0"/>
            <w:sz w:val="20"/>
            <w:u w:val="single"/>
            <w:vertAlign w:val="baseline"/>
          </w:rPr>
          <w:t>, 450 F.3d 158, 163 (5th Cir. 2006)</w:t>
        </w:r>
      </w:hyperlink>
      <w:r>
        <w:rPr>
          <w:rFonts w:ascii="arial" w:eastAsia="arial" w:hAnsi="arial" w:cs="arial"/>
          <w:b w:val="0"/>
          <w:i w:val="0"/>
          <w:strike w:val="0"/>
          <w:noProof w:val="0"/>
          <w:color w:val="000000"/>
          <w:position w:val="0"/>
          <w:sz w:val="20"/>
          <w:u w:val="none"/>
          <w:vertAlign w:val="baseline"/>
        </w:rPr>
        <w:t xml:space="preserve">. </w:t>
      </w:r>
      <w:bookmarkStart w:id="109" w:name="Bookmark_I68M6M4J2HM6150050000400_2"/>
      <w:bookmarkEnd w:id="109"/>
      <w:r>
        <w:rPr>
          <w:rFonts w:ascii="arial" w:eastAsia="arial" w:hAnsi="arial" w:cs="arial"/>
          <w:b w:val="0"/>
          <w:i w:val="0"/>
          <w:strike w:val="0"/>
          <w:noProof w:val="0"/>
          <w:color w:val="000000"/>
          <w:position w:val="0"/>
          <w:sz w:val="20"/>
          <w:u w:val="none"/>
          <w:vertAlign w:val="baseline"/>
        </w:rPr>
        <w:t xml:space="preserve">A district court may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rule on a COA, because the court that denies relief to a petitioner is in the best position to determine whether the petitioner has made a substantial showing of a denial of a constitutional right on the issues before the court. </w:t>
      </w:r>
      <w:bookmarkStart w:id="110" w:name="Bookmark_I68M6M4J2HM6150040000400"/>
      <w:bookmarkEnd w:id="110"/>
      <w:hyperlink r:id="rId38" w:history="1">
        <w:r>
          <w:rPr>
            <w:rFonts w:ascii="arial" w:eastAsia="arial" w:hAnsi="arial" w:cs="arial"/>
            <w:b w:val="0"/>
            <w:i/>
            <w:strike w:val="0"/>
            <w:noProof w:val="0"/>
            <w:color w:val="0077CC"/>
            <w:position w:val="0"/>
            <w:sz w:val="20"/>
            <w:u w:val="single"/>
            <w:vertAlign w:val="baseline"/>
          </w:rPr>
          <w:t>Alexander v. Johnson</w:t>
        </w:r>
      </w:hyperlink>
      <w:hyperlink r:id="rId38"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1" w:name="Bookmark_para_42"/>
      <w:bookmarkEnd w:id="111"/>
      <w:r>
        <w:rPr>
          <w:rFonts w:ascii="arial" w:eastAsia="arial" w:hAnsi="arial" w:cs="arial"/>
          <w:b w:val="0"/>
          <w:i w:val="0"/>
          <w:strike w:val="0"/>
          <w:noProof w:val="0"/>
          <w:color w:val="000000"/>
          <w:position w:val="0"/>
          <w:sz w:val="20"/>
          <w:u w:val="none"/>
          <w:vertAlign w:val="baseline"/>
        </w:rPr>
        <w:t xml:space="preserve">After reviewing Vento's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and the applicable Fifth Circuit precedent, the Court is confident that no outstanding issue would be debatable among jurists of reason. Although Vento's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raises issues that the Court has carefully considered, he fails to make a "substantial showing of the denial of a constitutional right." </w:t>
      </w:r>
      <w:hyperlink r:id="rId35"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Accordingly, it is recommended that a COA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Notice to Parties</w:t>
      </w:r>
    </w:p>
    <w:p>
      <w:pPr>
        <w:keepNext w:val="0"/>
        <w:spacing w:before="240" w:after="0" w:line="260" w:lineRule="atLeast"/>
        <w:ind w:left="0" w:right="0" w:firstLine="0"/>
        <w:jc w:val="both"/>
      </w:pPr>
      <w:bookmarkStart w:id="112" w:name="Bookmark_para_43"/>
      <w:bookmarkEnd w:id="112"/>
      <w:bookmarkStart w:id="113" w:name="Bookmark_I68M6M4J2D6N230020000400"/>
      <w:bookmarkEnd w:id="113"/>
      <w:r>
        <w:rPr>
          <w:rFonts w:ascii="arial" w:eastAsia="arial" w:hAnsi="arial" w:cs="arial"/>
          <w:b w:val="0"/>
          <w:i w:val="0"/>
          <w:strike w:val="0"/>
          <w:noProof w:val="0"/>
          <w:color w:val="000000"/>
          <w:position w:val="0"/>
          <w:sz w:val="20"/>
          <w:u w:val="none"/>
          <w:vertAlign w:val="baseline"/>
        </w:rPr>
        <w:t xml:space="preserve">The parties have fourteen (14) days from the date of being served with a copy of this Report and Recommendation in which to file written objections, if any, with the United States District Judge. </w:t>
      </w:r>
      <w:hyperlink r:id="rId39"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A party filing objections must specifically identify the factual or legal findings to which objections are being made. The District Judge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is not required to consider frivolous, conclusive, or general objections. </w:t>
      </w:r>
      <w:bookmarkStart w:id="114" w:name="Bookmark_I68M6M4J2D6N230010000400"/>
      <w:bookmarkEnd w:id="114"/>
      <w:hyperlink r:id="rId40" w:history="1">
        <w:r>
          <w:rPr>
            <w:rFonts w:ascii="arial" w:eastAsia="arial" w:hAnsi="arial" w:cs="arial"/>
            <w:b w:val="0"/>
            <w:i/>
            <w:strike w:val="0"/>
            <w:noProof w:val="0"/>
            <w:color w:val="0077CC"/>
            <w:position w:val="0"/>
            <w:sz w:val="20"/>
            <w:u w:val="single"/>
            <w:vertAlign w:val="baseline"/>
          </w:rPr>
          <w:t>Battle v. United States Parole Comm'n</w:t>
        </w:r>
      </w:hyperlink>
      <w:hyperlink r:id="rId40"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para_44"/>
      <w:bookmarkEnd w:id="115"/>
      <w:bookmarkStart w:id="116" w:name="Bookmark_I68M6M4J2D6N230040000400"/>
      <w:bookmarkEnd w:id="116"/>
      <w:r>
        <w:rPr>
          <w:rFonts w:ascii="arial" w:eastAsia="arial" w:hAnsi="arial" w:cs="arial"/>
          <w:b w:val="0"/>
          <w:i w:val="0"/>
          <w:strike w:val="0"/>
          <w:noProof w:val="0"/>
          <w:color w:val="000000"/>
          <w:position w:val="0"/>
          <w:sz w:val="20"/>
          <w:u w:val="none"/>
          <w:vertAlign w:val="baseline"/>
        </w:rPr>
        <w:t xml:space="preserve">If any party fails to timely object to any factual or legal findings in this Report and Recommendation, the District Judge is not required to conduct a </w:t>
      </w:r>
      <w:r>
        <w:rPr>
          <w:rFonts w:ascii="arial" w:eastAsia="arial" w:hAnsi="arial" w:cs="arial"/>
          <w:b w:val="0"/>
          <w:i w:val="0"/>
          <w:strike w:val="0"/>
          <w:noProof w:val="0"/>
          <w:color w:val="000000"/>
          <w:position w:val="0"/>
          <w:sz w:val="20"/>
          <w:u w:val="single"/>
          <w:vertAlign w:val="baseline"/>
        </w:rPr>
        <w:t>de novo</w:t>
      </w:r>
      <w:r>
        <w:rPr>
          <w:rFonts w:ascii="arial" w:eastAsia="arial" w:hAnsi="arial" w:cs="arial"/>
          <w:b w:val="0"/>
          <w:i w:val="0"/>
          <w:strike w:val="0"/>
          <w:noProof w:val="0"/>
          <w:color w:val="000000"/>
          <w:position w:val="0"/>
          <w:sz w:val="20"/>
          <w:u w:val="none"/>
          <w:vertAlign w:val="baseline"/>
        </w:rPr>
        <w:t xml:space="preserve"> review of the record before adopting these findings. If the District Judge chooses to adopt such findings without conducting a </w:t>
      </w:r>
      <w:r>
        <w:rPr>
          <w:rFonts w:ascii="arial" w:eastAsia="arial" w:hAnsi="arial" w:cs="arial"/>
          <w:b w:val="0"/>
          <w:i w:val="0"/>
          <w:strike w:val="0"/>
          <w:noProof w:val="0"/>
          <w:color w:val="000000"/>
          <w:position w:val="0"/>
          <w:sz w:val="20"/>
          <w:u w:val="single"/>
          <w:vertAlign w:val="baseline"/>
        </w:rPr>
        <w:t>de novo</w:t>
      </w:r>
      <w:r>
        <w:rPr>
          <w:rFonts w:ascii="arial" w:eastAsia="arial" w:hAnsi="arial" w:cs="arial"/>
          <w:b w:val="0"/>
          <w:i w:val="0"/>
          <w:strike w:val="0"/>
          <w:noProof w:val="0"/>
          <w:color w:val="000000"/>
          <w:position w:val="0"/>
          <w:sz w:val="20"/>
          <w:u w:val="none"/>
          <w:vertAlign w:val="baseline"/>
        </w:rPr>
        <w:t xml:space="preserve"> review of the record, the parties may not attack those findings on appeal, except on the grounds of plain error. </w:t>
      </w:r>
      <w:bookmarkStart w:id="117" w:name="Bookmark_I68M6M4J2D6N230030000400"/>
      <w:bookmarkEnd w:id="117"/>
      <w:hyperlink r:id="rId41" w:history="1">
        <w:r>
          <w:rPr>
            <w:rFonts w:ascii="arial" w:eastAsia="arial" w:hAnsi="arial" w:cs="arial"/>
            <w:b w:val="0"/>
            <w:i/>
            <w:strike w:val="0"/>
            <w:noProof w:val="0"/>
            <w:color w:val="0077CC"/>
            <w:position w:val="0"/>
            <w:sz w:val="20"/>
            <w:u w:val="single"/>
            <w:vertAlign w:val="baseline"/>
          </w:rPr>
          <w:t>Alexander v. Verizon Wireless Servs., L.L.C.</w:t>
        </w:r>
      </w:hyperlink>
      <w:hyperlink r:id="rId41" w:history="1">
        <w:r>
          <w:rPr>
            <w:rFonts w:ascii="arial" w:eastAsia="arial" w:hAnsi="arial" w:cs="arial"/>
            <w:b w:val="0"/>
            <w:i/>
            <w:strike w:val="0"/>
            <w:noProof w:val="0"/>
            <w:color w:val="0077CC"/>
            <w:position w:val="0"/>
            <w:sz w:val="20"/>
            <w:u w:val="single"/>
            <w:vertAlign w:val="baseline"/>
          </w:rPr>
          <w:t>, 875 F.3d 243, 248 (5th Cir. 2017)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45"/>
      <w:bookmarkEnd w:id="118"/>
      <w:r>
        <w:rPr>
          <w:rFonts w:ascii="arial" w:eastAsia="arial" w:hAnsi="arial" w:cs="arial"/>
          <w:b w:val="0"/>
          <w:i w:val="0"/>
          <w:strike w:val="0"/>
          <w:noProof w:val="0"/>
          <w:color w:val="000000"/>
          <w:position w:val="0"/>
          <w:sz w:val="20"/>
          <w:u w:val="none"/>
          <w:vertAlign w:val="baseline"/>
        </w:rPr>
        <w:t>DONE at Brownsville, Texas on May 26, 2023.</w:t>
      </w:r>
    </w:p>
    <w:p>
      <w:pPr>
        <w:keepNext w:val="0"/>
        <w:spacing w:before="200" w:after="0" w:line="260" w:lineRule="atLeast"/>
        <w:ind w:left="0" w:right="0" w:firstLine="0"/>
        <w:jc w:val="both"/>
      </w:pPr>
      <w:bookmarkStart w:id="119" w:name="Bookmark_para_46"/>
      <w:bookmarkEnd w:id="119"/>
      <w:r>
        <w:rPr>
          <w:rFonts w:ascii="arial" w:eastAsia="arial" w:hAnsi="arial" w:cs="arial"/>
          <w:b w:val="0"/>
          <w:i w:val="0"/>
          <w:strike w:val="0"/>
          <w:noProof w:val="0"/>
          <w:color w:val="000000"/>
          <w:position w:val="0"/>
          <w:sz w:val="20"/>
          <w:u w:val="none"/>
          <w:vertAlign w:val="baseline"/>
        </w:rPr>
        <w:t>/s/ Ronald G. Morgan</w:t>
      </w:r>
    </w:p>
    <w:p>
      <w:pPr>
        <w:keepNext w:val="0"/>
        <w:spacing w:before="200" w:after="0" w:line="260" w:lineRule="atLeast"/>
        <w:ind w:left="0" w:right="0" w:firstLine="0"/>
        <w:jc w:val="both"/>
      </w:pPr>
      <w:bookmarkStart w:id="120" w:name="Bookmark_para_47"/>
      <w:bookmarkEnd w:id="120"/>
      <w:r>
        <w:rPr>
          <w:rFonts w:ascii="arial" w:eastAsia="arial" w:hAnsi="arial" w:cs="arial"/>
          <w:b w:val="0"/>
          <w:i w:val="0"/>
          <w:strike w:val="0"/>
          <w:noProof w:val="0"/>
          <w:color w:val="000000"/>
          <w:position w:val="0"/>
          <w:sz w:val="20"/>
          <w:u w:val="none"/>
          <w:vertAlign w:val="baseline"/>
        </w:rPr>
        <w:t>Ronald G. Morgan</w:t>
      </w:r>
    </w:p>
    <w:p>
      <w:pPr>
        <w:keepNext w:val="0"/>
        <w:spacing w:before="200" w:after="0" w:line="260" w:lineRule="atLeast"/>
        <w:ind w:left="0" w:right="0" w:firstLine="0"/>
        <w:jc w:val="both"/>
      </w:pPr>
      <w:bookmarkStart w:id="121" w:name="Bookmark_para_48"/>
      <w:bookmarkEnd w:id="12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Vento v. United States, 2023 U.S. Dist. LEXIS 111483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5YBW-DH91-F4NT-X39G-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5GYC-2C71-FG36-13F4-00000-00&amp;context=1519360" TargetMode="External" /><Relationship Id="rId13" Type="http://schemas.openxmlformats.org/officeDocument/2006/relationships/hyperlink" Target="https://advance.lexis.com/api/document?collection=statutes-legislation&amp;id=urn:contentItem:5GYC-2C71-6N19-F06C-00000-00&amp;context=1519360" TargetMode="External" /><Relationship Id="rId14" Type="http://schemas.openxmlformats.org/officeDocument/2006/relationships/hyperlink" Target="https://advance.lexis.com/api/document?collection=cases&amp;id=urn:contentItem:482F-Y5D0-004B-Y01K-00000-00&amp;context=1519360" TargetMode="External" /><Relationship Id="rId15" Type="http://schemas.openxmlformats.org/officeDocument/2006/relationships/hyperlink" Target="https://advance.lexis.com/api/document?collection=statutes-legislation&amp;id=urn:contentItem:8T9R-T4F2-D6RV-H37N-00000-00&amp;context=1519360" TargetMode="External" /><Relationship Id="rId16" Type="http://schemas.openxmlformats.org/officeDocument/2006/relationships/hyperlink" Target="https://advance.lexis.com/api/document?collection=cases&amp;id=urn:contentItem:44DV-0KH0-0038-X19M-00000-00&amp;context=1519360" TargetMode="External" /><Relationship Id="rId17" Type="http://schemas.openxmlformats.org/officeDocument/2006/relationships/hyperlink" Target="https://advance.lexis.com/api/document?collection=cases&amp;id=urn:contentItem:49FG-XPG0-0038-X10Y-00000-00&amp;context=1519360" TargetMode="External" /><Relationship Id="rId18" Type="http://schemas.openxmlformats.org/officeDocument/2006/relationships/hyperlink" Target="https://advance.lexis.com/api/document?collection=cases&amp;id=urn:contentItem:3S4X-3FN0-003B-S3TN-00000-00&amp;context=1519360" TargetMode="External" /><Relationship Id="rId19" Type="http://schemas.openxmlformats.org/officeDocument/2006/relationships/hyperlink" Target="https://advance.lexis.com/api/document?collection=cases&amp;id=urn:contentItem:4CS4-WRT0-0038-X02X-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551R-N091-F04K-N17M-00000-00&amp;context=1519360" TargetMode="External" /><Relationship Id="rId21" Type="http://schemas.openxmlformats.org/officeDocument/2006/relationships/hyperlink" Target="https://advance.lexis.com/api/document?collection=cases&amp;id=urn:contentItem:4GYN-V4B0-0038-X34B-00000-00&amp;context=1519360" TargetMode="External" /><Relationship Id="rId22" Type="http://schemas.openxmlformats.org/officeDocument/2006/relationships/hyperlink" Target="https://advance.lexis.com/api/document?collection=cases&amp;id=urn:contentItem:416J-GXY0-0038-X11H-00000-00&amp;context=1519360" TargetMode="External" /><Relationship Id="rId23" Type="http://schemas.openxmlformats.org/officeDocument/2006/relationships/hyperlink" Target="https://advance.lexis.com/api/document?collection=cases&amp;id=urn:contentItem:3S4X-B6M0-0039-P016-00000-00&amp;context=1519360" TargetMode="External" /><Relationship Id="rId24" Type="http://schemas.openxmlformats.org/officeDocument/2006/relationships/hyperlink" Target="https://advance.lexis.com/api/document?collection=cases&amp;id=urn:contentItem:3S4X-H5K0-0039-W3DV-00000-00&amp;context=1519360" TargetMode="External" /><Relationship Id="rId25" Type="http://schemas.openxmlformats.org/officeDocument/2006/relationships/hyperlink" Target="https://advance.lexis.com/api/document?collection=cases&amp;id=urn:contentItem:3S4X-HJV0-00B1-D282-00000-00&amp;context=1519360" TargetMode="External" /><Relationship Id="rId26" Type="http://schemas.openxmlformats.org/officeDocument/2006/relationships/hyperlink" Target="https://advance.lexis.com/api/document?collection=cases&amp;id=urn:contentItem:57P5-FPS1-F04K-N0CM-00000-00&amp;context=1519360" TargetMode="External" /><Relationship Id="rId27" Type="http://schemas.openxmlformats.org/officeDocument/2006/relationships/hyperlink" Target="https://advance.lexis.com/api/document?collection=cases&amp;id=urn:contentItem:476T-GRG0-0038-X4CF-00000-00&amp;context=1519360" TargetMode="External" /><Relationship Id="rId28" Type="http://schemas.openxmlformats.org/officeDocument/2006/relationships/hyperlink" Target="https://advance.lexis.com/api/document?collection=cases&amp;id=urn:contentItem:4KYX-9910-0038-X0WK-00000-00&amp;context=1519360" TargetMode="External" /><Relationship Id="rId29" Type="http://schemas.openxmlformats.org/officeDocument/2006/relationships/hyperlink" Target="https://advance.lexis.com/api/document?collection=cases&amp;id=urn:contentItem:3TT5-7K70-0038-X2P3-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0RV0-008H-V0HS-00000-00&amp;context=1519360" TargetMode="External" /><Relationship Id="rId31" Type="http://schemas.openxmlformats.org/officeDocument/2006/relationships/hyperlink" Target="https://advance.lexis.com/api/document?collection=cases&amp;id=urn:contentItem:3S4X-DB70-003B-S53V-00000-00&amp;context=1519360" TargetMode="External" /><Relationship Id="rId32" Type="http://schemas.openxmlformats.org/officeDocument/2006/relationships/hyperlink" Target="https://advance.lexis.com/api/document?collection=cases&amp;id=urn:contentItem:56PX-2MN1-F04K-N2NM-00000-00&amp;context=1519360" TargetMode="External" /><Relationship Id="rId33" Type="http://schemas.openxmlformats.org/officeDocument/2006/relationships/hyperlink" Target="https://advance.lexis.com/api/document?collection=cases&amp;id=urn:contentItem:3S4X-26N0-008H-V3NJ-00000-00&amp;context=1519360" TargetMode="External" /><Relationship Id="rId34" Type="http://schemas.openxmlformats.org/officeDocument/2006/relationships/hyperlink" Target="https://advance.lexis.com/api/document?collection=cases&amp;id=urn:contentItem:3S4X-2DX0-006F-M2SK-00000-00&amp;context=1519360" TargetMode="External" /><Relationship Id="rId35" Type="http://schemas.openxmlformats.org/officeDocument/2006/relationships/hyperlink" Target="https://advance.lexis.com/api/document?collection=statutes-legislation&amp;id=urn:contentItem:8SG9-5HW2-D6RV-H0VG-00000-00&amp;context=1519360" TargetMode="External" /><Relationship Id="rId36" Type="http://schemas.openxmlformats.org/officeDocument/2006/relationships/hyperlink" Target="https://advance.lexis.com/api/document?collection=cases&amp;id=urn:contentItem:4810-8DH0-004B-Y01G-00000-00&amp;context=1519360" TargetMode="External" /><Relationship Id="rId37" Type="http://schemas.openxmlformats.org/officeDocument/2006/relationships/hyperlink" Target="https://advance.lexis.com/api/document?collection=cases&amp;id=urn:contentItem:4K0F-W460-0038-X1FF-00000-00&amp;context=1519360" TargetMode="External" /><Relationship Id="rId38" Type="http://schemas.openxmlformats.org/officeDocument/2006/relationships/hyperlink" Target="https://advance.lexis.com/api/document?collection=cases&amp;id=urn:contentItem:407G-6N90-0038-X2W2-00000-00&amp;context=1519360" TargetMode="External" /><Relationship Id="rId39" Type="http://schemas.openxmlformats.org/officeDocument/2006/relationships/hyperlink" Target="https://advance.lexis.com/api/document?collection=statutes-legislation&amp;id=urn:contentItem:8SG9-5HW2-D6RV-H0BK-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S4X-8WG0-001B-K1VX-00000-00&amp;context=1519360" TargetMode="External" /><Relationship Id="rId41" Type="http://schemas.openxmlformats.org/officeDocument/2006/relationships/hyperlink" Target="https://advance.lexis.com/api/document?collection=cases&amp;id=urn:contentItem:5PYB-0K31-F04K-N2N9-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K4-HCS1-FJTD-G333-00000-00&amp;context=1519360" TargetMode="External" /><Relationship Id="rId9" Type="http://schemas.openxmlformats.org/officeDocument/2006/relationships/hyperlink" Target="https://advance.lexis.com/api/document?collection=cases&amp;id=urn:contentItem:68JX-0921-K054-G4X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Vento v. United States, 2023 U.S. Dist. LEXIS 111483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urn:user:PA186186283</vt:lpwstr>
  </property>
</Properties>
</file>