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Wade v. Braman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2023, Decided; June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1:23-cv-565</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110762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4195668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DIONE ANDRE WADE, Plaintiff, v. MELINDA BRAMAN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immunity, official capacity, alleges, failure to state a claim, damages, grounds, rights, plaintiff's claim, magistrate judge, injunctive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Dione Andre Wade #434839, plaintiff, Pro se, Jackson,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Ray Kent,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Ray Kent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is a civil rights action brought by a state prisoner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initiated this action by filing his complaint in the United States District Court for the Eastern District of Michigan. In an order (ECF No. 5) entered on May 31, 2023, that court transferred the matter to this Court for further proceedings. Subsequently, this Court granted Plaintiff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(ECF No. 8.) Pursuant to </w:t>
      </w:r>
      <w:hyperlink r:id="rId11"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Rule 73 of the Federal Rules of Civil Procedure</w:t>
        </w:r>
      </w:hyperlink>
      <w:r>
        <w:rPr>
          <w:rFonts w:ascii="arial" w:eastAsia="arial" w:hAnsi="arial" w:cs="arial"/>
          <w:b w:val="0"/>
          <w:i w:val="0"/>
          <w:strike w:val="0"/>
          <w:noProof w:val="0"/>
          <w:color w:val="000000"/>
          <w:position w:val="0"/>
          <w:sz w:val="20"/>
          <w:u w:val="none"/>
          <w:vertAlign w:val="baseline"/>
        </w:rPr>
        <w:t>, Plaintiff consented to proceed in all matters in this action under the jurisdiction of a United States magistrate judge. (ECF No. 9.)</w:t>
      </w:r>
    </w:p>
    <w:p>
      <w:pPr>
        <w:keepNext w:val="0"/>
        <w:spacing w:before="240" w:after="0" w:line="260" w:lineRule="atLeast"/>
        <w:ind w:left="0" w:right="0" w:firstLine="0"/>
        <w:jc w:val="both"/>
      </w:pPr>
      <w:bookmarkStart w:id="8" w:name="Bookmark_para_2"/>
      <w:bookmarkEnd w:id="8"/>
      <w:bookmarkStart w:id="9" w:name="Bookmark_I68KBR5X2SF8390020000400"/>
      <w:bookmarkEnd w:id="9"/>
      <w:r>
        <w:rPr>
          <w:rFonts w:ascii="arial" w:eastAsia="arial" w:hAnsi="arial" w:cs="arial"/>
          <w:b w:val="0"/>
          <w:i w:val="0"/>
          <w:strike w:val="0"/>
          <w:noProof w:val="0"/>
          <w:color w:val="000000"/>
          <w:position w:val="0"/>
          <w:sz w:val="20"/>
          <w:u w:val="none"/>
          <w:vertAlign w:val="baseline"/>
        </w:rPr>
        <w:t xml:space="preserve">This case is presently before the Court for preliminary review under the </w:t>
      </w:r>
      <w:r>
        <w:rPr>
          <w:rFonts w:ascii="arial" w:eastAsia="arial" w:hAnsi="arial" w:cs="arial"/>
          <w:b w:val="0"/>
          <w:i/>
          <w:strike w:val="0"/>
          <w:noProof w:val="0"/>
          <w:color w:val="000000"/>
          <w:position w:val="0"/>
          <w:sz w:val="20"/>
          <w:u w:val="none"/>
          <w:vertAlign w:val="baseline"/>
        </w:rPr>
        <w:t>Prison Litigation Reform Act, Pub. L. No. 104-134, 110 Stat. 1321 (1996) (PLRA)</w:t>
      </w:r>
      <w:r>
        <w:rPr>
          <w:rFonts w:ascii="arial" w:eastAsia="arial" w:hAnsi="arial" w:cs="arial"/>
          <w:b w:val="0"/>
          <w:i w:val="0"/>
          <w:strike w:val="0"/>
          <w:noProof w:val="0"/>
          <w:color w:val="000000"/>
          <w:position w:val="0"/>
          <w:sz w:val="20"/>
          <w:u w:val="none"/>
          <w:vertAlign w:val="baseline"/>
        </w:rPr>
        <w:t xml:space="preserve">, pursuant to </w:t>
      </w:r>
      <w:hyperlink r:id="rId13" w:history="1">
        <w:r>
          <w:rPr>
            <w:rFonts w:ascii="arial" w:eastAsia="arial" w:hAnsi="arial" w:cs="arial"/>
            <w:b w:val="0"/>
            <w:i/>
            <w:strike w:val="0"/>
            <w:noProof w:val="0"/>
            <w:color w:val="0077CC"/>
            <w:position w:val="0"/>
            <w:sz w:val="20"/>
            <w:u w:val="single"/>
            <w:vertAlign w:val="baseline"/>
          </w:rPr>
          <w:t>28 U.S.C. § 1915A(b)</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is required to conduct this initial review prior to the service of the complaint. </w:t>
      </w:r>
      <w:r>
        <w:rPr>
          <w:rFonts w:ascii="arial" w:eastAsia="arial" w:hAnsi="arial" w:cs="arial"/>
          <w:b w:val="0"/>
          <w:i/>
          <w:strike w:val="0"/>
          <w:noProof w:val="0"/>
          <w:color w:val="000000"/>
          <w:position w:val="0"/>
          <w:sz w:val="20"/>
          <w:u w:val="none"/>
          <w:vertAlign w:val="baseline"/>
        </w:rPr>
        <w:t xml:space="preserve">See </w:t>
      </w:r>
      <w:bookmarkStart w:id="10" w:name="Bookmark_I68KBR5X2SF8390010000400"/>
      <w:bookmarkEnd w:id="10"/>
      <w:hyperlink r:id="rId15" w:history="1">
        <w:r>
          <w:rPr>
            <w:rFonts w:ascii="arial" w:eastAsia="arial" w:hAnsi="arial" w:cs="arial"/>
            <w:b w:val="0"/>
            <w:i/>
            <w:strike w:val="0"/>
            <w:noProof w:val="0"/>
            <w:color w:val="0077CC"/>
            <w:position w:val="0"/>
            <w:sz w:val="20"/>
            <w:u w:val="single"/>
            <w:vertAlign w:val="baseline"/>
          </w:rPr>
          <w:t>In re Prison Litigation Reform Act</w:t>
        </w:r>
      </w:hyperlink>
      <w:hyperlink r:id="rId15" w:history="1">
        <w:r>
          <w:rPr>
            <w:rFonts w:ascii="arial" w:eastAsia="arial" w:hAnsi="arial" w:cs="arial"/>
            <w:b w:val="0"/>
            <w:i/>
            <w:strike w:val="0"/>
            <w:noProof w:val="0"/>
            <w:color w:val="0077CC"/>
            <w:position w:val="0"/>
            <w:sz w:val="20"/>
            <w:u w:val="single"/>
            <w:vertAlign w:val="baseline"/>
          </w:rPr>
          <w:t>, 105 F.3d 1131, 1131, 1134 (6th Cir. 1997)</w:t>
        </w:r>
      </w:hyperlink>
      <w:r>
        <w:rPr>
          <w:rFonts w:ascii="arial" w:eastAsia="arial" w:hAnsi="arial" w:cs="arial"/>
          <w:b w:val="0"/>
          <w:i w:val="0"/>
          <w:strike w:val="0"/>
          <w:noProof w:val="0"/>
          <w:color w:val="000000"/>
          <w:position w:val="0"/>
          <w:sz w:val="20"/>
          <w:u w:val="none"/>
          <w:vertAlign w:val="baseline"/>
        </w:rPr>
        <w:t xml:space="preserve">; </w:t>
      </w:r>
      <w:bookmarkStart w:id="11" w:name="Bookmark_I68KBR5X2SF8390030000400"/>
      <w:bookmarkEnd w:id="11"/>
      <w:hyperlink r:id="rId16" w:history="1">
        <w:r>
          <w:rPr>
            <w:rFonts w:ascii="arial" w:eastAsia="arial" w:hAnsi="arial" w:cs="arial"/>
            <w:b w:val="0"/>
            <w:i/>
            <w:strike w:val="0"/>
            <w:noProof w:val="0"/>
            <w:color w:val="0077CC"/>
            <w:position w:val="0"/>
            <w:sz w:val="20"/>
            <w:u w:val="single"/>
            <w:vertAlign w:val="baseline"/>
          </w:rPr>
          <w:t>McGore v. Wrigglesworth</w:t>
        </w:r>
      </w:hyperlink>
      <w:hyperlink r:id="rId16" w:history="1">
        <w:r>
          <w:rPr>
            <w:rFonts w:ascii="arial" w:eastAsia="arial" w:hAnsi="arial" w:cs="arial"/>
            <w:b w:val="0"/>
            <w:i/>
            <w:strike w:val="0"/>
            <w:noProof w:val="0"/>
            <w:color w:val="0077CC"/>
            <w:position w:val="0"/>
            <w:sz w:val="20"/>
            <w:u w:val="single"/>
            <w:vertAlign w:val="baseline"/>
          </w:rPr>
          <w:t>, 114 F.3d 601, 604-05 (6th Cir. 1997)</w:t>
        </w:r>
      </w:hyperlink>
      <w:r>
        <w:rPr>
          <w:rFonts w:ascii="arial" w:eastAsia="arial" w:hAnsi="arial" w:cs="arial"/>
          <w:b w:val="0"/>
          <w:i w:val="0"/>
          <w:strike w:val="0"/>
          <w:noProof w:val="0"/>
          <w:color w:val="000000"/>
          <w:position w:val="0"/>
          <w:sz w:val="20"/>
          <w:u w:val="none"/>
          <w:vertAlign w:val="baseline"/>
        </w:rPr>
        <w:t>. Service of the complaint on the named defendant(s) is of particular significance in defining a putative defendant's relationship to the proceedings.</w:t>
      </w:r>
    </w:p>
    <w:p>
      <w:pPr>
        <w:keepNext w:val="0"/>
        <w:spacing w:before="240" w:after="0" w:line="260" w:lineRule="atLeast"/>
        <w:ind w:left="0" w:right="0" w:firstLine="0"/>
        <w:jc w:val="both"/>
      </w:pPr>
      <w:bookmarkStart w:id="12" w:name="Bookmark_para_3"/>
      <w:bookmarkEnd w:id="12"/>
      <w:bookmarkStart w:id="13" w:name="Bookmark_I68KBR5X2HM6P70010000400"/>
      <w:bookmarkEnd w:id="13"/>
      <w:bookmarkStart w:id="14" w:name="Bookmark_I68KBR5X2HM6P70030000400"/>
      <w:bookmarkEnd w:id="14"/>
      <w:r>
        <w:rPr>
          <w:rFonts w:ascii="arial" w:eastAsia="arial" w:hAnsi="arial" w:cs="arial"/>
          <w:b w:val="0"/>
          <w:i w:val="0"/>
          <w:strike w:val="0"/>
          <w:noProof w:val="0"/>
          <w:color w:val="000000"/>
          <w:position w:val="0"/>
          <w:sz w:val="20"/>
          <w:u w:val="none"/>
          <w:vertAlign w:val="baseline"/>
        </w:rPr>
        <w:t xml:space="preserve">"An individual or entity named as a defendant is not obliged to engage in litigation unless notified of the action, and brought under a court's authority, by formal process." </w:t>
      </w:r>
      <w:bookmarkStart w:id="15" w:name="Bookmark_I68KBR5X2SF8390050000400"/>
      <w:bookmarkEnd w:id="15"/>
      <w:hyperlink r:id="rId17" w:history="1">
        <w:r>
          <w:rPr>
            <w:rFonts w:ascii="arial" w:eastAsia="arial" w:hAnsi="arial" w:cs="arial"/>
            <w:b w:val="0"/>
            <w:i/>
            <w:strike w:val="0"/>
            <w:noProof w:val="0"/>
            <w:color w:val="0077CC"/>
            <w:position w:val="0"/>
            <w:sz w:val="20"/>
            <w:u w:val="single"/>
            <w:vertAlign w:val="baseline"/>
          </w:rPr>
          <w:t>Murphy Bros. v. Michetti Pipe Stringing, Inc.</w:t>
        </w:r>
      </w:hyperlink>
      <w:hyperlink r:id="rId17" w:history="1">
        <w:r>
          <w:rPr>
            <w:rFonts w:ascii="arial" w:eastAsia="arial" w:hAnsi="arial" w:cs="arial"/>
            <w:b w:val="0"/>
            <w:i/>
            <w:strike w:val="0"/>
            <w:noProof w:val="0"/>
            <w:color w:val="0077CC"/>
            <w:position w:val="0"/>
            <w:sz w:val="20"/>
            <w:u w:val="single"/>
            <w:vertAlign w:val="baseline"/>
          </w:rPr>
          <w:t>, 526 U.S. 344, 347, 119 S. Ct. 1322, 143 L. Ed. 2d 448 (1999)</w:t>
        </w:r>
      </w:hyperlink>
      <w:r>
        <w:rPr>
          <w:rFonts w:ascii="arial" w:eastAsia="arial" w:hAnsi="arial" w:cs="arial"/>
          <w:b w:val="0"/>
          <w:i w:val="0"/>
          <w:strike w:val="0"/>
          <w:noProof w:val="0"/>
          <w:color w:val="000000"/>
          <w:position w:val="0"/>
          <w:sz w:val="20"/>
          <w:u w:val="none"/>
          <w:vertAlign w:val="baseline"/>
        </w:rPr>
        <w:t xml:space="preserve">. </w:t>
      </w:r>
      <w:bookmarkStart w:id="16" w:name="Bookmark_I68KBR5X2HM6P70050000400"/>
      <w:bookmarkEnd w:id="16"/>
      <w:r>
        <w:rPr>
          <w:rFonts w:ascii="arial" w:eastAsia="arial" w:hAnsi="arial" w:cs="arial"/>
          <w:b w:val="0"/>
          <w:i w:val="0"/>
          <w:strike w:val="0"/>
          <w:noProof w:val="0"/>
          <w:color w:val="000000"/>
          <w:position w:val="0"/>
          <w:sz w:val="20"/>
          <w:u w:val="none"/>
          <w:vertAlign w:val="baseline"/>
        </w:rPr>
        <w:t>"Service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process, under longstanding tradition in our system of justice, is fundamental to any procedural imposition on a named defendant." </w:t>
      </w:r>
      <w:bookmarkStart w:id="17" w:name="Bookmark_I68KBR5X2HM6P70020000400"/>
      <w:bookmarkEnd w:id="17"/>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350</w:t>
        </w:r>
      </w:hyperlink>
      <w:r>
        <w:rPr>
          <w:rFonts w:ascii="arial" w:eastAsia="arial" w:hAnsi="arial" w:cs="arial"/>
          <w:b w:val="0"/>
          <w:i w:val="0"/>
          <w:strike w:val="0"/>
          <w:noProof w:val="0"/>
          <w:color w:val="000000"/>
          <w:position w:val="0"/>
          <w:sz w:val="20"/>
          <w:u w:val="none"/>
          <w:vertAlign w:val="baseline"/>
        </w:rPr>
        <w:t xml:space="preserve">. "[O]ne becomes a party officially, and is required to take action in that capacity, only upon service of a summons or other authority-asserting measure stating the time within which the party served must appear and defend."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18" w:name="Bookmark_I68KBR5X2HM6P70050000400_2"/>
      <w:bookmarkEnd w:id="18"/>
      <w:bookmarkStart w:id="19" w:name="Bookmark_I68KBR5X2HM6PB0020000400"/>
      <w:bookmarkEnd w:id="19"/>
      <w:r>
        <w:rPr>
          <w:rFonts w:ascii="arial" w:eastAsia="arial" w:hAnsi="arial" w:cs="arial"/>
          <w:b w:val="0"/>
          <w:i w:val="0"/>
          <w:strike w:val="0"/>
          <w:noProof w:val="0"/>
          <w:color w:val="000000"/>
          <w:position w:val="0"/>
          <w:sz w:val="20"/>
          <w:u w:val="none"/>
          <w:vertAlign w:val="baseline"/>
        </w:rPr>
        <w:t xml:space="preserve">That is, "[u]nless a named defendant agrees to waive service, the summons continues to function as the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directing an individual or entity to participate in a civil action or forgo procedural or substantive rights." </w:t>
      </w:r>
      <w:bookmarkStart w:id="20" w:name="Bookmark_I68KBR5X2HM6P70040000400"/>
      <w:bookmarkEnd w:id="20"/>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351</w:t>
        </w:r>
      </w:hyperlink>
      <w:r>
        <w:rPr>
          <w:rFonts w:ascii="arial" w:eastAsia="arial" w:hAnsi="arial" w:cs="arial"/>
          <w:b w:val="0"/>
          <w:i w:val="0"/>
          <w:strike w:val="0"/>
          <w:noProof w:val="0"/>
          <w:color w:val="000000"/>
          <w:position w:val="0"/>
          <w:sz w:val="20"/>
          <w:u w:val="none"/>
          <w:vertAlign w:val="baseline"/>
        </w:rPr>
        <w:t xml:space="preserve">. </w:t>
      </w:r>
      <w:bookmarkStart w:id="21" w:name="Bookmark_I68KBR5X2HM6PB0020000400_2"/>
      <w:bookmarkEnd w:id="21"/>
      <w:r>
        <w:rPr>
          <w:rFonts w:ascii="arial" w:eastAsia="arial" w:hAnsi="arial" w:cs="arial"/>
          <w:b w:val="0"/>
          <w:i w:val="0"/>
          <w:strike w:val="0"/>
          <w:noProof w:val="0"/>
          <w:color w:val="000000"/>
          <w:position w:val="0"/>
          <w:sz w:val="20"/>
          <w:u w:val="none"/>
          <w:vertAlign w:val="baseline"/>
        </w:rPr>
        <w:t xml:space="preserve">Therefore, the PLRA, by requiring courts to review and even resolve a plaintiff's claims before service, creates a circumstance where there may only be one party to the proceeding—the plaintiff—at the district court level and on appeal. </w:t>
      </w:r>
      <w:r>
        <w:rPr>
          <w:rFonts w:ascii="arial" w:eastAsia="arial" w:hAnsi="arial" w:cs="arial"/>
          <w:b w:val="0"/>
          <w:i/>
          <w:strike w:val="0"/>
          <w:noProof w:val="0"/>
          <w:color w:val="000000"/>
          <w:position w:val="0"/>
          <w:sz w:val="20"/>
          <w:u w:val="none"/>
          <w:vertAlign w:val="baseline"/>
        </w:rPr>
        <w:t xml:space="preserve">See, e.g., </w:t>
      </w:r>
      <w:bookmarkStart w:id="22" w:name="Bookmark_I68KBR5X2HM6PB0010000400"/>
      <w:bookmarkEnd w:id="22"/>
      <w:r>
        <w:rPr>
          <w:rFonts w:ascii="arial" w:eastAsia="arial" w:hAnsi="arial" w:cs="arial"/>
          <w:b w:val="0"/>
          <w:i/>
          <w:strike w:val="0"/>
          <w:noProof w:val="0"/>
          <w:color w:val="000000"/>
          <w:position w:val="0"/>
          <w:sz w:val="20"/>
          <w:u w:val="none"/>
          <w:vertAlign w:val="baseline"/>
        </w:rPr>
        <w:t>Conway v. Fayette Cnty. Gov't</w:t>
      </w:r>
      <w:r>
        <w:rPr>
          <w:rFonts w:ascii="arial" w:eastAsia="arial" w:hAnsi="arial" w:cs="arial"/>
          <w:b w:val="0"/>
          <w:i/>
          <w:strike w:val="0"/>
          <w:noProof w:val="0"/>
          <w:color w:val="000000"/>
          <w:position w:val="0"/>
          <w:sz w:val="20"/>
          <w:u w:val="none"/>
          <w:vertAlign w:val="baseline"/>
        </w:rPr>
        <w:t>, 212 F. App'x 418 (6th Cir. 2007)</w:t>
      </w:r>
      <w:r>
        <w:rPr>
          <w:rFonts w:ascii="arial" w:eastAsia="arial" w:hAnsi="arial" w:cs="arial"/>
          <w:b w:val="0"/>
          <w:i w:val="0"/>
          <w:strike w:val="0"/>
          <w:noProof w:val="0"/>
          <w:color w:val="000000"/>
          <w:position w:val="0"/>
          <w:sz w:val="20"/>
          <w:u w:val="none"/>
          <w:vertAlign w:val="baseline"/>
        </w:rPr>
        <w:t xml:space="preserve"> (stating that "[p]ursuant to </w:t>
      </w:r>
      <w:hyperlink r:id="rId13"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the district court screened the complaint and dismissed it without prejudice before service was made upon any of the defendants . . . [such that] . . . only [the plaintiff] [wa]s a party to this appeal").</w:t>
      </w:r>
    </w:p>
    <w:p>
      <w:pPr>
        <w:keepNext w:val="0"/>
        <w:spacing w:before="24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Here, Plaintiff has consented to a United States magistrate judge conducting all proceedings in this case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under </w:t>
      </w:r>
      <w:hyperlink r:id="rId11"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w:t>
      </w:r>
      <w:bookmarkStart w:id="24" w:name="Bookmark_I68KBR5X2HM6PB0040000400"/>
      <w:bookmarkEnd w:id="24"/>
      <w:r>
        <w:rPr>
          <w:rFonts w:ascii="arial" w:eastAsia="arial" w:hAnsi="arial" w:cs="arial"/>
          <w:b w:val="0"/>
          <w:i w:val="0"/>
          <w:strike w:val="0"/>
          <w:noProof w:val="0"/>
          <w:color w:val="000000"/>
          <w:position w:val="0"/>
          <w:sz w:val="20"/>
          <w:u w:val="none"/>
          <w:vertAlign w:val="baseline"/>
        </w:rPr>
        <w:t xml:space="preserve">That statute provides that "[u]pon the consent of the parties, a full-time United States magistrate judge . . . may conduct any or all proceedings . . . and order the entry of judgment in the case . . . ." </w:t>
      </w:r>
      <w:hyperlink r:id="rId11"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Because the named Defendants have not yet been served, the undersigned concludes that they are not presently parties whose consent is required to permit the undersigned to conduct a preliminary review under the PLRA, in the same way that they are not parties who will be served with or given notice of this opinion. </w:t>
      </w:r>
      <w:r>
        <w:rPr>
          <w:rFonts w:ascii="arial" w:eastAsia="arial" w:hAnsi="arial" w:cs="arial"/>
          <w:b w:val="0"/>
          <w:i/>
          <w:strike w:val="0"/>
          <w:noProof w:val="0"/>
          <w:color w:val="000000"/>
          <w:position w:val="0"/>
          <w:sz w:val="20"/>
          <w:u w:val="none"/>
          <w:vertAlign w:val="baseline"/>
        </w:rPr>
        <w:t xml:space="preserve">See </w:t>
      </w:r>
      <w:bookmarkStart w:id="25" w:name="Bookmark_I68KBR5X2HM6PB0030000400"/>
      <w:bookmarkEnd w:id="25"/>
      <w:hyperlink r:id="rId18" w:history="1">
        <w:r>
          <w:rPr>
            <w:rFonts w:ascii="arial" w:eastAsia="arial" w:hAnsi="arial" w:cs="arial"/>
            <w:b w:val="0"/>
            <w:i/>
            <w:strike w:val="0"/>
            <w:noProof w:val="0"/>
            <w:color w:val="0077CC"/>
            <w:position w:val="0"/>
            <w:sz w:val="20"/>
            <w:u w:val="single"/>
            <w:vertAlign w:val="baseline"/>
          </w:rPr>
          <w:t>Neals v. Norwood</w:t>
        </w:r>
      </w:hyperlink>
      <w:hyperlink r:id="rId18" w:history="1">
        <w:r>
          <w:rPr>
            <w:rFonts w:ascii="arial" w:eastAsia="arial" w:hAnsi="arial" w:cs="arial"/>
            <w:b w:val="0"/>
            <w:i/>
            <w:strike w:val="0"/>
            <w:noProof w:val="0"/>
            <w:color w:val="0077CC"/>
            <w:position w:val="0"/>
            <w:sz w:val="20"/>
            <w:u w:val="single"/>
            <w:vertAlign w:val="baseline"/>
          </w:rPr>
          <w:t>, 59 F.3d 530, 532 (5th Cir. 1995)</w:t>
        </w:r>
      </w:hyperlink>
      <w:r>
        <w:rPr>
          <w:rFonts w:ascii="arial" w:eastAsia="arial" w:hAnsi="arial" w:cs="arial"/>
          <w:b w:val="0"/>
          <w:i w:val="0"/>
          <w:strike w:val="0"/>
          <w:noProof w:val="0"/>
          <w:color w:val="000000"/>
          <w:position w:val="0"/>
          <w:sz w:val="20"/>
          <w:u w:val="none"/>
          <w:vertAlign w:val="baseline"/>
        </w:rPr>
        <w:t xml:space="preserve"> ("The record does not contain a consent from the defendants[; h]owever, because they had not been served, they were not parties to th[e] action at the time the magistrate entered judgment.").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3" w:name="Bookmark_para_5"/>
      <w:bookmarkEnd w:id="33"/>
      <w:bookmarkStart w:id="34" w:name="Bookmark_I262JFMX3H3000015WT0000J"/>
      <w:bookmarkEnd w:id="34"/>
      <w:bookmarkStart w:id="35" w:name="Bookmark_I68KBR5Y2N1RJP0010000400"/>
      <w:bookmarkEnd w:id="35"/>
      <w:bookmarkStart w:id="36" w:name="Bookmark_I262JFMX1R4000015WT0000H"/>
      <w:bookmarkEnd w:id="36"/>
      <w:bookmarkStart w:id="37" w:name="Bookmark_I68KBR5Y2N1RJP0030000400"/>
      <w:bookmarkEnd w:id="37"/>
      <w:r>
        <w:rPr>
          <w:rFonts w:ascii="arial" w:eastAsia="arial" w:hAnsi="arial" w:cs="arial"/>
          <w:b w:val="0"/>
          <w:i w:val="0"/>
          <w:strike w:val="0"/>
          <w:noProof w:val="0"/>
          <w:color w:val="000000"/>
          <w:position w:val="0"/>
          <w:sz w:val="20"/>
          <w:u w:val="none"/>
          <w:vertAlign w:val="baseline"/>
        </w:rPr>
        <w:t xml:space="preserve">Under the PLRA, the Court is required to dismiss any prisoner action brought under federal law if the complaint is frivolous, malicious, fails to state a claim upon which relief can be granted, or seeks monetary relief from a defendant immune from such relief. </w:t>
      </w:r>
      <w:hyperlink r:id="rId19"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must read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indulgently, </w:t>
      </w:r>
      <w:r>
        <w:rPr>
          <w:rFonts w:ascii="arial" w:eastAsia="arial" w:hAnsi="arial" w:cs="arial"/>
          <w:b w:val="0"/>
          <w:i/>
          <w:strike w:val="0"/>
          <w:noProof w:val="0"/>
          <w:color w:val="000000"/>
          <w:position w:val="0"/>
          <w:sz w:val="20"/>
          <w:u w:val="none"/>
          <w:vertAlign w:val="baseline"/>
        </w:rPr>
        <w:t xml:space="preserve">see </w:t>
      </w:r>
      <w:bookmarkStart w:id="38" w:name="Bookmark_I68KBR5Y2HM6PN0050000400"/>
      <w:bookmarkEnd w:id="38"/>
      <w:hyperlink r:id="rId20" w:history="1">
        <w:r>
          <w:rPr>
            <w:rFonts w:ascii="arial" w:eastAsia="arial" w:hAnsi="arial" w:cs="arial"/>
            <w:b w:val="0"/>
            <w:i/>
            <w:strike w:val="0"/>
            <w:noProof w:val="0"/>
            <w:color w:val="0077CC"/>
            <w:position w:val="0"/>
            <w:sz w:val="20"/>
            <w:u w:val="single"/>
            <w:vertAlign w:val="baseline"/>
          </w:rPr>
          <w:t>Haines v. Kerner</w:t>
        </w:r>
      </w:hyperlink>
      <w:hyperlink r:id="rId20"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and accept Plaintiff's allegations as true, unless they are clearly irrational or wholly incredible. </w:t>
      </w:r>
      <w:bookmarkStart w:id="39" w:name="Bookmark_I68KBR5Y2N1RJP0020000400"/>
      <w:bookmarkEnd w:id="39"/>
      <w:hyperlink r:id="rId21" w:history="1">
        <w:r>
          <w:rPr>
            <w:rFonts w:ascii="arial" w:eastAsia="arial" w:hAnsi="arial" w:cs="arial"/>
            <w:b w:val="0"/>
            <w:i/>
            <w:strike w:val="0"/>
            <w:noProof w:val="0"/>
            <w:color w:val="0077CC"/>
            <w:position w:val="0"/>
            <w:sz w:val="20"/>
            <w:u w:val="single"/>
            <w:vertAlign w:val="baseline"/>
          </w:rPr>
          <w:t>Denton v. Hernandez</w:t>
        </w:r>
      </w:hyperlink>
      <w:hyperlink r:id="rId21" w:history="1">
        <w:r>
          <w:rPr>
            <w:rFonts w:ascii="arial" w:eastAsia="arial" w:hAnsi="arial" w:cs="arial"/>
            <w:b w:val="0"/>
            <w:i/>
            <w:strike w:val="0"/>
            <w:noProof w:val="0"/>
            <w:color w:val="0077CC"/>
            <w:position w:val="0"/>
            <w:sz w:val="20"/>
            <w:u w:val="single"/>
            <w:vertAlign w:val="baseline"/>
          </w:rPr>
          <w:t>, 504 U.S. 25, 33, 112 S. Ct. 1728, 118 L. Ed. 2d 340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Applying these standards,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Court will dismiss Plaintiff's complaint on grounds of immunity and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Allegations</w:t>
      </w:r>
    </w:p>
    <w:p>
      <w:pPr>
        <w:keepNext w:val="0"/>
        <w:spacing w:before="20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Plaintiff is presently incarcerated with the Michigan Department of Corrections (MDOC) at the G. Robert Cotton Correctional Facility (JCF) in Jackson, Jackson County, Michigan. The events about which he complains, however, occurred at the Richard A. Handlon Correctional Facility (MTU) in Ionia, Ionia County, Michigan. Plaintiff sues the MDOC itself, MTU Warden Melinda Braman, and Qualified Mental Health Provider (QMHP) Kristie Marie Van Harn. Plaintiff indicates that he is suing Defendants in their official capacities only. (ECF No. 1, PageID.2-3.)</w:t>
      </w:r>
    </w:p>
    <w:p>
      <w:pPr>
        <w:keepNext w:val="0"/>
        <w:spacing w:before="200" w:after="0" w:line="260" w:lineRule="atLeast"/>
        <w:ind w:left="0" w:right="0" w:firstLine="0"/>
        <w:jc w:val="both"/>
      </w:pPr>
      <w:bookmarkStart w:id="41" w:name="Bookmark_para_7"/>
      <w:bookmarkEnd w:id="41"/>
      <w:r>
        <w:rPr>
          <w:rFonts w:ascii="arial" w:eastAsia="arial" w:hAnsi="arial" w:cs="arial"/>
          <w:b w:val="0"/>
          <w:i w:val="0"/>
          <w:strike w:val="0"/>
          <w:noProof w:val="0"/>
          <w:color w:val="000000"/>
          <w:position w:val="0"/>
          <w:sz w:val="20"/>
          <w:u w:val="none"/>
          <w:vertAlign w:val="baseline"/>
        </w:rPr>
        <w:t>Plaintiff alleges that he is severely mentally 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 During Plaintiff's incarceration at MTU, Defendant Van Harn served as Plaintiff's QMHP.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PageID.5.) Plaintiff alleges that throughout 2021, Defendant Van Harn sexually assaulted him on numerous occasions.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avers further that Defendant Van Harn extorted him for money "that was attained through an illegal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at MTU.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his family members were forced to participate in this operation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because of threats of physical violence made against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as part of this operation, he was forced to sell several items to the inmate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These items included cell phones, suboxone, heroin, marijuana, cocaine, ecstasy, tobacco, alcohol, and food.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Defendant Van Harn and another QMHP, Shelby Guidebeck (not a party), would meet Plaintiff's family members in Detroit, Michigan, "to pick up illegal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w:t>
      </w:r>
    </w:p>
    <w:p>
      <w:pPr>
        <w:keepNext w:val="0"/>
        <w:spacing w:before="20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Plaintiff alleges that these actions occurred from late January of 2021 through August 31,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Defendant Van Harn "took advantage of [his] mental health and also took advantage of [him] sexually, mentally, and emotionally."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PageID.7.) Plaintiff alleges that he was told that failure to submit to the sexual assaults and to participate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would result in him being physically assaulted by other inmates, receiving false misconducts, or being forced out of the mental health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numerous staff members at MTU, including Defendant Braman, were aware of what was happening.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Plaintiff further states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he is still mentally and emotionally traumatized by what occurred at MTU.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PageID.8.) Plaintiff contends that the inmate population has labeled him as a "rat" or "snitch" because he reported what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Plaintiff's medication dosages were increased because of his paranoia.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 foregoing, Plaintiff asserts violations of his </w:t>
      </w:r>
      <w:hyperlink r:id="rId2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 As relief, Plaintiff seeks $250,000.00 in compensatory damages and $2,500,000.00 in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PageID.8.) Plaintiff also asks that the Court "take action and fire all employees" who were involved "in this tragic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Immunity and Failure to State a Claim</w:t>
      </w:r>
    </w:p>
    <w:p>
      <w:pPr>
        <w:keepNext w:val="0"/>
        <w:spacing w:before="240" w:after="0" w:line="260" w:lineRule="atLeast"/>
        <w:ind w:left="0" w:right="0" w:firstLine="0"/>
        <w:jc w:val="both"/>
      </w:pPr>
      <w:bookmarkStart w:id="44" w:name="Bookmark_para_10"/>
      <w:bookmarkEnd w:id="44"/>
      <w:bookmarkStart w:id="45" w:name="Bookmark_I68KBR5Y2N1RJP0050000400"/>
      <w:bookmarkEnd w:id="45"/>
      <w:bookmarkStart w:id="46" w:name="Bookmark_I68KBR602N1RJT0040000400"/>
      <w:bookmarkEnd w:id="46"/>
      <w:r>
        <w:rPr>
          <w:rFonts w:ascii="arial" w:eastAsia="arial" w:hAnsi="arial" w:cs="arial"/>
          <w:b w:val="0"/>
          <w:i w:val="0"/>
          <w:strike w:val="0"/>
          <w:noProof w:val="0"/>
          <w:color w:val="000000"/>
          <w:position w:val="0"/>
          <w:sz w:val="20"/>
          <w:u w:val="none"/>
          <w:vertAlign w:val="baseline"/>
        </w:rPr>
        <w:t xml:space="preserve">A complaint may be dismissed for failure to state a claim if it fails "to give the defendant fair notice of what the . . . claim is and the grounds upon which it rests." </w:t>
      </w:r>
      <w:bookmarkStart w:id="47" w:name="Bookmark_I68KBR5Y2N1RJP0040000400"/>
      <w:bookmarkEnd w:id="47"/>
      <w:hyperlink r:id="rId23" w:history="1">
        <w:r>
          <w:rPr>
            <w:rFonts w:ascii="arial" w:eastAsia="arial" w:hAnsi="arial" w:cs="arial"/>
            <w:b w:val="0"/>
            <w:i/>
            <w:strike w:val="0"/>
            <w:noProof w:val="0"/>
            <w:color w:val="0077CC"/>
            <w:position w:val="0"/>
            <w:sz w:val="20"/>
            <w:u w:val="single"/>
            <w:vertAlign w:val="baseline"/>
          </w:rPr>
          <w:t>Bell Atl. Corp. v. Twombly</w:t>
        </w:r>
      </w:hyperlink>
      <w:hyperlink r:id="rId23"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bookmarkStart w:id="48" w:name="Bookmark_I68KBR602N1RJT0010000400"/>
      <w:bookmarkEnd w:id="48"/>
      <w:hyperlink r:id="rId24" w:history="1">
        <w:r>
          <w:rPr>
            <w:rFonts w:ascii="arial" w:eastAsia="arial" w:hAnsi="arial" w:cs="arial"/>
            <w:b w:val="0"/>
            <w:i/>
            <w:strike w:val="0"/>
            <w:noProof w:val="0"/>
            <w:color w:val="0077CC"/>
            <w:position w:val="0"/>
            <w:sz w:val="20"/>
            <w:u w:val="single"/>
            <w:vertAlign w:val="baseline"/>
          </w:rPr>
          <w:t>Conley v. Gibson</w:t>
        </w:r>
      </w:hyperlink>
      <w:hyperlink r:id="rId24"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 xml:space="preserve">). </w:t>
      </w:r>
      <w:bookmarkStart w:id="49" w:name="Bookmark_I68KBR6028T48F0010000400"/>
      <w:bookmarkEnd w:id="49"/>
      <w:r>
        <w:rPr>
          <w:rFonts w:ascii="arial" w:eastAsia="arial" w:hAnsi="arial" w:cs="arial"/>
          <w:b w:val="0"/>
          <w:i w:val="0"/>
          <w:strike w:val="0"/>
          <w:noProof w:val="0"/>
          <w:color w:val="000000"/>
          <w:position w:val="0"/>
          <w:sz w:val="20"/>
          <w:u w:val="none"/>
          <w:vertAlign w:val="baseline"/>
        </w:rPr>
        <w:t xml:space="preserve">While a complaint need not contain detailed factual allegations, a plaintiff's allegations must include more than labels and conclusions. </w:t>
      </w:r>
      <w:bookmarkStart w:id="50" w:name="Bookmark_I68KBR6028T48F0030000400"/>
      <w:bookmarkEnd w:id="5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51" w:name="Bookmark_I68KBR602N1RJT0030000400"/>
      <w:bookmarkEnd w:id="51"/>
      <w:hyperlink r:id="rId25" w:history="1">
        <w:r>
          <w:rPr>
            <w:rFonts w:ascii="arial" w:eastAsia="arial" w:hAnsi="arial" w:cs="arial"/>
            <w:b w:val="0"/>
            <w:i/>
            <w:strike w:val="0"/>
            <w:noProof w:val="0"/>
            <w:color w:val="0077CC"/>
            <w:position w:val="0"/>
            <w:sz w:val="20"/>
            <w:u w:val="single"/>
            <w:vertAlign w:val="baseline"/>
          </w:rPr>
          <w:t>Ashcroft v. Iqbal</w:t>
        </w:r>
      </w:hyperlink>
      <w:hyperlink r:id="rId25"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w:t>
      </w:r>
      <w:bookmarkStart w:id="52" w:name="Bookmark_I68KBR6028T48F0030000400_2"/>
      <w:bookmarkEnd w:id="52"/>
      <w:bookmarkStart w:id="53" w:name="Bookmark_I68KBR6028T48F0010000400_2"/>
      <w:bookmarkEnd w:id="53"/>
      <w:bookmarkStart w:id="54" w:name="Bookmark_I68KBR6028T48F0050000400"/>
      <w:bookmarkEnd w:id="54"/>
      <w:r>
        <w:rPr>
          <w:rFonts w:ascii="arial" w:eastAsia="arial" w:hAnsi="arial" w:cs="arial"/>
          <w:b w:val="0"/>
          <w:i w:val="0"/>
          <w:strike w:val="0"/>
          <w:noProof w:val="0"/>
          <w:color w:val="000000"/>
          <w:position w:val="0"/>
          <w:sz w:val="20"/>
          <w:u w:val="none"/>
          <w:vertAlign w:val="baseline"/>
        </w:rPr>
        <w:t>The court must determine whether the complaint contains "enough facts to state a claim</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relief that is plausible on its face." </w:t>
      </w:r>
      <w:bookmarkStart w:id="55" w:name="Bookmark_I68KBR602N1RJT0050000400"/>
      <w:bookmarkEnd w:id="55"/>
      <w:hyperlink r:id="rId23" w:history="1">
        <w:r>
          <w:rPr>
            <w:rFonts w:ascii="arial" w:eastAsia="arial" w:hAnsi="arial" w:cs="arial"/>
            <w:b w:val="0"/>
            <w:i/>
            <w:strike w:val="0"/>
            <w:noProof w:val="0"/>
            <w:color w:val="0077CC"/>
            <w:position w:val="0"/>
            <w:sz w:val="20"/>
            <w:u w:val="single"/>
            <w:vertAlign w:val="baseline"/>
          </w:rPr>
          <w:t>Twombly</w:t>
        </w:r>
      </w:hyperlink>
      <w:hyperlink r:id="rId23"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56" w:name="Bookmark_I68KBR6028T48F0050000400_2"/>
      <w:bookmarkEnd w:id="56"/>
      <w:bookmarkStart w:id="57" w:name="Bookmark_I68KBR602HM6R10040000400"/>
      <w:bookmarkEnd w:id="57"/>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58" w:name="Bookmark_I68KBR6028T48F0020000400"/>
      <w:bookmarkEnd w:id="58"/>
      <w:hyperlink r:id="rId25" w:history="1">
        <w:r>
          <w:rPr>
            <w:rFonts w:ascii="arial" w:eastAsia="arial" w:hAnsi="arial" w:cs="arial"/>
            <w:b w:val="0"/>
            <w:i/>
            <w:strike w:val="0"/>
            <w:noProof w:val="0"/>
            <w:color w:val="0077CC"/>
            <w:position w:val="0"/>
            <w:sz w:val="20"/>
            <w:u w:val="single"/>
            <w:vertAlign w:val="baseline"/>
          </w:rPr>
          <w:t>Iqbal</w:t>
        </w:r>
      </w:hyperlink>
      <w:hyperlink r:id="rId25"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t>
      </w:r>
      <w:bookmarkStart w:id="59" w:name="Bookmark_I68KBR602HM6R10040000400_2"/>
      <w:bookmarkEnd w:id="59"/>
      <w:bookmarkStart w:id="60" w:name="Bookmark_I68KBR6028T48F0050000400_3"/>
      <w:bookmarkEnd w:id="60"/>
      <w:r>
        <w:rPr>
          <w:rFonts w:ascii="arial" w:eastAsia="arial" w:hAnsi="arial" w:cs="arial"/>
          <w:b w:val="0"/>
          <w:i w:val="0"/>
          <w:strike w:val="0"/>
          <w:noProof w:val="0"/>
          <w:color w:val="000000"/>
          <w:position w:val="0"/>
          <w:sz w:val="20"/>
          <w:u w:val="none"/>
          <w:vertAlign w:val="baseline"/>
        </w:rPr>
        <w:t xml:space="preserve">Although the plausibility standard is not equivalent to a "'probability requirement,' . . . it asks for more than a sheer possibility that a defendant has acted unlawfully." </w:t>
      </w:r>
      <w:bookmarkStart w:id="61" w:name="Bookmark_I68KBR6028T48F0040000400"/>
      <w:bookmarkEnd w:id="61"/>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8KBR602HM6R10010000400"/>
      <w:bookmarkEnd w:id="62"/>
      <w:hyperlink r:id="rId23" w:history="1">
        <w:r>
          <w:rPr>
            <w:rFonts w:ascii="arial" w:eastAsia="arial" w:hAnsi="arial" w:cs="arial"/>
            <w:b w:val="0"/>
            <w:i/>
            <w:strike w:val="0"/>
            <w:noProof w:val="0"/>
            <w:color w:val="0077CC"/>
            <w:position w:val="0"/>
            <w:sz w:val="20"/>
            <w:u w:val="single"/>
            <w:vertAlign w:val="baseline"/>
          </w:rPr>
          <w:t>Twombly</w:t>
        </w:r>
      </w:hyperlink>
      <w:hyperlink r:id="rId23"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"[W]here the well-pleaded facts do not permit the court to infer more than the mere possibility of misconduct, the complaint has alleged—but it has not 'show[n]'—that the pleader is entitled to relief." </w:t>
      </w:r>
      <w:bookmarkStart w:id="63" w:name="Bookmark_I68KBR602HM6R10030000400"/>
      <w:bookmarkEnd w:id="63"/>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(quoting </w:t>
      </w:r>
      <w:hyperlink r:id="rId26"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4" w:name="Bookmark_I68KBR602HM6R10050000400"/>
      <w:bookmarkEnd w:id="64"/>
      <w:hyperlink r:id="rId27" w:history="1">
        <w:r>
          <w:rPr>
            <w:rFonts w:ascii="arial" w:eastAsia="arial" w:hAnsi="arial" w:cs="arial"/>
            <w:b w:val="0"/>
            <w:i/>
            <w:strike w:val="0"/>
            <w:noProof w:val="0"/>
            <w:color w:val="0077CC"/>
            <w:position w:val="0"/>
            <w:sz w:val="20"/>
            <w:u w:val="single"/>
            <w:vertAlign w:val="baseline"/>
          </w:rPr>
          <w:t>Hill v. Lappin</w:t>
        </w:r>
      </w:hyperlink>
      <w:hyperlink r:id="rId27" w:history="1">
        <w:r>
          <w:rPr>
            <w:rFonts w:ascii="arial" w:eastAsia="arial" w:hAnsi="arial" w:cs="arial"/>
            <w:b w:val="0"/>
            <w:i/>
            <w:strike w:val="0"/>
            <w:noProof w:val="0"/>
            <w:color w:val="0077CC"/>
            <w:position w:val="0"/>
            <w:sz w:val="20"/>
            <w:u w:val="single"/>
            <w:vertAlign w:val="baseline"/>
          </w:rPr>
          <w:t>, 630 F.3d 468, 470-71 (6th Cir. 2010)</w:t>
        </w:r>
      </w:hyperlink>
      <w:r>
        <w:rPr>
          <w:rFonts w:ascii="arial" w:eastAsia="arial" w:hAnsi="arial" w:cs="arial"/>
          <w:b w:val="0"/>
          <w:i w:val="0"/>
          <w:strike w:val="0"/>
          <w:noProof w:val="0"/>
          <w:color w:val="000000"/>
          <w:position w:val="0"/>
          <w:sz w:val="20"/>
          <w:u w:val="none"/>
          <w:vertAlign w:val="baseline"/>
        </w:rPr>
        <w:t xml:space="preserve"> (holding that the </w:t>
      </w:r>
      <w:r>
        <w:rPr>
          <w:rFonts w:ascii="arial" w:eastAsia="arial" w:hAnsi="arial" w:cs="arial"/>
          <w:b w:val="0"/>
          <w:i/>
          <w:strike w:val="0"/>
          <w:noProof w:val="0"/>
          <w:color w:val="000000"/>
          <w:position w:val="0"/>
          <w:sz w:val="20"/>
          <w:u w:val="none"/>
          <w:vertAlign w:val="baseline"/>
        </w:rPr>
        <w:t>Twombly/Iqbal</w:t>
      </w:r>
      <w:r>
        <w:rPr>
          <w:rFonts w:ascii="arial" w:eastAsia="arial" w:hAnsi="arial" w:cs="arial"/>
          <w:b w:val="0"/>
          <w:i w:val="0"/>
          <w:strike w:val="0"/>
          <w:noProof w:val="0"/>
          <w:color w:val="000000"/>
          <w:position w:val="0"/>
          <w:sz w:val="20"/>
          <w:u w:val="none"/>
          <w:vertAlign w:val="baseline"/>
        </w:rPr>
        <w:t xml:space="preserve"> plausibility standard applies to dismissals of prisoner cases on initial review under </w:t>
      </w:r>
      <w:hyperlink r:id="rId13"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11"/>
      <w:bookmarkEnd w:id="65"/>
      <w:bookmarkStart w:id="66" w:name="Bookmark_I68KBR602D6NRW0030000400"/>
      <w:bookmarkEnd w:id="66"/>
      <w:bookmarkStart w:id="67" w:name="Bookmark_I68KBR612D6NS00020000400"/>
      <w:bookmarkEnd w:id="67"/>
      <w:r>
        <w:rPr>
          <w:rFonts w:ascii="arial" w:eastAsia="arial" w:hAnsi="arial" w:cs="arial"/>
          <w:b w:val="0"/>
          <w:i w:val="0"/>
          <w:strike w:val="0"/>
          <w:noProof w:val="0"/>
          <w:color w:val="000000"/>
          <w:position w:val="0"/>
          <w:sz w:val="20"/>
          <w:u w:val="none"/>
          <w:vertAlign w:val="baseline"/>
        </w:rPr>
        <w:t xml:space="preserve">To state a claim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plaintiff must allege the violation of a right secured by the federal Constitution or laws and must show that the deprivation was committed by a person acting under color of state law. </w:t>
      </w:r>
      <w:bookmarkStart w:id="68" w:name="Bookmark_I68KBR602D6NRW0020000400"/>
      <w:bookmarkEnd w:id="68"/>
      <w:hyperlink r:id="rId28" w:history="1">
        <w:r>
          <w:rPr>
            <w:rFonts w:ascii="arial" w:eastAsia="arial" w:hAnsi="arial" w:cs="arial"/>
            <w:b w:val="0"/>
            <w:i/>
            <w:strike w:val="0"/>
            <w:noProof w:val="0"/>
            <w:color w:val="0077CC"/>
            <w:position w:val="0"/>
            <w:sz w:val="20"/>
            <w:u w:val="single"/>
            <w:vertAlign w:val="baseline"/>
          </w:rPr>
          <w:t>West v. Atkins</w:t>
        </w:r>
      </w:hyperlink>
      <w:hyperlink r:id="rId28"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bookmarkStart w:id="69" w:name="Bookmark_I68KBR602D6NRW0040000400"/>
      <w:bookmarkEnd w:id="69"/>
      <w:hyperlink r:id="rId29" w:history="1">
        <w:r>
          <w:rPr>
            <w:rFonts w:ascii="arial" w:eastAsia="arial" w:hAnsi="arial" w:cs="arial"/>
            <w:b w:val="0"/>
            <w:i/>
            <w:strike w:val="0"/>
            <w:noProof w:val="0"/>
            <w:color w:val="0077CC"/>
            <w:position w:val="0"/>
            <w:sz w:val="20"/>
            <w:u w:val="single"/>
            <w:vertAlign w:val="baseline"/>
          </w:rPr>
          <w:t>Street v. Corr. Corp. of Am.</w:t>
        </w:r>
      </w:hyperlink>
      <w:hyperlink r:id="rId29"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val="0"/>
          <w:i w:val="0"/>
          <w:strike w:val="0"/>
          <w:noProof w:val="0"/>
          <w:color w:val="000000"/>
          <w:position w:val="0"/>
          <w:sz w:val="20"/>
          <w:u w:val="none"/>
          <w:vertAlign w:val="baseline"/>
        </w:rPr>
        <w:t xml:space="preserve">. Because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 method for vindicating federal rights, not a source of substantive rights itself, the first step in an action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to identify the specific constitutional right allegedly infringed. </w:t>
      </w:r>
      <w:bookmarkStart w:id="70" w:name="Bookmark_I68KBR612D6NS00010000400"/>
      <w:bookmarkEnd w:id="70"/>
      <w:hyperlink r:id="rId30" w:history="1">
        <w:r>
          <w:rPr>
            <w:rFonts w:ascii="arial" w:eastAsia="arial" w:hAnsi="arial" w:cs="arial"/>
            <w:b w:val="0"/>
            <w:i/>
            <w:strike w:val="0"/>
            <w:noProof w:val="0"/>
            <w:color w:val="0077CC"/>
            <w:position w:val="0"/>
            <w:sz w:val="20"/>
            <w:u w:val="single"/>
            <w:vertAlign w:val="baseline"/>
          </w:rPr>
          <w:t>Albright v. Oliver</w:t>
        </w:r>
      </w:hyperlink>
      <w:hyperlink r:id="rId30"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Claims</w:t>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 xml:space="preserve"> Against the MDOC</w:t>
      </w:r>
    </w:p>
    <w:p>
      <w:pPr>
        <w:keepNext w:val="0"/>
        <w:spacing w:before="240" w:after="0" w:line="260" w:lineRule="atLeast"/>
        <w:ind w:left="0" w:right="0" w:firstLine="0"/>
        <w:jc w:val="both"/>
      </w:pPr>
      <w:bookmarkStart w:id="71" w:name="Bookmark_para_12"/>
      <w:bookmarkEnd w:id="71"/>
      <w:bookmarkStart w:id="72" w:name="Bookmark_I68KBR612D6NS00040000400"/>
      <w:bookmarkEnd w:id="72"/>
      <w:r>
        <w:rPr>
          <w:rFonts w:ascii="arial" w:eastAsia="arial" w:hAnsi="arial" w:cs="arial"/>
          <w:b w:val="0"/>
          <w:i w:val="0"/>
          <w:strike w:val="0"/>
          <w:noProof w:val="0"/>
          <w:color w:val="000000"/>
          <w:position w:val="0"/>
          <w:sz w:val="20"/>
          <w:u w:val="none"/>
          <w:vertAlign w:val="baseline"/>
        </w:rPr>
        <w:t xml:space="preserve">As noted above, Plaintiff has named the MDOC itself as a Defendant in this action. </w:t>
      </w:r>
      <w:bookmarkStart w:id="73" w:name="Bookmark_I68KBR6128T48P0050000400"/>
      <w:bookmarkEnd w:id="73"/>
      <w:r>
        <w:rPr>
          <w:rFonts w:ascii="arial" w:eastAsia="arial" w:hAnsi="arial" w:cs="arial"/>
          <w:b w:val="0"/>
          <w:i w:val="0"/>
          <w:strike w:val="0"/>
          <w:noProof w:val="0"/>
          <w:color w:val="000000"/>
          <w:position w:val="0"/>
          <w:sz w:val="20"/>
          <w:u w:val="none"/>
          <w:vertAlign w:val="baseline"/>
        </w:rPr>
        <w:t xml:space="preserve">Regardless of the form of relief requested, the states and their departments are immune under the </w:t>
      </w:r>
      <w:hyperlink r:id="rId3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from suit in the federal courts, unless the state has waived immunity or Congress has expressly abrogated </w:t>
      </w:r>
      <w:hyperlink r:id="rId3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by statute. </w:t>
      </w:r>
      <w:bookmarkStart w:id="74" w:name="Bookmark_I68KBR622SF84R0020000400"/>
      <w:bookmarkEnd w:id="74"/>
      <w:r>
        <w:rPr>
          <w:rFonts w:ascii="arial" w:eastAsia="arial" w:hAnsi="arial" w:cs="arial"/>
          <w:b w:val="0"/>
          <w:i/>
          <w:strike w:val="0"/>
          <w:noProof w:val="0"/>
          <w:color w:val="000000"/>
          <w:position w:val="0"/>
          <w:sz w:val="20"/>
          <w:u w:val="none"/>
          <w:vertAlign w:val="baseline"/>
        </w:rPr>
        <w:t xml:space="preserve">See </w:t>
      </w:r>
      <w:bookmarkStart w:id="75" w:name="Bookmark_I68KBR612D6NS00030000400"/>
      <w:bookmarkEnd w:id="75"/>
      <w:hyperlink r:id="rId32" w:history="1">
        <w:r>
          <w:rPr>
            <w:rFonts w:ascii="arial" w:eastAsia="arial" w:hAnsi="arial" w:cs="arial"/>
            <w:b w:val="0"/>
            <w:i/>
            <w:strike w:val="0"/>
            <w:noProof w:val="0"/>
            <w:color w:val="0077CC"/>
            <w:position w:val="0"/>
            <w:sz w:val="20"/>
            <w:u w:val="single"/>
            <w:vertAlign w:val="baseline"/>
          </w:rPr>
          <w:t>Pennhurst State Sch. &amp; Hosp. v. Halderman</w:t>
        </w:r>
      </w:hyperlink>
      <w:hyperlink r:id="rId32" w:history="1">
        <w:r>
          <w:rPr>
            <w:rFonts w:ascii="arial" w:eastAsia="arial" w:hAnsi="arial" w:cs="arial"/>
            <w:b w:val="0"/>
            <w:i/>
            <w:strike w:val="0"/>
            <w:noProof w:val="0"/>
            <w:color w:val="0077CC"/>
            <w:position w:val="0"/>
            <w:sz w:val="20"/>
            <w:u w:val="single"/>
            <w:vertAlign w:val="baseline"/>
          </w:rPr>
          <w:t>, 465 U.S. 89, 98-101, 104 S. Ct. 900, 79 L. Ed. 2d 67 (1984)</w:t>
        </w:r>
      </w:hyperlink>
      <w:r>
        <w:rPr>
          <w:rFonts w:ascii="arial" w:eastAsia="arial" w:hAnsi="arial" w:cs="arial"/>
          <w:b w:val="0"/>
          <w:i w:val="0"/>
          <w:strike w:val="0"/>
          <w:noProof w:val="0"/>
          <w:color w:val="000000"/>
          <w:position w:val="0"/>
          <w:sz w:val="20"/>
          <w:u w:val="none"/>
          <w:vertAlign w:val="baseline"/>
        </w:rPr>
        <w:t xml:space="preserve">; </w:t>
      </w:r>
      <w:bookmarkStart w:id="76" w:name="Bookmark_I68KBR612D6NS00050000400"/>
      <w:bookmarkEnd w:id="76"/>
      <w:hyperlink r:id="rId33" w:history="1">
        <w:r>
          <w:rPr>
            <w:rFonts w:ascii="arial" w:eastAsia="arial" w:hAnsi="arial" w:cs="arial"/>
            <w:b w:val="0"/>
            <w:i/>
            <w:strike w:val="0"/>
            <w:noProof w:val="0"/>
            <w:color w:val="0077CC"/>
            <w:position w:val="0"/>
            <w:sz w:val="20"/>
            <w:u w:val="single"/>
            <w:vertAlign w:val="baseline"/>
          </w:rPr>
          <w:t>Alabama v. Pugh</w:t>
        </w:r>
      </w:hyperlink>
      <w:hyperlink r:id="rId33" w:history="1">
        <w:r>
          <w:rPr>
            <w:rFonts w:ascii="arial" w:eastAsia="arial" w:hAnsi="arial" w:cs="arial"/>
            <w:b w:val="0"/>
            <w:i/>
            <w:strike w:val="0"/>
            <w:noProof w:val="0"/>
            <w:color w:val="0077CC"/>
            <w:position w:val="0"/>
            <w:sz w:val="20"/>
            <w:u w:val="single"/>
            <w:vertAlign w:val="baseline"/>
          </w:rPr>
          <w:t>, 438 U.S. 781, 782, 98 S. Ct. 3057, 57 L. Ed. 2d 1114 (1978)</w:t>
        </w:r>
      </w:hyperlink>
      <w:r>
        <w:rPr>
          <w:rFonts w:ascii="arial" w:eastAsia="arial" w:hAnsi="arial" w:cs="arial"/>
          <w:b w:val="0"/>
          <w:i w:val="0"/>
          <w:strike w:val="0"/>
          <w:noProof w:val="0"/>
          <w:color w:val="000000"/>
          <w:position w:val="0"/>
          <w:sz w:val="20"/>
          <w:u w:val="none"/>
          <w:vertAlign w:val="baseline"/>
        </w:rPr>
        <w:t xml:space="preserve">; </w:t>
      </w:r>
      <w:bookmarkStart w:id="77" w:name="Bookmark_I68KBR6128T48P0020000400"/>
      <w:bookmarkEnd w:id="77"/>
      <w:hyperlink r:id="rId34" w:history="1">
        <w:r>
          <w:rPr>
            <w:rFonts w:ascii="arial" w:eastAsia="arial" w:hAnsi="arial" w:cs="arial"/>
            <w:b w:val="0"/>
            <w:i/>
            <w:strike w:val="0"/>
            <w:noProof w:val="0"/>
            <w:color w:val="0077CC"/>
            <w:position w:val="0"/>
            <w:sz w:val="20"/>
            <w:u w:val="single"/>
            <w:vertAlign w:val="baseline"/>
          </w:rPr>
          <w:t>O'Hara v. Wigginton</w:t>
        </w:r>
      </w:hyperlink>
      <w:hyperlink r:id="rId34" w:history="1">
        <w:r>
          <w:rPr>
            <w:rFonts w:ascii="arial" w:eastAsia="arial" w:hAnsi="arial" w:cs="arial"/>
            <w:b w:val="0"/>
            <w:i/>
            <w:strike w:val="0"/>
            <w:noProof w:val="0"/>
            <w:color w:val="0077CC"/>
            <w:position w:val="0"/>
            <w:sz w:val="20"/>
            <w:u w:val="single"/>
            <w:vertAlign w:val="baseline"/>
          </w:rPr>
          <w:t>, 24 F.3d 823, 826 (6th Cir. 1994)</w:t>
        </w:r>
      </w:hyperlink>
      <w:r>
        <w:rPr>
          <w:rFonts w:ascii="arial" w:eastAsia="arial" w:hAnsi="arial" w:cs="arial"/>
          <w:b w:val="0"/>
          <w:i w:val="0"/>
          <w:strike w:val="0"/>
          <w:noProof w:val="0"/>
          <w:color w:val="000000"/>
          <w:position w:val="0"/>
          <w:sz w:val="20"/>
          <w:u w:val="none"/>
          <w:vertAlign w:val="baseline"/>
        </w:rPr>
        <w:t xml:space="preserve">. </w:t>
      </w:r>
      <w:bookmarkStart w:id="78" w:name="Bookmark_I68KBR622SF84R0020000400_2"/>
      <w:bookmarkEnd w:id="78"/>
      <w:bookmarkStart w:id="79" w:name="Bookmark_I68KBR6128T48P0050000400_2"/>
      <w:bookmarkEnd w:id="79"/>
      <w:r>
        <w:rPr>
          <w:rFonts w:ascii="arial" w:eastAsia="arial" w:hAnsi="arial" w:cs="arial"/>
          <w:b w:val="0"/>
          <w:i w:val="0"/>
          <w:strike w:val="0"/>
          <w:noProof w:val="0"/>
          <w:color w:val="000000"/>
          <w:position w:val="0"/>
          <w:sz w:val="20"/>
          <w:u w:val="none"/>
          <w:vertAlign w:val="baseline"/>
        </w:rPr>
        <w:t xml:space="preserve">Congress has not expressly abrogated </w:t>
      </w:r>
      <w:hyperlink r:id="rId3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by statute, </w:t>
      </w:r>
      <w:bookmarkStart w:id="80" w:name="Bookmark_I68KBR6128T48P0040000400"/>
      <w:bookmarkEnd w:id="80"/>
      <w:hyperlink r:id="rId35" w:history="1">
        <w:r>
          <w:rPr>
            <w:rFonts w:ascii="arial" w:eastAsia="arial" w:hAnsi="arial" w:cs="arial"/>
            <w:b w:val="0"/>
            <w:i/>
            <w:strike w:val="0"/>
            <w:noProof w:val="0"/>
            <w:color w:val="0077CC"/>
            <w:position w:val="0"/>
            <w:sz w:val="20"/>
            <w:u w:val="single"/>
            <w:vertAlign w:val="baseline"/>
          </w:rPr>
          <w:t>Quern v. Jordan</w:t>
        </w:r>
      </w:hyperlink>
      <w:hyperlink r:id="rId35" w:history="1">
        <w:r>
          <w:rPr>
            <w:rFonts w:ascii="arial" w:eastAsia="arial" w:hAnsi="arial" w:cs="arial"/>
            <w:b w:val="0"/>
            <w:i/>
            <w:strike w:val="0"/>
            <w:noProof w:val="0"/>
            <w:color w:val="0077CC"/>
            <w:position w:val="0"/>
            <w:sz w:val="20"/>
            <w:u w:val="single"/>
            <w:vertAlign w:val="baseline"/>
          </w:rPr>
          <w:t>, 440 U.S. 332, 341, 99 S. Ct. 1139, 59 L. Ed. 2d 358 (1979)</w:t>
        </w:r>
      </w:hyperlink>
      <w:r>
        <w:rPr>
          <w:rFonts w:ascii="arial" w:eastAsia="arial" w:hAnsi="arial" w:cs="arial"/>
          <w:b w:val="0"/>
          <w:i w:val="0"/>
          <w:strike w:val="0"/>
          <w:noProof w:val="0"/>
          <w:color w:val="000000"/>
          <w:position w:val="0"/>
          <w:sz w:val="20"/>
          <w:u w:val="none"/>
          <w:vertAlign w:val="baseline"/>
        </w:rPr>
        <w:t xml:space="preserve">, and the State of Michigan has not consented to civil rights suits in federal court. </w:t>
      </w:r>
      <w:bookmarkStart w:id="81" w:name="Bookmark_I68KBR622SF84R0040000400"/>
      <w:bookmarkEnd w:id="81"/>
      <w:bookmarkStart w:id="82" w:name="Bookmark_I68KBR622SF84R0010000400"/>
      <w:bookmarkEnd w:id="82"/>
      <w:hyperlink r:id="rId36" w:history="1">
        <w:r>
          <w:rPr>
            <w:rFonts w:ascii="arial" w:eastAsia="arial" w:hAnsi="arial" w:cs="arial"/>
            <w:b w:val="0"/>
            <w:i/>
            <w:strike w:val="0"/>
            <w:noProof w:val="0"/>
            <w:color w:val="0077CC"/>
            <w:position w:val="0"/>
            <w:sz w:val="20"/>
            <w:u w:val="single"/>
            <w:vertAlign w:val="baseline"/>
          </w:rPr>
          <w:t>Abick v. Michigan</w:t>
        </w:r>
      </w:hyperlink>
      <w:hyperlink r:id="rId36" w:history="1">
        <w:r>
          <w:rPr>
            <w:rFonts w:ascii="arial" w:eastAsia="arial" w:hAnsi="arial" w:cs="arial"/>
            <w:b w:val="0"/>
            <w:i/>
            <w:strike w:val="0"/>
            <w:noProof w:val="0"/>
            <w:color w:val="0077CC"/>
            <w:position w:val="0"/>
            <w:sz w:val="20"/>
            <w:u w:val="single"/>
            <w:vertAlign w:val="baseline"/>
          </w:rPr>
          <w:t>, 803 F.2d 874, 877 (6th Cir. 1986)</w:t>
        </w:r>
      </w:hyperlink>
      <w:r>
        <w:rPr>
          <w:rFonts w:ascii="arial" w:eastAsia="arial" w:hAnsi="arial" w:cs="arial"/>
          <w:b w:val="0"/>
          <w:i w:val="0"/>
          <w:strike w:val="0"/>
          <w:noProof w:val="0"/>
          <w:color w:val="000000"/>
          <w:position w:val="0"/>
          <w:sz w:val="20"/>
          <w:u w:val="none"/>
          <w:vertAlign w:val="baseline"/>
        </w:rPr>
        <w:t xml:space="preserve">. </w:t>
      </w:r>
      <w:bookmarkStart w:id="83" w:name="Bookmark_I68KBR622SF84R0040000400_2"/>
      <w:bookmarkEnd w:id="83"/>
      <w:r>
        <w:rPr>
          <w:rFonts w:ascii="arial" w:eastAsia="arial" w:hAnsi="arial" w:cs="arial"/>
          <w:b w:val="0"/>
          <w:i w:val="0"/>
          <w:strike w:val="0"/>
          <w:noProof w:val="0"/>
          <w:color w:val="000000"/>
          <w:position w:val="0"/>
          <w:sz w:val="20"/>
          <w:u w:val="none"/>
          <w:vertAlign w:val="baseline"/>
        </w:rPr>
        <w:t xml:space="preserve">In numerous opinions, the Sixth Circuit has specifically held that the MDOC is absolutely immune from a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under the </w:t>
      </w:r>
      <w:hyperlink r:id="rId3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84" w:name="Bookmark_I68KBR622SF84R0030000400"/>
      <w:bookmarkEnd w:id="84"/>
      <w:hyperlink r:id="rId37" w:history="1">
        <w:r>
          <w:rPr>
            <w:rFonts w:ascii="arial" w:eastAsia="arial" w:hAnsi="arial" w:cs="arial"/>
            <w:b w:val="0"/>
            <w:i/>
            <w:strike w:val="0"/>
            <w:noProof w:val="0"/>
            <w:color w:val="0077CC"/>
            <w:position w:val="0"/>
            <w:sz w:val="20"/>
            <w:u w:val="single"/>
            <w:vertAlign w:val="baseline"/>
          </w:rPr>
          <w:t>Harrison v. Michigan</w:t>
        </w:r>
      </w:hyperlink>
      <w:hyperlink r:id="rId37" w:history="1">
        <w:r>
          <w:rPr>
            <w:rFonts w:ascii="arial" w:eastAsia="arial" w:hAnsi="arial" w:cs="arial"/>
            <w:b w:val="0"/>
            <w:i/>
            <w:strike w:val="0"/>
            <w:noProof w:val="0"/>
            <w:color w:val="0077CC"/>
            <w:position w:val="0"/>
            <w:sz w:val="20"/>
            <w:u w:val="single"/>
            <w:vertAlign w:val="baseline"/>
          </w:rPr>
          <w:t>, 722 F.3d 768, 771 (6th Cir. 2013)</w:t>
        </w:r>
      </w:hyperlink>
      <w:r>
        <w:rPr>
          <w:rFonts w:ascii="arial" w:eastAsia="arial" w:hAnsi="arial" w:cs="arial"/>
          <w:b w:val="0"/>
          <w:i w:val="0"/>
          <w:strike w:val="0"/>
          <w:noProof w:val="0"/>
          <w:color w:val="000000"/>
          <w:position w:val="0"/>
          <w:sz w:val="20"/>
          <w:u w:val="none"/>
          <w:vertAlign w:val="baseline"/>
        </w:rPr>
        <w:t xml:space="preserve">; </w:t>
      </w:r>
      <w:bookmarkStart w:id="85" w:name="Bookmark_I68KBR622SF84R0050000400"/>
      <w:bookmarkEnd w:id="85"/>
      <w:hyperlink r:id="rId38" w:history="1">
        <w:r>
          <w:rPr>
            <w:rFonts w:ascii="arial" w:eastAsia="arial" w:hAnsi="arial" w:cs="arial"/>
            <w:b w:val="0"/>
            <w:i/>
            <w:strike w:val="0"/>
            <w:noProof w:val="0"/>
            <w:color w:val="0077CC"/>
            <w:position w:val="0"/>
            <w:sz w:val="20"/>
            <w:u w:val="single"/>
            <w:vertAlign w:val="baseline"/>
          </w:rPr>
          <w:t>Diaz v. Mich. Dep't of Corr.</w:t>
        </w:r>
      </w:hyperlink>
      <w:hyperlink r:id="rId38" w:history="1">
        <w:r>
          <w:rPr>
            <w:rFonts w:ascii="arial" w:eastAsia="arial" w:hAnsi="arial" w:cs="arial"/>
            <w:b w:val="0"/>
            <w:i/>
            <w:strike w:val="0"/>
            <w:noProof w:val="0"/>
            <w:color w:val="0077CC"/>
            <w:position w:val="0"/>
            <w:sz w:val="20"/>
            <w:u w:val="single"/>
            <w:vertAlign w:val="baseline"/>
          </w:rPr>
          <w:t>, 703 F.3d 956, 962 (6th Cir. 2013)</w:t>
        </w:r>
      </w:hyperlink>
      <w:r>
        <w:rPr>
          <w:rFonts w:ascii="arial" w:eastAsia="arial" w:hAnsi="arial" w:cs="arial"/>
          <w:b w:val="0"/>
          <w:i w:val="0"/>
          <w:strike w:val="0"/>
          <w:noProof w:val="0"/>
          <w:color w:val="000000"/>
          <w:position w:val="0"/>
          <w:sz w:val="20"/>
          <w:u w:val="none"/>
          <w:vertAlign w:val="baseline"/>
        </w:rPr>
        <w:t xml:space="preserve">; </w:t>
      </w:r>
      <w:bookmarkStart w:id="86" w:name="Bookmark_I68KBR622D6NS90020000400"/>
      <w:bookmarkEnd w:id="86"/>
      <w:hyperlink r:id="rId39" w:history="1">
        <w:r>
          <w:rPr>
            <w:rFonts w:ascii="arial" w:eastAsia="arial" w:hAnsi="arial" w:cs="arial"/>
            <w:b w:val="0"/>
            <w:i/>
            <w:strike w:val="0"/>
            <w:noProof w:val="0"/>
            <w:color w:val="0077CC"/>
            <w:position w:val="0"/>
            <w:sz w:val="20"/>
            <w:u w:val="single"/>
            <w:vertAlign w:val="baseline"/>
          </w:rPr>
          <w:t>McCoy v. Michigan</w:t>
        </w:r>
      </w:hyperlink>
      <w:hyperlink r:id="rId39" w:history="1">
        <w:r>
          <w:rPr>
            <w:rFonts w:ascii="arial" w:eastAsia="arial" w:hAnsi="arial" w:cs="arial"/>
            <w:b w:val="0"/>
            <w:i/>
            <w:strike w:val="0"/>
            <w:noProof w:val="0"/>
            <w:color w:val="0077CC"/>
            <w:position w:val="0"/>
            <w:sz w:val="20"/>
            <w:u w:val="single"/>
            <w:vertAlign w:val="baseline"/>
          </w:rPr>
          <w:t>, 369 F. App'x 646, 653-54 (6th Cir. 2010)</w:t>
        </w:r>
      </w:hyperlink>
      <w:r>
        <w:rPr>
          <w:rFonts w:ascii="arial" w:eastAsia="arial" w:hAnsi="arial" w:cs="arial"/>
          <w:b w:val="0"/>
          <w:i w:val="0"/>
          <w:strike w:val="0"/>
          <w:noProof w:val="0"/>
          <w:color w:val="000000"/>
          <w:position w:val="0"/>
          <w:sz w:val="20"/>
          <w:u w:val="none"/>
          <w:vertAlign w:val="baseline"/>
        </w:rPr>
        <w:t xml:space="preserve">. </w:t>
      </w:r>
      <w:bookmarkStart w:id="87" w:name="Bookmark_I68KBR622D6NS90050000400"/>
      <w:bookmarkEnd w:id="87"/>
      <w:r>
        <w:rPr>
          <w:rFonts w:ascii="arial" w:eastAsia="arial" w:hAnsi="arial" w:cs="arial"/>
          <w:b w:val="0"/>
          <w:i w:val="0"/>
          <w:strike w:val="0"/>
          <w:noProof w:val="0"/>
          <w:color w:val="000000"/>
          <w:position w:val="0"/>
          <w:sz w:val="20"/>
          <w:u w:val="none"/>
          <w:vertAlign w:val="baseline"/>
        </w:rPr>
        <w:t xml:space="preserve">Therefore, Plaintiff's claims against the MDOC are properly dismissed on grounds of immunity. In addition, the State of Michigan (acting through the MDOC) is not a "person" who may be sued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money damages. </w:t>
      </w:r>
      <w:r>
        <w:rPr>
          <w:rFonts w:ascii="arial" w:eastAsia="arial" w:hAnsi="arial" w:cs="arial"/>
          <w:b w:val="0"/>
          <w:i/>
          <w:strike w:val="0"/>
          <w:noProof w:val="0"/>
          <w:color w:val="000000"/>
          <w:position w:val="0"/>
          <w:sz w:val="20"/>
          <w:u w:val="none"/>
          <w:vertAlign w:val="baseline"/>
        </w:rPr>
        <w:t xml:space="preserve">See </w:t>
      </w:r>
      <w:bookmarkStart w:id="88" w:name="Bookmark_I68KBR622D6NS90040000400"/>
      <w:bookmarkEnd w:id="88"/>
      <w:hyperlink r:id="rId40" w:history="1">
        <w:r>
          <w:rPr>
            <w:rFonts w:ascii="arial" w:eastAsia="arial" w:hAnsi="arial" w:cs="arial"/>
            <w:b w:val="0"/>
            <w:i/>
            <w:strike w:val="0"/>
            <w:noProof w:val="0"/>
            <w:color w:val="0077CC"/>
            <w:position w:val="0"/>
            <w:sz w:val="20"/>
            <w:u w:val="single"/>
            <w:vertAlign w:val="baseline"/>
          </w:rPr>
          <w:t>Lapides v. Bd. of Regents</w:t>
        </w:r>
      </w:hyperlink>
      <w:hyperlink r:id="rId40" w:history="1">
        <w:r>
          <w:rPr>
            <w:rFonts w:ascii="arial" w:eastAsia="arial" w:hAnsi="arial" w:cs="arial"/>
            <w:b w:val="0"/>
            <w:i/>
            <w:strike w:val="0"/>
            <w:noProof w:val="0"/>
            <w:color w:val="0077CC"/>
            <w:position w:val="0"/>
            <w:sz w:val="20"/>
            <w:u w:val="single"/>
            <w:vertAlign w:val="baseline"/>
          </w:rPr>
          <w:t>, 535 U.S. 613, 617, 122 S. Ct. 1640, 152 L. Ed. 2d 806 (2002)</w:t>
        </w:r>
      </w:hyperlink>
      <w:r>
        <w:rPr>
          <w:rFonts w:ascii="arial" w:eastAsia="arial" w:hAnsi="arial" w:cs="arial"/>
          <w:b w:val="0"/>
          <w:i w:val="0"/>
          <w:strike w:val="0"/>
          <w:noProof w:val="0"/>
          <w:color w:val="000000"/>
          <w:position w:val="0"/>
          <w:sz w:val="20"/>
          <w:u w:val="none"/>
          <w:vertAlign w:val="baseline"/>
        </w:rPr>
        <w:t xml:space="preserve"> (citing </w:t>
      </w:r>
      <w:bookmarkStart w:id="89" w:name="Bookmark_I68KBR632D6NSF0010000400"/>
      <w:bookmarkEnd w:id="89"/>
      <w:hyperlink r:id="rId41" w:history="1">
        <w:r>
          <w:rPr>
            <w:rFonts w:ascii="arial" w:eastAsia="arial" w:hAnsi="arial" w:cs="arial"/>
            <w:b w:val="0"/>
            <w:i/>
            <w:strike w:val="0"/>
            <w:noProof w:val="0"/>
            <w:color w:val="0077CC"/>
            <w:position w:val="0"/>
            <w:sz w:val="20"/>
            <w:u w:val="single"/>
            <w:vertAlign w:val="baseline"/>
          </w:rPr>
          <w:t>Will v. Mich. Dep't of State Police</w:t>
        </w:r>
      </w:hyperlink>
      <w:hyperlink r:id="rId41" w:history="1">
        <w:r>
          <w:rPr>
            <w:rFonts w:ascii="arial" w:eastAsia="arial" w:hAnsi="arial" w:cs="arial"/>
            <w:b w:val="0"/>
            <w:i/>
            <w:strike w:val="0"/>
            <w:noProof w:val="0"/>
            <w:color w:val="0077CC"/>
            <w:position w:val="0"/>
            <w:sz w:val="20"/>
            <w:u w:val="single"/>
            <w:vertAlign w:val="baseline"/>
          </w:rPr>
          <w:t>, 491 U.S. 58, 66, 109 S. Ct. 2304, 105 L. Ed. 2d 45 (1989)</w:t>
        </w:r>
      </w:hyperlink>
      <w:r>
        <w:rPr>
          <w:rFonts w:ascii="arial" w:eastAsia="arial" w:hAnsi="arial" w:cs="arial"/>
          <w:b w:val="0"/>
          <w:i w:val="0"/>
          <w:strike w:val="0"/>
          <w:noProof w:val="0"/>
          <w:color w:val="000000"/>
          <w:position w:val="0"/>
          <w:sz w:val="20"/>
          <w:u w:val="none"/>
          <w:vertAlign w:val="baseline"/>
        </w:rPr>
        <w:t xml:space="preserve">); </w:t>
      </w:r>
      <w:bookmarkStart w:id="90" w:name="Bookmark_I68KBR632D6NSF0030000400"/>
      <w:bookmarkEnd w:id="90"/>
      <w:hyperlink r:id="rId37" w:history="1">
        <w:r>
          <w:rPr>
            <w:rFonts w:ascii="arial" w:eastAsia="arial" w:hAnsi="arial" w:cs="arial"/>
            <w:b w:val="0"/>
            <w:i/>
            <w:strike w:val="0"/>
            <w:noProof w:val="0"/>
            <w:color w:val="0077CC"/>
            <w:position w:val="0"/>
            <w:sz w:val="20"/>
            <w:u w:val="single"/>
            <w:vertAlign w:val="baseline"/>
          </w:rPr>
          <w:t>Harrison</w:t>
        </w:r>
      </w:hyperlink>
      <w:hyperlink r:id="rId37" w:history="1">
        <w:r>
          <w:rPr>
            <w:rFonts w:ascii="arial" w:eastAsia="arial" w:hAnsi="arial" w:cs="arial"/>
            <w:b w:val="0"/>
            <w:i/>
            <w:strike w:val="0"/>
            <w:noProof w:val="0"/>
            <w:color w:val="0077CC"/>
            <w:position w:val="0"/>
            <w:sz w:val="20"/>
            <w:u w:val="single"/>
            <w:vertAlign w:val="baseline"/>
          </w:rPr>
          <w:t>, 722 F.3d at 771</w:t>
        </w:r>
      </w:hyperlink>
      <w:r>
        <w:rPr>
          <w:rFonts w:ascii="arial" w:eastAsia="arial" w:hAnsi="arial" w:cs="arial"/>
          <w:b w:val="0"/>
          <w:i w:val="0"/>
          <w:strike w:val="0"/>
          <w:noProof w:val="0"/>
          <w:color w:val="000000"/>
          <w:position w:val="0"/>
          <w:sz w:val="20"/>
          <w:u w:val="none"/>
          <w:vertAlign w:val="baseline"/>
        </w:rPr>
        <w:t xml:space="preserve">. Therefore, Plaintiff's claims against the MDOC also are properly dismissed for failure to state a claim under </w:t>
      </w:r>
      <w:hyperlink r:id="rId19" w:history="1">
        <w:r>
          <w:rPr>
            <w:rFonts w:ascii="arial" w:eastAsia="arial" w:hAnsi="arial" w:cs="arial"/>
            <w:b w:val="0"/>
            <w:i/>
            <w:strike w:val="0"/>
            <w:noProof w:val="0"/>
            <w:color w:val="0077CC"/>
            <w:position w:val="0"/>
            <w:sz w:val="20"/>
            <w:u w:val="single"/>
            <w:vertAlign w:val="baseline"/>
          </w:rPr>
          <w:t>28 U.S.C. §§ 1915(e)(2)(B)(iii)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Claims Against Defendants Braman and Van Harn</w:t>
      </w:r>
    </w:p>
    <w:p>
      <w:pPr>
        <w:keepNext w:val="0"/>
        <w:spacing w:before="240" w:after="0" w:line="260" w:lineRule="atLeast"/>
        <w:ind w:left="0" w:right="0" w:firstLine="0"/>
        <w:jc w:val="both"/>
      </w:pPr>
      <w:bookmarkStart w:id="91" w:name="Bookmark_para_13"/>
      <w:bookmarkEnd w:id="91"/>
      <w:bookmarkStart w:id="92" w:name="Bookmark_I68KBR632HM6RP0010000400"/>
      <w:bookmarkEnd w:id="92"/>
      <w:r>
        <w:rPr>
          <w:rFonts w:ascii="arial" w:eastAsia="arial" w:hAnsi="arial" w:cs="arial"/>
          <w:b w:val="0"/>
          <w:i w:val="0"/>
          <w:strike w:val="0"/>
          <w:noProof w:val="0"/>
          <w:color w:val="000000"/>
          <w:position w:val="0"/>
          <w:sz w:val="20"/>
          <w:u w:val="none"/>
          <w:vertAlign w:val="baseline"/>
        </w:rPr>
        <w:t xml:space="preserve">As noted above, Plaintiff sues Defendants Braman and Van Harn in their official capacities only. (ECF No. 1, PageID.3.) </w:t>
      </w:r>
      <w:bookmarkStart w:id="93" w:name="Bookmark_I68KBR632HM6RP0050000400"/>
      <w:bookmarkEnd w:id="93"/>
      <w:r>
        <w:rPr>
          <w:rFonts w:ascii="arial" w:eastAsia="arial" w:hAnsi="arial" w:cs="arial"/>
          <w:b w:val="0"/>
          <w:i w:val="0"/>
          <w:strike w:val="0"/>
          <w:noProof w:val="0"/>
          <w:color w:val="000000"/>
          <w:position w:val="0"/>
          <w:sz w:val="20"/>
          <w:u w:val="none"/>
          <w:vertAlign w:val="baseline"/>
        </w:rPr>
        <w:t>Although an action against a defendant in his or her individual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capacity intends to impose liability on the specified individual, an action against the same defendant in his or her official capacity intends to impose liability only on the entity that they represent. </w:t>
      </w:r>
      <w:r>
        <w:rPr>
          <w:rFonts w:ascii="arial" w:eastAsia="arial" w:hAnsi="arial" w:cs="arial"/>
          <w:b w:val="0"/>
          <w:i/>
          <w:strike w:val="0"/>
          <w:noProof w:val="0"/>
          <w:color w:val="000000"/>
          <w:position w:val="0"/>
          <w:sz w:val="20"/>
          <w:u w:val="none"/>
          <w:vertAlign w:val="baseline"/>
        </w:rPr>
        <w:t xml:space="preserve">See </w:t>
      </w:r>
      <w:bookmarkStart w:id="94" w:name="Bookmark_I68KBR632D6NSF0050000400"/>
      <w:bookmarkEnd w:id="94"/>
      <w:hyperlink r:id="rId42" w:history="1">
        <w:r>
          <w:rPr>
            <w:rFonts w:ascii="arial" w:eastAsia="arial" w:hAnsi="arial" w:cs="arial"/>
            <w:b w:val="0"/>
            <w:i/>
            <w:strike w:val="0"/>
            <w:noProof w:val="0"/>
            <w:color w:val="0077CC"/>
            <w:position w:val="0"/>
            <w:sz w:val="20"/>
            <w:u w:val="single"/>
            <w:vertAlign w:val="baseline"/>
          </w:rPr>
          <w:t>Alkire v. Irving</w:t>
        </w:r>
      </w:hyperlink>
      <w:hyperlink r:id="rId42" w:history="1">
        <w:r>
          <w:rPr>
            <w:rFonts w:ascii="arial" w:eastAsia="arial" w:hAnsi="arial" w:cs="arial"/>
            <w:b w:val="0"/>
            <w:i/>
            <w:strike w:val="0"/>
            <w:noProof w:val="0"/>
            <w:color w:val="0077CC"/>
            <w:position w:val="0"/>
            <w:sz w:val="20"/>
            <w:u w:val="single"/>
            <w:vertAlign w:val="baseline"/>
          </w:rPr>
          <w:t>, 330 F.3d 802, 810 (6th Cir. 2003)</w:t>
        </w:r>
      </w:hyperlink>
      <w:r>
        <w:rPr>
          <w:rFonts w:ascii="arial" w:eastAsia="arial" w:hAnsi="arial" w:cs="arial"/>
          <w:b w:val="0"/>
          <w:i w:val="0"/>
          <w:strike w:val="0"/>
          <w:noProof w:val="0"/>
          <w:color w:val="000000"/>
          <w:position w:val="0"/>
          <w:sz w:val="20"/>
          <w:u w:val="none"/>
          <w:vertAlign w:val="baseline"/>
        </w:rPr>
        <w:t xml:space="preserve"> (citing </w:t>
      </w:r>
      <w:bookmarkStart w:id="95" w:name="Bookmark_I68KBR632HM6RP0020000400"/>
      <w:bookmarkEnd w:id="95"/>
      <w:hyperlink r:id="rId43" w:history="1">
        <w:r>
          <w:rPr>
            <w:rFonts w:ascii="arial" w:eastAsia="arial" w:hAnsi="arial" w:cs="arial"/>
            <w:b w:val="0"/>
            <w:i/>
            <w:strike w:val="0"/>
            <w:noProof w:val="0"/>
            <w:color w:val="0077CC"/>
            <w:position w:val="0"/>
            <w:sz w:val="20"/>
            <w:u w:val="single"/>
            <w:vertAlign w:val="baseline"/>
          </w:rPr>
          <w:t>Kentucky v. Graham</w:t>
        </w:r>
      </w:hyperlink>
      <w:hyperlink r:id="rId43" w:history="1">
        <w:r>
          <w:rPr>
            <w:rFonts w:ascii="arial" w:eastAsia="arial" w:hAnsi="arial" w:cs="arial"/>
            <w:b w:val="0"/>
            <w:i/>
            <w:strike w:val="0"/>
            <w:noProof w:val="0"/>
            <w:color w:val="0077CC"/>
            <w:position w:val="0"/>
            <w:sz w:val="20"/>
            <w:u w:val="single"/>
            <w:vertAlign w:val="baseline"/>
          </w:rPr>
          <w:t>, 473 U.S. 159, 165, 105 S. Ct. 3099, 87 L. Ed. 2d 114 (1985)</w:t>
        </w:r>
      </w:hyperlink>
      <w:r>
        <w:rPr>
          <w:rFonts w:ascii="arial" w:eastAsia="arial" w:hAnsi="arial" w:cs="arial"/>
          <w:b w:val="0"/>
          <w:i w:val="0"/>
          <w:strike w:val="0"/>
          <w:noProof w:val="0"/>
          <w:color w:val="000000"/>
          <w:position w:val="0"/>
          <w:sz w:val="20"/>
          <w:u w:val="none"/>
          <w:vertAlign w:val="baseline"/>
        </w:rPr>
        <w:t xml:space="preserve">). </w:t>
      </w:r>
      <w:bookmarkStart w:id="96" w:name="Bookmark_I68KBR632HM6RP0050000400_2"/>
      <w:bookmarkEnd w:id="96"/>
      <w:r>
        <w:rPr>
          <w:rFonts w:ascii="arial" w:eastAsia="arial" w:hAnsi="arial" w:cs="arial"/>
          <w:b w:val="0"/>
          <w:i w:val="0"/>
          <w:strike w:val="0"/>
          <w:noProof w:val="0"/>
          <w:color w:val="000000"/>
          <w:position w:val="0"/>
          <w:sz w:val="20"/>
          <w:u w:val="none"/>
          <w:vertAlign w:val="baseline"/>
        </w:rPr>
        <w:t xml:space="preserve">A suit against an individual in his or her official capacity is equivalent to a suit brought against the governmental entity—in this case, the MDOC. </w:t>
      </w:r>
      <w:r>
        <w:rPr>
          <w:rFonts w:ascii="arial" w:eastAsia="arial" w:hAnsi="arial" w:cs="arial"/>
          <w:b w:val="0"/>
          <w:i/>
          <w:strike w:val="0"/>
          <w:noProof w:val="0"/>
          <w:color w:val="000000"/>
          <w:position w:val="0"/>
          <w:sz w:val="20"/>
          <w:u w:val="none"/>
          <w:vertAlign w:val="baseline"/>
        </w:rPr>
        <w:t xml:space="preserve">See </w:t>
      </w:r>
      <w:bookmarkStart w:id="97" w:name="Bookmark_I68KBR632HM6RP0040000400"/>
      <w:bookmarkEnd w:id="97"/>
      <w:hyperlink r:id="rId41" w:history="1">
        <w:r>
          <w:rPr>
            <w:rFonts w:ascii="arial" w:eastAsia="arial" w:hAnsi="arial" w:cs="arial"/>
            <w:b w:val="0"/>
            <w:i/>
            <w:strike w:val="0"/>
            <w:noProof w:val="0"/>
            <w:color w:val="0077CC"/>
            <w:position w:val="0"/>
            <w:sz w:val="20"/>
            <w:u w:val="single"/>
            <w:vertAlign w:val="baseline"/>
          </w:rPr>
          <w:t>Will</w:t>
        </w:r>
      </w:hyperlink>
      <w:hyperlink r:id="rId41" w:history="1">
        <w:r>
          <w:rPr>
            <w:rFonts w:ascii="arial" w:eastAsia="arial" w:hAnsi="arial" w:cs="arial"/>
            <w:b w:val="0"/>
            <w:i/>
            <w:strike w:val="0"/>
            <w:noProof w:val="0"/>
            <w:color w:val="0077CC"/>
            <w:position w:val="0"/>
            <w:sz w:val="20"/>
            <w:u w:val="single"/>
            <w:vertAlign w:val="baseline"/>
          </w:rPr>
          <w:t>, 491 U.S. at 71</w:t>
        </w:r>
      </w:hyperlink>
      <w:r>
        <w:rPr>
          <w:rFonts w:ascii="arial" w:eastAsia="arial" w:hAnsi="arial" w:cs="arial"/>
          <w:b w:val="0"/>
          <w:i w:val="0"/>
          <w:strike w:val="0"/>
          <w:noProof w:val="0"/>
          <w:color w:val="000000"/>
          <w:position w:val="0"/>
          <w:sz w:val="20"/>
          <w:u w:val="none"/>
          <w:vertAlign w:val="baseline"/>
        </w:rPr>
        <w:t xml:space="preserve">; </w:t>
      </w:r>
      <w:bookmarkStart w:id="98" w:name="Bookmark_I68KBR632N1RKV0010000400"/>
      <w:bookmarkEnd w:id="98"/>
      <w:hyperlink r:id="rId44" w:history="1">
        <w:r>
          <w:rPr>
            <w:rFonts w:ascii="arial" w:eastAsia="arial" w:hAnsi="arial" w:cs="arial"/>
            <w:b w:val="0"/>
            <w:i/>
            <w:strike w:val="0"/>
            <w:noProof w:val="0"/>
            <w:color w:val="0077CC"/>
            <w:position w:val="0"/>
            <w:sz w:val="20"/>
            <w:u w:val="single"/>
            <w:vertAlign w:val="baseline"/>
          </w:rPr>
          <w:t>Matthews v. Jones</w:t>
        </w:r>
      </w:hyperlink>
      <w:hyperlink r:id="rId44" w:history="1">
        <w:r>
          <w:rPr>
            <w:rFonts w:ascii="arial" w:eastAsia="arial" w:hAnsi="arial" w:cs="arial"/>
            <w:b w:val="0"/>
            <w:i/>
            <w:strike w:val="0"/>
            <w:noProof w:val="0"/>
            <w:color w:val="0077CC"/>
            <w:position w:val="0"/>
            <w:sz w:val="20"/>
            <w:u w:val="single"/>
            <w:vertAlign w:val="baseline"/>
          </w:rPr>
          <w:t>, 35 F.3d 1046, 1049 (6th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14"/>
      <w:bookmarkEnd w:id="99"/>
      <w:r>
        <w:rPr>
          <w:rFonts w:ascii="arial" w:eastAsia="arial" w:hAnsi="arial" w:cs="arial"/>
          <w:b w:val="0"/>
          <w:i w:val="0"/>
          <w:strike w:val="0"/>
          <w:noProof w:val="0"/>
          <w:color w:val="000000"/>
          <w:position w:val="0"/>
          <w:sz w:val="20"/>
          <w:u w:val="none"/>
          <w:vertAlign w:val="baseline"/>
        </w:rPr>
        <w:t xml:space="preserve">As discussed above, the MDOC is absolutely immune from a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under the </w:t>
      </w:r>
      <w:hyperlink r:id="rId3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bookmarkStart w:id="100" w:name="Bookmark_I68KBR632N1RKV0040000400"/>
      <w:bookmarkEnd w:id="100"/>
      <w:r>
        <w:rPr>
          <w:rFonts w:ascii="arial" w:eastAsia="arial" w:hAnsi="arial" w:cs="arial"/>
          <w:b w:val="0"/>
          <w:i w:val="0"/>
          <w:strike w:val="0"/>
          <w:noProof w:val="0"/>
          <w:color w:val="000000"/>
          <w:position w:val="0"/>
          <w:sz w:val="20"/>
          <w:u w:val="none"/>
          <w:vertAlign w:val="baseline"/>
        </w:rPr>
        <w:t xml:space="preserve">Here, Plaintiff seeks monetary damages, as well as injunctive relief in the form of firing Defendants. Official capacity defendants, however, are absolutely immune from monetary damages. </w:t>
      </w:r>
      <w:r>
        <w:rPr>
          <w:rFonts w:ascii="arial" w:eastAsia="arial" w:hAnsi="arial" w:cs="arial"/>
          <w:b w:val="0"/>
          <w:i/>
          <w:strike w:val="0"/>
          <w:noProof w:val="0"/>
          <w:color w:val="000000"/>
          <w:position w:val="0"/>
          <w:sz w:val="20"/>
          <w:u w:val="none"/>
          <w:vertAlign w:val="baseline"/>
        </w:rPr>
        <w:t xml:space="preserve">See </w:t>
      </w:r>
      <w:bookmarkStart w:id="101" w:name="Bookmark_I68KBR632N1RKV0030000400"/>
      <w:bookmarkEnd w:id="101"/>
      <w:hyperlink r:id="rId41" w:history="1">
        <w:r>
          <w:rPr>
            <w:rFonts w:ascii="arial" w:eastAsia="arial" w:hAnsi="arial" w:cs="arial"/>
            <w:b w:val="0"/>
            <w:i/>
            <w:strike w:val="0"/>
            <w:noProof w:val="0"/>
            <w:color w:val="0077CC"/>
            <w:position w:val="0"/>
            <w:sz w:val="20"/>
            <w:u w:val="single"/>
            <w:vertAlign w:val="baseline"/>
          </w:rPr>
          <w:t>Will</w:t>
        </w:r>
      </w:hyperlink>
      <w:hyperlink r:id="rId41" w:history="1">
        <w:r>
          <w:rPr>
            <w:rFonts w:ascii="arial" w:eastAsia="arial" w:hAnsi="arial" w:cs="arial"/>
            <w:b w:val="0"/>
            <w:i/>
            <w:strike w:val="0"/>
            <w:noProof w:val="0"/>
            <w:color w:val="0077CC"/>
            <w:position w:val="0"/>
            <w:sz w:val="20"/>
            <w:u w:val="single"/>
            <w:vertAlign w:val="baseline"/>
          </w:rPr>
          <w:t>, 491 U.S. at 71</w:t>
        </w:r>
      </w:hyperlink>
      <w:r>
        <w:rPr>
          <w:rFonts w:ascii="arial" w:eastAsia="arial" w:hAnsi="arial" w:cs="arial"/>
          <w:b w:val="0"/>
          <w:i w:val="0"/>
          <w:strike w:val="0"/>
          <w:noProof w:val="0"/>
          <w:color w:val="000000"/>
          <w:position w:val="0"/>
          <w:sz w:val="20"/>
          <w:u w:val="none"/>
          <w:vertAlign w:val="baseline"/>
        </w:rPr>
        <w:t xml:space="preserve">; </w:t>
      </w:r>
      <w:bookmarkStart w:id="102" w:name="Bookmark_I68KBR632N1RKV0050000400"/>
      <w:bookmarkEnd w:id="102"/>
      <w:hyperlink r:id="rId45" w:history="1">
        <w:r>
          <w:rPr>
            <w:rFonts w:ascii="arial" w:eastAsia="arial" w:hAnsi="arial" w:cs="arial"/>
            <w:b w:val="0"/>
            <w:i/>
            <w:strike w:val="0"/>
            <w:noProof w:val="0"/>
            <w:color w:val="0077CC"/>
            <w:position w:val="0"/>
            <w:sz w:val="20"/>
            <w:u w:val="single"/>
            <w:vertAlign w:val="baseline"/>
          </w:rPr>
          <w:t>Turker v. Ohio Dep't of Rehab. &amp; Corr.</w:t>
        </w:r>
      </w:hyperlink>
      <w:hyperlink r:id="rId45" w:history="1">
        <w:r>
          <w:rPr>
            <w:rFonts w:ascii="arial" w:eastAsia="arial" w:hAnsi="arial" w:cs="arial"/>
            <w:b w:val="0"/>
            <w:i/>
            <w:strike w:val="0"/>
            <w:noProof w:val="0"/>
            <w:color w:val="0077CC"/>
            <w:position w:val="0"/>
            <w:sz w:val="20"/>
            <w:u w:val="single"/>
            <w:vertAlign w:val="baseline"/>
          </w:rPr>
          <w:t>, 157 F.3d 453, 456 (6th Cir. 1998)</w:t>
        </w:r>
      </w:hyperlink>
      <w:r>
        <w:rPr>
          <w:rFonts w:ascii="arial" w:eastAsia="arial" w:hAnsi="arial" w:cs="arial"/>
          <w:b w:val="0"/>
          <w:i w:val="0"/>
          <w:strike w:val="0"/>
          <w:noProof w:val="0"/>
          <w:color w:val="000000"/>
          <w:position w:val="0"/>
          <w:sz w:val="20"/>
          <w:u w:val="none"/>
          <w:vertAlign w:val="baseline"/>
        </w:rPr>
        <w:t>. The Court, therefore, will dismiss Plaintiff's claims for monetary damages against Defendants Braman and Van Harn in their official capacities.</w:t>
      </w:r>
    </w:p>
    <w:p>
      <w:pPr>
        <w:keepNext w:val="0"/>
        <w:spacing w:before="240" w:after="0" w:line="260" w:lineRule="atLeast"/>
        <w:ind w:left="0" w:right="0" w:firstLine="0"/>
        <w:jc w:val="both"/>
      </w:pPr>
      <w:bookmarkStart w:id="103" w:name="Bookmark_para_15"/>
      <w:bookmarkEnd w:id="103"/>
      <w:bookmarkStart w:id="104" w:name="Bookmark_I68KBR632HM6RX0030000400"/>
      <w:bookmarkEnd w:id="104"/>
      <w:bookmarkStart w:id="105" w:name="Bookmark_I68KBR632HM6RX0050000400"/>
      <w:bookmarkEnd w:id="105"/>
      <w:r>
        <w:rPr>
          <w:rFonts w:ascii="arial" w:eastAsia="arial" w:hAnsi="arial" w:cs="arial"/>
          <w:b w:val="0"/>
          <w:i w:val="0"/>
          <w:strike w:val="0"/>
          <w:noProof w:val="0"/>
          <w:color w:val="000000"/>
          <w:position w:val="0"/>
          <w:sz w:val="20"/>
          <w:u w:val="none"/>
          <w:vertAlign w:val="baseline"/>
        </w:rPr>
        <w:t xml:space="preserve">Although damages claims against an official capacity defendant are properly dismissed on grounds of immunity, an official capacity action seeking injunctive or declaratory relief may constitute an exception to sovereign immunity. </w:t>
      </w:r>
      <w:r>
        <w:rPr>
          <w:rFonts w:ascii="arial" w:eastAsia="arial" w:hAnsi="arial" w:cs="arial"/>
          <w:b w:val="0"/>
          <w:i/>
          <w:strike w:val="0"/>
          <w:noProof w:val="0"/>
          <w:color w:val="000000"/>
          <w:position w:val="0"/>
          <w:sz w:val="20"/>
          <w:u w:val="none"/>
          <w:vertAlign w:val="baseline"/>
        </w:rPr>
        <w:t xml:space="preserve">See </w:t>
      </w:r>
      <w:bookmarkStart w:id="106" w:name="Bookmark_I68KBR632HM6RX0020000400"/>
      <w:bookmarkEnd w:id="106"/>
      <w:hyperlink r:id="rId46" w:history="1">
        <w:r>
          <w:rPr>
            <w:rFonts w:ascii="arial" w:eastAsia="arial" w:hAnsi="arial" w:cs="arial"/>
            <w:b w:val="0"/>
            <w:i/>
            <w:strike w:val="0"/>
            <w:noProof w:val="0"/>
            <w:color w:val="0077CC"/>
            <w:position w:val="0"/>
            <w:sz w:val="20"/>
            <w:u w:val="single"/>
            <w:vertAlign w:val="baseline"/>
          </w:rPr>
          <w:t>Ex Parte Young</w:t>
        </w:r>
      </w:hyperlink>
      <w:hyperlink r:id="rId46" w:history="1">
        <w:r>
          <w:rPr>
            <w:rFonts w:ascii="arial" w:eastAsia="arial" w:hAnsi="arial" w:cs="arial"/>
            <w:b w:val="0"/>
            <w:i/>
            <w:strike w:val="0"/>
            <w:noProof w:val="0"/>
            <w:color w:val="0077CC"/>
            <w:position w:val="0"/>
            <w:sz w:val="20"/>
            <w:u w:val="single"/>
            <w:vertAlign w:val="baseline"/>
          </w:rPr>
          <w:t>, 209 U.S. 123, 159-60, 28 S. Ct. 441, 52 L. Ed. 714 (1908)</w:t>
        </w:r>
      </w:hyperlink>
      <w:r>
        <w:rPr>
          <w:rFonts w:ascii="arial" w:eastAsia="arial" w:hAnsi="arial" w:cs="arial"/>
          <w:b w:val="0"/>
          <w:i w:val="0"/>
          <w:strike w:val="0"/>
          <w:noProof w:val="0"/>
          <w:color w:val="000000"/>
          <w:position w:val="0"/>
          <w:sz w:val="20"/>
          <w:u w:val="none"/>
          <w:vertAlign w:val="baseline"/>
        </w:rPr>
        <w:t xml:space="preserve"> (holding that the </w:t>
      </w:r>
      <w:hyperlink r:id="rId3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does not bar prospective injunctive relief against a state official). However, the Supreme Court has cautioned that,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can only be used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avoid a state's sovereign immunity when a 'complaint alleges an ongoing violation of federal law and seeks relief properly characterized as prospective.'" </w:t>
      </w:r>
      <w:bookmarkStart w:id="107" w:name="Bookmark_I68KBR632HM6RX0040000400"/>
      <w:bookmarkEnd w:id="107"/>
      <w:hyperlink r:id="rId47" w:history="1">
        <w:r>
          <w:rPr>
            <w:rFonts w:ascii="arial" w:eastAsia="arial" w:hAnsi="arial" w:cs="arial"/>
            <w:b w:val="0"/>
            <w:i/>
            <w:strike w:val="0"/>
            <w:noProof w:val="0"/>
            <w:color w:val="0077CC"/>
            <w:position w:val="0"/>
            <w:sz w:val="20"/>
            <w:u w:val="single"/>
            <w:vertAlign w:val="baseline"/>
          </w:rPr>
          <w:t>Ladd v. Marchbanks</w:t>
        </w:r>
      </w:hyperlink>
      <w:hyperlink r:id="rId47" w:history="1">
        <w:r>
          <w:rPr>
            <w:rFonts w:ascii="arial" w:eastAsia="arial" w:hAnsi="arial" w:cs="arial"/>
            <w:b w:val="0"/>
            <w:i/>
            <w:strike w:val="0"/>
            <w:noProof w:val="0"/>
            <w:color w:val="0077CC"/>
            <w:position w:val="0"/>
            <w:sz w:val="20"/>
            <w:u w:val="single"/>
            <w:vertAlign w:val="baseline"/>
          </w:rPr>
          <w:t>, 971 F.3d 574, 581 (6th Cir. 2020)</w:t>
        </w:r>
      </w:hyperlink>
      <w:r>
        <w:rPr>
          <w:rFonts w:ascii="arial" w:eastAsia="arial" w:hAnsi="arial" w:cs="arial"/>
          <w:b w:val="0"/>
          <w:i w:val="0"/>
          <w:strike w:val="0"/>
          <w:noProof w:val="0"/>
          <w:color w:val="000000"/>
          <w:position w:val="0"/>
          <w:sz w:val="20"/>
          <w:u w:val="none"/>
          <w:vertAlign w:val="baseline"/>
        </w:rPr>
        <w:t xml:space="preserve"> (quoting </w:t>
      </w:r>
      <w:bookmarkStart w:id="108" w:name="Bookmark_I68KBR6428T49D0010000400"/>
      <w:bookmarkEnd w:id="108"/>
      <w:hyperlink r:id="rId48" w:history="1">
        <w:r>
          <w:rPr>
            <w:rFonts w:ascii="arial" w:eastAsia="arial" w:hAnsi="arial" w:cs="arial"/>
            <w:b w:val="0"/>
            <w:i/>
            <w:strike w:val="0"/>
            <w:noProof w:val="0"/>
            <w:color w:val="0077CC"/>
            <w:position w:val="0"/>
            <w:sz w:val="20"/>
            <w:u w:val="single"/>
            <w:vertAlign w:val="baseline"/>
          </w:rPr>
          <w:t>Verizon Md. v. Pub. Serv. Comm'n of Md.</w:t>
        </w:r>
      </w:hyperlink>
      <w:hyperlink r:id="rId48" w:history="1">
        <w:r>
          <w:rPr>
            <w:rFonts w:ascii="arial" w:eastAsia="arial" w:hAnsi="arial" w:cs="arial"/>
            <w:b w:val="0"/>
            <w:i/>
            <w:strike w:val="0"/>
            <w:noProof w:val="0"/>
            <w:color w:val="0077CC"/>
            <w:position w:val="0"/>
            <w:sz w:val="20"/>
            <w:u w:val="single"/>
            <w:vertAlign w:val="baseline"/>
          </w:rPr>
          <w:t>, 535 U.S. 635, 645, 122 S. Ct. 1753, 152 L. Ed. 2d 871 (2002)</w:t>
        </w:r>
      </w:hyperlink>
      <w:r>
        <w:rPr>
          <w:rFonts w:ascii="arial" w:eastAsia="arial" w:hAnsi="arial" w:cs="arial"/>
          <w:b w:val="0"/>
          <w:i w:val="0"/>
          <w:strike w:val="0"/>
          <w:noProof w:val="0"/>
          <w:color w:val="000000"/>
          <w:position w:val="0"/>
          <w:sz w:val="20"/>
          <w:u w:val="none"/>
          <w:vertAlign w:val="baseline"/>
        </w:rPr>
        <w:t>). Here, Plaintiff is no longer confined at MTU, which is where he avers that Defendants Braman and Van Harn are employed and where the harm allegedly occurred.</w:t>
      </w:r>
    </w:p>
    <w:p>
      <w:pPr>
        <w:keepNext w:val="0"/>
        <w:spacing w:before="240" w:after="0" w:line="260" w:lineRule="atLeast"/>
        <w:ind w:left="0" w:right="0" w:firstLine="0"/>
        <w:jc w:val="both"/>
      </w:pPr>
      <w:bookmarkStart w:id="109" w:name="Bookmark_para_16"/>
      <w:bookmarkEnd w:id="109"/>
      <w:bookmarkStart w:id="110" w:name="Bookmark_I68KBR6428T49D0040000400"/>
      <w:bookmarkEnd w:id="110"/>
      <w:r>
        <w:rPr>
          <w:rFonts w:ascii="arial" w:eastAsia="arial" w:hAnsi="arial" w:cs="arial"/>
          <w:b w:val="0"/>
          <w:i w:val="0"/>
          <w:strike w:val="0"/>
          <w:noProof w:val="0"/>
          <w:color w:val="000000"/>
          <w:position w:val="0"/>
          <w:sz w:val="20"/>
          <w:u w:val="none"/>
          <w:vertAlign w:val="baseline"/>
        </w:rPr>
        <w:t xml:space="preserve">The Sixth Circuit has held that transfer to another correctional facility moots a prisoner's claims for declaratory and injunctive relief. </w:t>
      </w:r>
      <w:bookmarkStart w:id="111" w:name="Bookmark_I68KBR652D6NT20020000400"/>
      <w:bookmarkEnd w:id="111"/>
      <w:r>
        <w:rPr>
          <w:rFonts w:ascii="arial" w:eastAsia="arial" w:hAnsi="arial" w:cs="arial"/>
          <w:b w:val="0"/>
          <w:i/>
          <w:strike w:val="0"/>
          <w:noProof w:val="0"/>
          <w:color w:val="000000"/>
          <w:position w:val="0"/>
          <w:sz w:val="20"/>
          <w:u w:val="none"/>
          <w:vertAlign w:val="baseline"/>
        </w:rPr>
        <w:t xml:space="preserve">See </w:t>
      </w:r>
      <w:bookmarkStart w:id="112" w:name="Bookmark_I68KBR6428T49D0030000400"/>
      <w:bookmarkEnd w:id="112"/>
      <w:hyperlink r:id="rId49" w:history="1">
        <w:r>
          <w:rPr>
            <w:rFonts w:ascii="arial" w:eastAsia="arial" w:hAnsi="arial" w:cs="arial"/>
            <w:b w:val="0"/>
            <w:i/>
            <w:strike w:val="0"/>
            <w:noProof w:val="0"/>
            <w:color w:val="0077CC"/>
            <w:position w:val="0"/>
            <w:sz w:val="20"/>
            <w:u w:val="single"/>
            <w:vertAlign w:val="baseline"/>
          </w:rPr>
          <w:t>Kensu v. Haigh</w:t>
        </w:r>
      </w:hyperlink>
      <w:hyperlink r:id="rId49" w:history="1">
        <w:r>
          <w:rPr>
            <w:rFonts w:ascii="arial" w:eastAsia="arial" w:hAnsi="arial" w:cs="arial"/>
            <w:b w:val="0"/>
            <w:i/>
            <w:strike w:val="0"/>
            <w:noProof w:val="0"/>
            <w:color w:val="0077CC"/>
            <w:position w:val="0"/>
            <w:sz w:val="20"/>
            <w:u w:val="single"/>
            <w:vertAlign w:val="baseline"/>
          </w:rPr>
          <w:t>, 87 F.3d 172, 175 (6th Cir. 1996)</w:t>
        </w:r>
      </w:hyperlink>
      <w:r>
        <w:rPr>
          <w:rFonts w:ascii="arial" w:eastAsia="arial" w:hAnsi="arial" w:cs="arial"/>
          <w:b w:val="0"/>
          <w:i w:val="0"/>
          <w:strike w:val="0"/>
          <w:noProof w:val="0"/>
          <w:color w:val="000000"/>
          <w:position w:val="0"/>
          <w:sz w:val="20"/>
          <w:u w:val="none"/>
          <w:vertAlign w:val="baseline"/>
        </w:rPr>
        <w:t xml:space="preserve"> (holding that a prisoner-plaintiff's claims for injunctive and declaratory relief became moot when the prisoner was transferred from the prison about which he complained); </w:t>
      </w:r>
      <w:bookmarkStart w:id="113" w:name="Bookmark_I68KBR6428T49D0050000400"/>
      <w:bookmarkEnd w:id="113"/>
      <w:hyperlink r:id="rId50" w:history="1">
        <w:r>
          <w:rPr>
            <w:rFonts w:ascii="arial" w:eastAsia="arial" w:hAnsi="arial" w:cs="arial"/>
            <w:b w:val="0"/>
            <w:i/>
            <w:strike w:val="0"/>
            <w:noProof w:val="0"/>
            <w:color w:val="0077CC"/>
            <w:position w:val="0"/>
            <w:sz w:val="20"/>
            <w:u w:val="single"/>
            <w:vertAlign w:val="baseline"/>
          </w:rPr>
          <w:t>Mowatt v. Brown</w:t>
        </w:r>
      </w:hyperlink>
      <w:hyperlink r:id="rId50" w:history="1">
        <w:r>
          <w:rPr>
            <w:rFonts w:ascii="arial" w:eastAsia="arial" w:hAnsi="arial" w:cs="arial"/>
            <w:b w:val="0"/>
            <w:i/>
            <w:strike w:val="0"/>
            <w:noProof w:val="0"/>
            <w:color w:val="0077CC"/>
            <w:position w:val="0"/>
            <w:sz w:val="20"/>
            <w:u w:val="single"/>
            <w:vertAlign w:val="baseline"/>
          </w:rPr>
          <w:t>, 902 F.2d 34, 1990 U.S. App. LEXIS 7697, 1990 WL 59896 (6th Cir. 1990)</w:t>
        </w:r>
      </w:hyperlink>
      <w:r>
        <w:rPr>
          <w:rFonts w:ascii="arial" w:eastAsia="arial" w:hAnsi="arial" w:cs="arial"/>
          <w:b w:val="0"/>
          <w:i w:val="0"/>
          <w:strike w:val="0"/>
          <w:noProof w:val="0"/>
          <w:color w:val="000000"/>
          <w:position w:val="0"/>
          <w:sz w:val="20"/>
          <w:u w:val="none"/>
          <w:vertAlign w:val="baseline"/>
        </w:rPr>
        <w:t xml:space="preserve">; </w:t>
      </w:r>
      <w:bookmarkStart w:id="114" w:name="Bookmark_I68KBR642N1RM20020000400"/>
      <w:bookmarkEnd w:id="114"/>
      <w:hyperlink r:id="rId51" w:history="1">
        <w:r>
          <w:rPr>
            <w:rFonts w:ascii="arial" w:eastAsia="arial" w:hAnsi="arial" w:cs="arial"/>
            <w:b w:val="0"/>
            <w:i/>
            <w:strike w:val="0"/>
            <w:noProof w:val="0"/>
            <w:color w:val="0077CC"/>
            <w:position w:val="0"/>
            <w:sz w:val="20"/>
            <w:u w:val="single"/>
            <w:vertAlign w:val="baseline"/>
          </w:rPr>
          <w:t>Tate v. Brown</w:t>
        </w:r>
      </w:hyperlink>
      <w:hyperlink r:id="rId51" w:history="1">
        <w:r>
          <w:rPr>
            <w:rFonts w:ascii="arial" w:eastAsia="arial" w:hAnsi="arial" w:cs="arial"/>
            <w:b w:val="0"/>
            <w:i/>
            <w:strike w:val="0"/>
            <w:noProof w:val="0"/>
            <w:color w:val="0077CC"/>
            <w:position w:val="0"/>
            <w:sz w:val="20"/>
            <w:u w:val="single"/>
            <w:vertAlign w:val="baseline"/>
          </w:rPr>
          <w:t>, 902 F.2d 35, 1990 U.S. App. LEXIS 7221, 1990 WL 58403 (6th Cir. 1990)</w:t>
        </w:r>
      </w:hyperlink>
      <w:r>
        <w:rPr>
          <w:rFonts w:ascii="arial" w:eastAsia="arial" w:hAnsi="arial" w:cs="arial"/>
          <w:b w:val="0"/>
          <w:i w:val="0"/>
          <w:strike w:val="0"/>
          <w:noProof w:val="0"/>
          <w:color w:val="000000"/>
          <w:position w:val="0"/>
          <w:sz w:val="20"/>
          <w:u w:val="none"/>
          <w:vertAlign w:val="baseline"/>
        </w:rPr>
        <w:t xml:space="preserve">; </w:t>
      </w:r>
      <w:bookmarkStart w:id="115" w:name="Bookmark_I68KBR642N1RM20040000400"/>
      <w:bookmarkEnd w:id="115"/>
      <w:hyperlink r:id="rId52" w:history="1">
        <w:r>
          <w:rPr>
            <w:rFonts w:ascii="arial" w:eastAsia="arial" w:hAnsi="arial" w:cs="arial"/>
            <w:b w:val="0"/>
            <w:i/>
            <w:strike w:val="0"/>
            <w:noProof w:val="0"/>
            <w:color w:val="0077CC"/>
            <w:position w:val="0"/>
            <w:sz w:val="20"/>
            <w:u w:val="single"/>
            <w:vertAlign w:val="baseline"/>
          </w:rPr>
          <w:t>Williams v. Ellington</w:t>
        </w:r>
      </w:hyperlink>
      <w:hyperlink r:id="rId52" w:history="1">
        <w:r>
          <w:rPr>
            <w:rFonts w:ascii="arial" w:eastAsia="arial" w:hAnsi="arial" w:cs="arial"/>
            <w:b w:val="0"/>
            <w:i/>
            <w:strike w:val="0"/>
            <w:noProof w:val="0"/>
            <w:color w:val="0077CC"/>
            <w:position w:val="0"/>
            <w:sz w:val="20"/>
            <w:u w:val="single"/>
            <w:vertAlign w:val="baseline"/>
          </w:rPr>
          <w:t>, 936 F.2d 881 (6th Cir. 1991)</w:t>
        </w:r>
      </w:hyperlink>
      <w:r>
        <w:rPr>
          <w:rFonts w:ascii="arial" w:eastAsia="arial" w:hAnsi="arial" w:cs="arial"/>
          <w:b w:val="0"/>
          <w:i w:val="0"/>
          <w:strike w:val="0"/>
          <w:noProof w:val="0"/>
          <w:color w:val="000000"/>
          <w:position w:val="0"/>
          <w:sz w:val="20"/>
          <w:u w:val="none"/>
          <w:vertAlign w:val="baseline"/>
        </w:rPr>
        <w:t xml:space="preserve">. Underlying this rule is the premise that such relief is appropriate only where plaintiff can show a reasonable expectation or demonstrated probability that he is in immediate danger of sustaining direct future injury as the </w:t>
      </w:r>
      <w:r>
        <w:rPr>
          <w:rFonts w:ascii="arial" w:eastAsia="arial" w:hAnsi="arial" w:cs="arial"/>
          <w:b w:val="0"/>
          <w:i/>
          <w:strike w:val="0"/>
          <w:noProof w:val="0"/>
          <w:color w:val="000000"/>
          <w:position w:val="0"/>
          <w:sz w:val="20"/>
          <w:u w:val="none"/>
          <w:vertAlign w:val="baseline"/>
        </w:rPr>
        <w:t>result</w:t>
      </w:r>
      <w:r>
        <w:rPr>
          <w:rFonts w:ascii="arial" w:eastAsia="arial" w:hAnsi="arial" w:cs="arial"/>
          <w:b w:val="0"/>
          <w:i w:val="0"/>
          <w:strike w:val="0"/>
          <w:noProof w:val="0"/>
          <w:color w:val="000000"/>
          <w:position w:val="0"/>
          <w:sz w:val="20"/>
          <w:u w:val="none"/>
          <w:vertAlign w:val="baseline"/>
        </w:rPr>
        <w:t xml:space="preserve"> of the challenged official conduct. </w:t>
      </w:r>
      <w:bookmarkStart w:id="116" w:name="Bookmark_I68KBR652D6NT20020000400_2"/>
      <w:bookmarkEnd w:id="116"/>
      <w:bookmarkStart w:id="117" w:name="Bookmark_I68KBR652D6NT20040000400"/>
      <w:bookmarkEnd w:id="117"/>
      <w:bookmarkStart w:id="118" w:name="Bookmark_I68KBR652D6NT20010000400"/>
      <w:bookmarkEnd w:id="118"/>
      <w:hyperlink r:id="rId53" w:history="1">
        <w:r>
          <w:rPr>
            <w:rFonts w:ascii="arial" w:eastAsia="arial" w:hAnsi="arial" w:cs="arial"/>
            <w:b w:val="0"/>
            <w:i/>
            <w:strike w:val="0"/>
            <w:noProof w:val="0"/>
            <w:color w:val="0077CC"/>
            <w:position w:val="0"/>
            <w:sz w:val="20"/>
            <w:u w:val="single"/>
            <w:vertAlign w:val="baseline"/>
          </w:rPr>
          <w:t>Los Angeles v. Lyons</w:t>
        </w:r>
      </w:hyperlink>
      <w:hyperlink r:id="rId53" w:history="1">
        <w:r>
          <w:rPr>
            <w:rFonts w:ascii="arial" w:eastAsia="arial" w:hAnsi="arial" w:cs="arial"/>
            <w:b w:val="0"/>
            <w:i/>
            <w:strike w:val="0"/>
            <w:noProof w:val="0"/>
            <w:color w:val="0077CC"/>
            <w:position w:val="0"/>
            <w:sz w:val="20"/>
            <w:u w:val="single"/>
            <w:vertAlign w:val="baseline"/>
          </w:rPr>
          <w:t>, 461 U.S. 95, 102, 103 S. Ct. 1660, 75 L. Ed. 2d 675 (1983)</w:t>
        </w:r>
      </w:hyperlink>
      <w:r>
        <w:rPr>
          <w:rFonts w:ascii="arial" w:eastAsia="arial" w:hAnsi="arial" w:cs="arial"/>
          <w:b w:val="0"/>
          <w:i w:val="0"/>
          <w:strike w:val="0"/>
          <w:noProof w:val="0"/>
          <w:color w:val="000000"/>
          <w:position w:val="0"/>
          <w:sz w:val="20"/>
          <w:u w:val="none"/>
          <w:vertAlign w:val="baseline"/>
        </w:rPr>
        <w:t xml:space="preserve">. </w:t>
      </w:r>
      <w:bookmarkStart w:id="119" w:name="Bookmark_I68KBR652D6NT20040000400_2"/>
      <w:bookmarkEnd w:id="119"/>
      <w:r>
        <w:rPr>
          <w:rFonts w:ascii="arial" w:eastAsia="arial" w:hAnsi="arial" w:cs="arial"/>
          <w:b w:val="0"/>
          <w:i w:val="0"/>
          <w:strike w:val="0"/>
          <w:noProof w:val="0"/>
          <w:color w:val="000000"/>
          <w:position w:val="0"/>
          <w:sz w:val="20"/>
          <w:u w:val="none"/>
          <w:vertAlign w:val="baseline"/>
        </w:rPr>
        <w:t xml:space="preserve">Past exposure to an isolated incident of illegal conduct does not, by itself, sufficiently prove that the plaintiff will be subjected to the illegal conduct again.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w:t>
      </w:r>
      <w:bookmarkStart w:id="120" w:name="Bookmark_I68KBR652D6NT20030000400"/>
      <w:bookmarkEnd w:id="120"/>
      <w:hyperlink r:id="rId54" w:history="1">
        <w:r>
          <w:rPr>
            <w:rFonts w:ascii="arial" w:eastAsia="arial" w:hAnsi="arial" w:cs="arial"/>
            <w:b w:val="0"/>
            <w:i/>
            <w:strike w:val="0"/>
            <w:noProof w:val="0"/>
            <w:color w:val="0077CC"/>
            <w:position w:val="0"/>
            <w:sz w:val="20"/>
            <w:u w:val="single"/>
            <w:vertAlign w:val="baseline"/>
          </w:rPr>
          <w:t>Alvarez v. City of Chicago</w:t>
        </w:r>
      </w:hyperlink>
      <w:hyperlink r:id="rId54" w:history="1">
        <w:r>
          <w:rPr>
            <w:rFonts w:ascii="arial" w:eastAsia="arial" w:hAnsi="arial" w:cs="arial"/>
            <w:b w:val="0"/>
            <w:i/>
            <w:strike w:val="0"/>
            <w:noProof w:val="0"/>
            <w:color w:val="0077CC"/>
            <w:position w:val="0"/>
            <w:sz w:val="20"/>
            <w:u w:val="single"/>
            <w:vertAlign w:val="baseline"/>
          </w:rPr>
          <w:t>, 649 F. Supp. 43 (N.D. Ill. 1986)</w:t>
        </w:r>
      </w:hyperlink>
      <w:r>
        <w:rPr>
          <w:rFonts w:ascii="arial" w:eastAsia="arial" w:hAnsi="arial" w:cs="arial"/>
          <w:b w:val="0"/>
          <w:i w:val="0"/>
          <w:strike w:val="0"/>
          <w:noProof w:val="0"/>
          <w:color w:val="000000"/>
          <w:position w:val="0"/>
          <w:sz w:val="20"/>
          <w:u w:val="none"/>
          <w:vertAlign w:val="baseline"/>
        </w:rPr>
        <w:t xml:space="preserve">; </w:t>
      </w:r>
      <w:bookmarkStart w:id="121" w:name="Bookmark_I68KBR652D6NT20050000400"/>
      <w:bookmarkEnd w:id="121"/>
      <w:hyperlink r:id="rId55" w:history="1">
        <w:r>
          <w:rPr>
            <w:rFonts w:ascii="arial" w:eastAsia="arial" w:hAnsi="arial" w:cs="arial"/>
            <w:b w:val="0"/>
            <w:i/>
            <w:strike w:val="0"/>
            <w:noProof w:val="0"/>
            <w:color w:val="0077CC"/>
            <w:position w:val="0"/>
            <w:sz w:val="20"/>
            <w:u w:val="single"/>
            <w:vertAlign w:val="baseline"/>
          </w:rPr>
          <w:t>Bruscino v. Carlson</w:t>
        </w:r>
      </w:hyperlink>
      <w:hyperlink r:id="rId55" w:history="1">
        <w:r>
          <w:rPr>
            <w:rFonts w:ascii="arial" w:eastAsia="arial" w:hAnsi="arial" w:cs="arial"/>
            <w:b w:val="0"/>
            <w:i/>
            <w:strike w:val="0"/>
            <w:noProof w:val="0"/>
            <w:color w:val="0077CC"/>
            <w:position w:val="0"/>
            <w:sz w:val="20"/>
            <w:u w:val="single"/>
            <w:vertAlign w:val="baseline"/>
          </w:rPr>
          <w:t>, 654 F. Supp. 609, 614, 618 (S.D. Ill.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854 F.2d 162 (7th Cir. 1988)</w:t>
        </w:r>
      </w:hyperlink>
      <w:r>
        <w:rPr>
          <w:rFonts w:ascii="arial" w:eastAsia="arial" w:hAnsi="arial" w:cs="arial"/>
          <w:b w:val="0"/>
          <w:i w:val="0"/>
          <w:strike w:val="0"/>
          <w:noProof w:val="0"/>
          <w:color w:val="000000"/>
          <w:position w:val="0"/>
          <w:sz w:val="20"/>
          <w:u w:val="none"/>
          <w:vertAlign w:val="baseline"/>
        </w:rPr>
        <w:t xml:space="preserve">; </w:t>
      </w:r>
      <w:bookmarkStart w:id="122" w:name="Bookmark_I68KBR6528T49R0020000400"/>
      <w:bookmarkEnd w:id="122"/>
      <w:hyperlink r:id="rId57" w:history="1">
        <w:r>
          <w:rPr>
            <w:rFonts w:ascii="arial" w:eastAsia="arial" w:hAnsi="arial" w:cs="arial"/>
            <w:b w:val="0"/>
            <w:i/>
            <w:strike w:val="0"/>
            <w:noProof w:val="0"/>
            <w:color w:val="0077CC"/>
            <w:position w:val="0"/>
            <w:sz w:val="20"/>
            <w:u w:val="single"/>
            <w:vertAlign w:val="baseline"/>
          </w:rPr>
          <w:t>O'Shea v. Littleton</w:t>
        </w:r>
      </w:hyperlink>
      <w:hyperlink r:id="rId57" w:history="1">
        <w:r>
          <w:rPr>
            <w:rFonts w:ascii="arial" w:eastAsia="arial" w:hAnsi="arial" w:cs="arial"/>
            <w:b w:val="0"/>
            <w:i/>
            <w:strike w:val="0"/>
            <w:noProof w:val="0"/>
            <w:color w:val="0077CC"/>
            <w:position w:val="0"/>
            <w:sz w:val="20"/>
            <w:u w:val="single"/>
            <w:vertAlign w:val="baseline"/>
          </w:rPr>
          <w:t>, 414 U.S. 488, 495-96, 94 S. Ct. 669, 38 L. Ed. 2d 674 (1974)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17"/>
      <w:bookmarkEnd w:id="123"/>
      <w:bookmarkStart w:id="124" w:name="Bookmark_I68KBR6528T49R0050000400"/>
      <w:bookmarkEnd w:id="124"/>
      <w:r>
        <w:rPr>
          <w:rFonts w:ascii="arial" w:eastAsia="arial" w:hAnsi="arial" w:cs="arial"/>
          <w:b w:val="0"/>
          <w:i w:val="0"/>
          <w:strike w:val="0"/>
          <w:noProof w:val="0"/>
          <w:color w:val="000000"/>
          <w:position w:val="0"/>
          <w:sz w:val="20"/>
          <w:u w:val="none"/>
          <w:vertAlign w:val="baseline"/>
        </w:rPr>
        <w:t>Plaintiff is now incarcerated at JCF and has not alleged facts that show that Plaintiff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will be subjected to further future conduct by Defendants Braman and Van Harn. Instead, Plaintiff's complaint concerns events that allegedly took place two years ago, in 2021. Therefore, Plaintiff does not seek relief properly characterized as prospective. See </w:t>
      </w:r>
      <w:bookmarkStart w:id="125" w:name="Bookmark_I68KBR6528T49R0040000400"/>
      <w:bookmarkEnd w:id="125"/>
      <w:hyperlink r:id="rId47" w:history="1">
        <w:r>
          <w:rPr>
            <w:rFonts w:ascii="arial" w:eastAsia="arial" w:hAnsi="arial" w:cs="arial"/>
            <w:b w:val="0"/>
            <w:i/>
            <w:strike w:val="0"/>
            <w:noProof w:val="0"/>
            <w:color w:val="0077CC"/>
            <w:position w:val="0"/>
            <w:sz w:val="20"/>
            <w:u w:val="single"/>
            <w:vertAlign w:val="baseline"/>
          </w:rPr>
          <w:t>Ladd</w:t>
        </w:r>
      </w:hyperlink>
      <w:hyperlink r:id="rId47" w:history="1">
        <w:r>
          <w:rPr>
            <w:rFonts w:ascii="arial" w:eastAsia="arial" w:hAnsi="arial" w:cs="arial"/>
            <w:b w:val="0"/>
            <w:i/>
            <w:strike w:val="0"/>
            <w:noProof w:val="0"/>
            <w:color w:val="0077CC"/>
            <w:position w:val="0"/>
            <w:sz w:val="20"/>
            <w:u w:val="single"/>
            <w:vertAlign w:val="baseline"/>
          </w:rPr>
          <w:t>, 971 F.3d at 581</w:t>
        </w:r>
      </w:hyperlink>
      <w:r>
        <w:rPr>
          <w:rFonts w:ascii="arial" w:eastAsia="arial" w:hAnsi="arial" w:cs="arial"/>
          <w:b w:val="0"/>
          <w:i w:val="0"/>
          <w:strike w:val="0"/>
          <w:noProof w:val="0"/>
          <w:color w:val="000000"/>
          <w:position w:val="0"/>
          <w:sz w:val="20"/>
          <w:u w:val="none"/>
          <w:vertAlign w:val="baseline"/>
        </w:rPr>
        <w:t>. Accordingly, the Court will dismiss Plaintiff's official capacity claims in their entirety. Moreover, because Plaintiff cannot maintain suit against the MDOC, and because he has sued Defendants Braman and Van Harn in their official capacities only, his entire complaint is subject to dismissal for the reasons set forth above.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126" w:name="Bookmark_para_18"/>
      <w:bookmarkEnd w:id="126"/>
      <w:r>
        <w:rPr>
          <w:rFonts w:ascii="arial" w:eastAsia="arial" w:hAnsi="arial" w:cs="arial"/>
          <w:b w:val="0"/>
          <w:i w:val="0"/>
          <w:strike w:val="0"/>
          <w:noProof w:val="0"/>
          <w:color w:val="000000"/>
          <w:position w:val="0"/>
          <w:sz w:val="20"/>
          <w:u w:val="none"/>
          <w:vertAlign w:val="baseline"/>
        </w:rPr>
        <w:t xml:space="preserve">Having conducted the review required by the Prison Litigation Reform Act, the Court determines that Plaintiff's complaint will be dismissed on grounds of immunity and for failure to state a claim, under </w:t>
      </w:r>
      <w:hyperlink r:id="rId19"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19"/>
      <w:bookmarkEnd w:id="127"/>
      <w:bookmarkStart w:id="128" w:name="Bookmark_I68KBR652N1RMC0020000400"/>
      <w:bookmarkEnd w:id="128"/>
      <w:r>
        <w:rPr>
          <w:rFonts w:ascii="arial" w:eastAsia="arial" w:hAnsi="arial" w:cs="arial"/>
          <w:b w:val="0"/>
          <w:i w:val="0"/>
          <w:strike w:val="0"/>
          <w:noProof w:val="0"/>
          <w:color w:val="000000"/>
          <w:position w:val="0"/>
          <w:sz w:val="20"/>
          <w:u w:val="none"/>
          <w:vertAlign w:val="baseline"/>
        </w:rPr>
        <w:t xml:space="preserve">The Court must next decide whether an appeal of this action would be in good faith within the meaning of </w:t>
      </w:r>
      <w:hyperlink r:id="rId19"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w:t>
      </w:r>
      <w:bookmarkStart w:id="129" w:name="Bookmark_I68KBR652N1RMC0040000400"/>
      <w:bookmarkEnd w:id="129"/>
      <w:r>
        <w:rPr>
          <w:rFonts w:ascii="arial" w:eastAsia="arial" w:hAnsi="arial" w:cs="arial"/>
          <w:b w:val="0"/>
          <w:i/>
          <w:strike w:val="0"/>
          <w:noProof w:val="0"/>
          <w:color w:val="000000"/>
          <w:position w:val="0"/>
          <w:sz w:val="20"/>
          <w:u w:val="none"/>
          <w:vertAlign w:val="baseline"/>
        </w:rPr>
        <w:t xml:space="preserve">See </w:t>
      </w:r>
      <w:bookmarkStart w:id="130" w:name="Bookmark_I68KBR652N1RMC0010000400"/>
      <w:bookmarkEnd w:id="130"/>
      <w:hyperlink r:id="rId16" w:history="1">
        <w:r>
          <w:rPr>
            <w:rFonts w:ascii="arial" w:eastAsia="arial" w:hAnsi="arial" w:cs="arial"/>
            <w:b w:val="0"/>
            <w:i/>
            <w:strike w:val="0"/>
            <w:noProof w:val="0"/>
            <w:color w:val="0077CC"/>
            <w:position w:val="0"/>
            <w:sz w:val="20"/>
            <w:u w:val="single"/>
            <w:vertAlign w:val="baseline"/>
          </w:rPr>
          <w:t>McGore v. Wrigglesworth</w:t>
        </w:r>
      </w:hyperlink>
      <w:hyperlink r:id="rId16" w:history="1">
        <w:r>
          <w:rPr>
            <w:rFonts w:ascii="arial" w:eastAsia="arial" w:hAnsi="arial" w:cs="arial"/>
            <w:b w:val="0"/>
            <w:i/>
            <w:strike w:val="0"/>
            <w:noProof w:val="0"/>
            <w:color w:val="0077CC"/>
            <w:position w:val="0"/>
            <w:sz w:val="20"/>
            <w:u w:val="single"/>
            <w:vertAlign w:val="baseline"/>
          </w:rPr>
          <w:t>, 114 F.3d 601, 611 (6th Cir. 1997)</w:t>
        </w:r>
      </w:hyperlink>
      <w:r>
        <w:rPr>
          <w:rFonts w:ascii="arial" w:eastAsia="arial" w:hAnsi="arial" w:cs="arial"/>
          <w:b w:val="0"/>
          <w:i w:val="0"/>
          <w:strike w:val="0"/>
          <w:noProof w:val="0"/>
          <w:color w:val="000000"/>
          <w:position w:val="0"/>
          <w:sz w:val="20"/>
          <w:u w:val="none"/>
          <w:vertAlign w:val="baseline"/>
        </w:rPr>
        <w:t xml:space="preserve">. Although the Court concludes that Plaintiff's claims are properly dismissed, the Court does not conclude that any issue Plaintiff might raise on appeal would be frivolous. </w:t>
      </w:r>
      <w:bookmarkStart w:id="131" w:name="Bookmark_I68KBR652N1RMC0040000400_2"/>
      <w:bookmarkEnd w:id="131"/>
      <w:bookmarkStart w:id="132" w:name="Bookmark_I68KBR662SF85T0010000400"/>
      <w:bookmarkEnd w:id="132"/>
      <w:bookmarkStart w:id="133" w:name="Bookmark_I68KBR652N1RMC0030000400"/>
      <w:bookmarkEnd w:id="133"/>
      <w:hyperlink r:id="rId58" w:history="1">
        <w:r>
          <w:rPr>
            <w:rFonts w:ascii="arial" w:eastAsia="arial" w:hAnsi="arial" w:cs="arial"/>
            <w:b w:val="0"/>
            <w:i/>
            <w:strike w:val="0"/>
            <w:noProof w:val="0"/>
            <w:color w:val="0077CC"/>
            <w:position w:val="0"/>
            <w:sz w:val="20"/>
            <w:u w:val="single"/>
            <w:vertAlign w:val="baseline"/>
          </w:rPr>
          <w:t>Coppedge v. United States</w:t>
        </w:r>
      </w:hyperlink>
      <w:hyperlink r:id="rId58" w:history="1">
        <w:r>
          <w:rPr>
            <w:rFonts w:ascii="arial" w:eastAsia="arial" w:hAnsi="arial" w:cs="arial"/>
            <w:b w:val="0"/>
            <w:i/>
            <w:strike w:val="0"/>
            <w:noProof w:val="0"/>
            <w:color w:val="0077CC"/>
            <w:position w:val="0"/>
            <w:sz w:val="20"/>
            <w:u w:val="single"/>
            <w:vertAlign w:val="baseline"/>
          </w:rPr>
          <w:t>, 369 U.S. 438, 445, 82 S. Ct. 917, 8 L. Ed. 2d 21 (1962)</w:t>
        </w:r>
      </w:hyperlink>
      <w:r>
        <w:rPr>
          <w:rFonts w:ascii="arial" w:eastAsia="arial" w:hAnsi="arial" w:cs="arial"/>
          <w:b w:val="0"/>
          <w:i w:val="0"/>
          <w:strike w:val="0"/>
          <w:noProof w:val="0"/>
          <w:color w:val="000000"/>
          <w:position w:val="0"/>
          <w:sz w:val="20"/>
          <w:u w:val="none"/>
          <w:vertAlign w:val="baseline"/>
        </w:rPr>
        <w:t xml:space="preserve">. </w:t>
      </w:r>
      <w:bookmarkStart w:id="134" w:name="Bookmark_I68KBR662SF85T0010000400_2"/>
      <w:bookmarkEnd w:id="134"/>
      <w:r>
        <w:rPr>
          <w:rFonts w:ascii="arial" w:eastAsia="arial" w:hAnsi="arial" w:cs="arial"/>
          <w:b w:val="0"/>
          <w:i w:val="0"/>
          <w:strike w:val="0"/>
          <w:noProof w:val="0"/>
          <w:color w:val="000000"/>
          <w:position w:val="0"/>
          <w:sz w:val="20"/>
          <w:u w:val="none"/>
          <w:vertAlign w:val="baseline"/>
        </w:rPr>
        <w:t>Accordingly, the Court does not certify that an appeal would not be taken in good faith. Should Plaintiff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appeal this decision, the Court will assess the $505.00 appellate filing fee pursuant to </w:t>
      </w:r>
      <w:hyperlink r:id="rId19" w:history="1">
        <w:r>
          <w:rPr>
            <w:rFonts w:ascii="arial" w:eastAsia="arial" w:hAnsi="arial" w:cs="arial"/>
            <w:b w:val="0"/>
            <w:i/>
            <w:strike w:val="0"/>
            <w:noProof w:val="0"/>
            <w:color w:val="0077CC"/>
            <w:position w:val="0"/>
            <w:sz w:val="20"/>
            <w:u w:val="single"/>
            <w:vertAlign w:val="baseline"/>
          </w:rPr>
          <w:t>§ 1915(b)(1)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5" w:name="Bookmark_I68KBR652N1RMC0050000400"/>
      <w:bookmarkEnd w:id="135"/>
      <w:hyperlink r:id="rId16" w:history="1">
        <w:r>
          <w:rPr>
            <w:rFonts w:ascii="arial" w:eastAsia="arial" w:hAnsi="arial" w:cs="arial"/>
            <w:b w:val="0"/>
            <w:i/>
            <w:strike w:val="0"/>
            <w:noProof w:val="0"/>
            <w:color w:val="0077CC"/>
            <w:position w:val="0"/>
            <w:sz w:val="20"/>
            <w:u w:val="single"/>
            <w:vertAlign w:val="baseline"/>
          </w:rPr>
          <w:t>McGore</w:t>
        </w:r>
      </w:hyperlink>
      <w:hyperlink r:id="rId16" w:history="1">
        <w:r>
          <w:rPr>
            <w:rFonts w:ascii="arial" w:eastAsia="arial" w:hAnsi="arial" w:cs="arial"/>
            <w:b w:val="0"/>
            <w:i/>
            <w:strike w:val="0"/>
            <w:noProof w:val="0"/>
            <w:color w:val="0077CC"/>
            <w:position w:val="0"/>
            <w:sz w:val="20"/>
            <w:u w:val="single"/>
            <w:vertAlign w:val="baseline"/>
          </w:rPr>
          <w:t>, 114 F.3d at 610-11</w:t>
        </w:r>
      </w:hyperlink>
      <w:r>
        <w:rPr>
          <w:rFonts w:ascii="arial" w:eastAsia="arial" w:hAnsi="arial" w:cs="arial"/>
          <w:b w:val="0"/>
          <w:i w:val="0"/>
          <w:strike w:val="0"/>
          <w:noProof w:val="0"/>
          <w:color w:val="000000"/>
          <w:position w:val="0"/>
          <w:sz w:val="20"/>
          <w:u w:val="none"/>
          <w:vertAlign w:val="baseline"/>
        </w:rPr>
        <w:t xml:space="preserve">, unless Plaintiff is barred from proceeding </w:t>
      </w:r>
      <w:r>
        <w:rPr>
          <w:rFonts w:ascii="arial" w:eastAsia="arial" w:hAnsi="arial" w:cs="arial"/>
          <w:b w:val="0"/>
          <w:i/>
          <w:strike w:val="0"/>
          <w:noProof w:val="0"/>
          <w:color w:val="000000"/>
          <w:position w:val="0"/>
          <w:sz w:val="20"/>
          <w:u w:val="none"/>
          <w:vertAlign w:val="baseline"/>
        </w:rPr>
        <w:t>in forma pauperis, e.g.</w:t>
      </w:r>
      <w:r>
        <w:rPr>
          <w:rFonts w:ascii="arial" w:eastAsia="arial" w:hAnsi="arial" w:cs="arial"/>
          <w:b w:val="0"/>
          <w:i w:val="0"/>
          <w:strike w:val="0"/>
          <w:noProof w:val="0"/>
          <w:color w:val="000000"/>
          <w:position w:val="0"/>
          <w:sz w:val="20"/>
          <w:u w:val="none"/>
          <w:vertAlign w:val="baseline"/>
        </w:rPr>
        <w:t xml:space="preserve">, by the "three-strikes" rule of </w:t>
      </w:r>
      <w:hyperlink r:id="rId19" w:history="1">
        <w:r>
          <w:rPr>
            <w:rFonts w:ascii="arial" w:eastAsia="arial" w:hAnsi="arial" w:cs="arial"/>
            <w:b w:val="0"/>
            <w:i/>
            <w:strike w:val="0"/>
            <w:noProof w:val="0"/>
            <w:color w:val="0077CC"/>
            <w:position w:val="0"/>
            <w:sz w:val="20"/>
            <w:u w:val="single"/>
            <w:vertAlign w:val="baseline"/>
          </w:rPr>
          <w:t>§ 1915(g)</w:t>
        </w:r>
      </w:hyperlink>
      <w:r>
        <w:rPr>
          <w:rFonts w:ascii="arial" w:eastAsia="arial" w:hAnsi="arial" w:cs="arial"/>
          <w:b w:val="0"/>
          <w:i w:val="0"/>
          <w:strike w:val="0"/>
          <w:noProof w:val="0"/>
          <w:color w:val="000000"/>
          <w:position w:val="0"/>
          <w:sz w:val="20"/>
          <w:u w:val="none"/>
          <w:vertAlign w:val="baseline"/>
        </w:rPr>
        <w:t>. If he is barred, he will be required to pay the $505.00 appellate filing fee in one lump sum.</w:t>
      </w:r>
    </w:p>
    <w:p>
      <w:pPr>
        <w:keepNext w:val="0"/>
        <w:spacing w:before="240" w:after="0" w:line="260" w:lineRule="atLeast"/>
        <w:ind w:left="0" w:right="0" w:firstLine="0"/>
        <w:jc w:val="both"/>
      </w:pPr>
      <w:bookmarkStart w:id="136" w:name="Bookmark_para_20"/>
      <w:bookmarkEnd w:id="136"/>
      <w:r>
        <w:rPr>
          <w:rFonts w:ascii="arial" w:eastAsia="arial" w:hAnsi="arial" w:cs="arial"/>
          <w:b w:val="0"/>
          <w:i w:val="0"/>
          <w:strike w:val="0"/>
          <w:noProof w:val="0"/>
          <w:color w:val="000000"/>
          <w:position w:val="0"/>
          <w:sz w:val="20"/>
          <w:u w:val="none"/>
          <w:vertAlign w:val="baseline"/>
        </w:rPr>
        <w:t xml:space="preserve">This is a dismissal as described by </w:t>
      </w:r>
      <w:hyperlink r:id="rId19"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21"/>
      <w:bookmarkEnd w:id="137"/>
      <w:r>
        <w:rPr>
          <w:rFonts w:ascii="arial" w:eastAsia="arial" w:hAnsi="arial" w:cs="arial"/>
          <w:b w:val="0"/>
          <w:i w:val="0"/>
          <w:strike w:val="0"/>
          <w:noProof w:val="0"/>
          <w:color w:val="000000"/>
          <w:position w:val="0"/>
          <w:sz w:val="20"/>
          <w:u w:val="none"/>
          <w:vertAlign w:val="baseline"/>
        </w:rPr>
        <w:t>A judgment consistent with this opinion will be entered.</w:t>
      </w:r>
    </w:p>
    <w:p>
      <w:pPr>
        <w:keepNext w:val="0"/>
        <w:spacing w:before="200" w:after="0" w:line="260" w:lineRule="atLeast"/>
        <w:ind w:left="0" w:right="0" w:firstLine="0"/>
        <w:jc w:val="both"/>
      </w:pPr>
      <w:bookmarkStart w:id="138" w:name="Bookmark_para_22"/>
      <w:bookmarkEnd w:id="138"/>
      <w:r>
        <w:rPr>
          <w:rFonts w:ascii="arial" w:eastAsia="arial" w:hAnsi="arial" w:cs="arial"/>
          <w:b w:val="0"/>
          <w:i w:val="0"/>
          <w:strike w:val="0"/>
          <w:noProof w:val="0"/>
          <w:color w:val="000000"/>
          <w:position w:val="0"/>
          <w:sz w:val="20"/>
          <w:u w:val="none"/>
          <w:vertAlign w:val="baseline"/>
        </w:rPr>
        <w:t>Dated: June 27, 2023</w:t>
      </w:r>
    </w:p>
    <w:p>
      <w:pPr>
        <w:keepNext w:val="0"/>
        <w:spacing w:before="200" w:after="0" w:line="260" w:lineRule="atLeast"/>
        <w:ind w:left="0" w:right="0" w:firstLine="0"/>
        <w:jc w:val="both"/>
      </w:pPr>
      <w:bookmarkStart w:id="139" w:name="Bookmark_para_23"/>
      <w:bookmarkEnd w:id="139"/>
      <w:r>
        <w:rPr>
          <w:rFonts w:ascii="arial" w:eastAsia="arial" w:hAnsi="arial" w:cs="arial"/>
          <w:b w:val="0"/>
          <w:i w:val="0"/>
          <w:strike w:val="0"/>
          <w:noProof w:val="0"/>
          <w:color w:val="000000"/>
          <w:position w:val="0"/>
          <w:sz w:val="20"/>
          <w:u w:val="none"/>
          <w:vertAlign w:val="baseline"/>
        </w:rPr>
        <w:t>/s/ Ray Kent</w:t>
      </w:r>
    </w:p>
    <w:p>
      <w:pPr>
        <w:keepNext w:val="0"/>
        <w:spacing w:before="200" w:after="0" w:line="260" w:lineRule="atLeast"/>
        <w:ind w:left="0" w:right="0" w:firstLine="0"/>
        <w:jc w:val="both"/>
      </w:pPr>
      <w:bookmarkStart w:id="140" w:name="Bookmark_para_24"/>
      <w:bookmarkEnd w:id="140"/>
      <w:r>
        <w:rPr>
          <w:rFonts w:ascii="arial" w:eastAsia="arial" w:hAnsi="arial" w:cs="arial"/>
          <w:b w:val="0"/>
          <w:i w:val="0"/>
          <w:strike w:val="0"/>
          <w:noProof w:val="0"/>
          <w:color w:val="000000"/>
          <w:position w:val="0"/>
          <w:sz w:val="20"/>
          <w:u w:val="none"/>
          <w:vertAlign w:val="baseline"/>
        </w:rPr>
        <w:t>Ray Kent</w:t>
      </w:r>
    </w:p>
    <w:p>
      <w:pPr>
        <w:keepNext w:val="0"/>
        <w:spacing w:before="200" w:after="0" w:line="260" w:lineRule="atLeast"/>
        <w:ind w:left="0" w:right="0" w:firstLine="0"/>
        <w:jc w:val="both"/>
      </w:pPr>
      <w:bookmarkStart w:id="141" w:name="Bookmark_para_25"/>
      <w:bookmarkEnd w:id="141"/>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142" w:name="Bookmark_para_26"/>
      <w:bookmarkEnd w:id="142"/>
      <w:r>
        <w:rPr>
          <w:rFonts w:ascii="arial" w:eastAsia="arial" w:hAnsi="arial" w:cs="arial"/>
          <w:b w:val="0"/>
          <w:i w:val="0"/>
          <w:strike w:val="0"/>
          <w:noProof w:val="0"/>
          <w:color w:val="000000"/>
          <w:position w:val="0"/>
          <w:sz w:val="20"/>
          <w:u w:val="none"/>
          <w:vertAlign w:val="baseline"/>
        </w:rPr>
        <w:t>In accordance with the opinion issued this date:</w:t>
      </w:r>
    </w:p>
    <w:p>
      <w:pPr>
        <w:keepNext w:val="0"/>
        <w:spacing w:before="240" w:after="0" w:line="260" w:lineRule="atLeast"/>
        <w:ind w:left="0" w:right="0" w:firstLine="0"/>
        <w:jc w:val="both"/>
      </w:pPr>
      <w:bookmarkStart w:id="143" w:name="Bookmark_para_27"/>
      <w:bookmarkEnd w:id="143"/>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Plaintiff's action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on grounds of immunity and for failure to state a claim pursuant to </w:t>
      </w:r>
      <w:hyperlink r:id="rId19"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28"/>
      <w:bookmarkEnd w:id="144"/>
      <w:r>
        <w:rPr>
          <w:rFonts w:ascii="arial" w:eastAsia="arial" w:hAnsi="arial" w:cs="arial"/>
          <w:b w:val="0"/>
          <w:i w:val="0"/>
          <w:strike w:val="0"/>
          <w:noProof w:val="0"/>
          <w:color w:val="000000"/>
          <w:position w:val="0"/>
          <w:sz w:val="20"/>
          <w:u w:val="none"/>
          <w:vertAlign w:val="baseline"/>
        </w:rPr>
        <w:t>Dated: June 27, 2023</w:t>
      </w:r>
    </w:p>
    <w:p>
      <w:pPr>
        <w:keepNext w:val="0"/>
        <w:spacing w:before="200" w:after="0" w:line="260" w:lineRule="atLeast"/>
        <w:ind w:left="0" w:right="0" w:firstLine="0"/>
        <w:jc w:val="both"/>
      </w:pPr>
      <w:bookmarkStart w:id="145" w:name="Bookmark_para_29"/>
      <w:bookmarkEnd w:id="145"/>
      <w:r>
        <w:rPr>
          <w:rFonts w:ascii="arial" w:eastAsia="arial" w:hAnsi="arial" w:cs="arial"/>
          <w:b w:val="0"/>
          <w:i w:val="0"/>
          <w:strike w:val="0"/>
          <w:noProof w:val="0"/>
          <w:color w:val="000000"/>
          <w:position w:val="0"/>
          <w:sz w:val="20"/>
          <w:u w:val="none"/>
          <w:vertAlign w:val="baseline"/>
        </w:rPr>
        <w:t>/s/ Ray Kent</w:t>
      </w:r>
    </w:p>
    <w:p>
      <w:pPr>
        <w:keepNext w:val="0"/>
        <w:spacing w:before="200" w:after="0" w:line="260" w:lineRule="atLeast"/>
        <w:ind w:left="0" w:right="0" w:firstLine="0"/>
        <w:jc w:val="both"/>
      </w:pPr>
      <w:bookmarkStart w:id="146" w:name="Bookmark_para_30"/>
      <w:bookmarkEnd w:id="146"/>
      <w:r>
        <w:rPr>
          <w:rFonts w:ascii="arial" w:eastAsia="arial" w:hAnsi="arial" w:cs="arial"/>
          <w:b w:val="0"/>
          <w:i w:val="0"/>
          <w:strike w:val="0"/>
          <w:noProof w:val="0"/>
          <w:color w:val="000000"/>
          <w:position w:val="0"/>
          <w:sz w:val="20"/>
          <w:u w:val="none"/>
          <w:vertAlign w:val="baseline"/>
        </w:rPr>
        <w:t>Ray Kent</w:t>
      </w:r>
    </w:p>
    <w:p>
      <w:pPr>
        <w:keepNext w:val="0"/>
        <w:spacing w:before="200" w:after="0" w:line="260" w:lineRule="atLeast"/>
        <w:ind w:left="0" w:right="0" w:firstLine="0"/>
        <w:jc w:val="both"/>
      </w:pPr>
      <w:bookmarkStart w:id="147" w:name="Bookmark_para_31"/>
      <w:bookmarkEnd w:id="14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1"/>
      <w:bookmarkEnd w:id="26"/>
      <w:bookmarkStart w:id="27" w:name="Bookmark_I68KBR5Y2N1RJH0010000400"/>
      <w:bookmarkEnd w:id="27"/>
      <w:r>
        <w:rPr>
          <w:rFonts w:ascii="arial" w:eastAsia="arial" w:hAnsi="arial" w:cs="arial"/>
          <w:b w:val="0"/>
          <w:i/>
          <w:strike w:val="0"/>
          <w:noProof w:val="0"/>
          <w:color w:val="000000"/>
          <w:position w:val="0"/>
          <w:sz w:val="18"/>
          <w:u w:val="none"/>
          <w:vertAlign w:val="baseline"/>
        </w:rPr>
        <w:t xml:space="preserve">But see </w:t>
      </w:r>
      <w:bookmarkStart w:id="28" w:name="Bookmark_I68KBR5X2HM6PB0050000400"/>
      <w:bookmarkEnd w:id="28"/>
      <w:hyperlink r:id="rId1" w:history="1">
        <w:r>
          <w:rPr>
            <w:rFonts w:ascii="arial" w:eastAsia="arial" w:hAnsi="arial" w:cs="arial"/>
            <w:b w:val="0"/>
            <w:i/>
            <w:strike w:val="0"/>
            <w:noProof w:val="0"/>
            <w:color w:val="0077CC"/>
            <w:position w:val="0"/>
            <w:sz w:val="18"/>
            <w:u w:val="single"/>
            <w:vertAlign w:val="baseline"/>
          </w:rPr>
          <w:t>Coleman v. Lab. &amp; Indus. Rev. Comm'n of Wis.</w:t>
        </w:r>
      </w:hyperlink>
      <w:hyperlink r:id="rId1" w:history="1">
        <w:r>
          <w:rPr>
            <w:rFonts w:ascii="arial" w:eastAsia="arial" w:hAnsi="arial" w:cs="arial"/>
            <w:b w:val="0"/>
            <w:i/>
            <w:strike w:val="0"/>
            <w:noProof w:val="0"/>
            <w:color w:val="0077CC"/>
            <w:position w:val="0"/>
            <w:sz w:val="18"/>
            <w:u w:val="single"/>
            <w:vertAlign w:val="baseline"/>
          </w:rPr>
          <w:t>, 860 F.3d 461, 471 (7th Cir. 2017)</w:t>
        </w:r>
      </w:hyperlink>
      <w:r>
        <w:rPr>
          <w:rFonts w:ascii="arial" w:eastAsia="arial" w:hAnsi="arial" w:cs="arial"/>
          <w:b w:val="0"/>
          <w:i w:val="0"/>
          <w:strike w:val="0"/>
          <w:noProof w:val="0"/>
          <w:color w:val="000000"/>
          <w:position w:val="0"/>
          <w:sz w:val="18"/>
          <w:u w:val="none"/>
          <w:vertAlign w:val="baseline"/>
        </w:rPr>
        <w:t xml:space="preserve"> (concluding that, when determining which parties are required to consent to proceed before a United States magistrate judge under </w:t>
      </w:r>
      <w:hyperlink r:id="rId2" w:history="1">
        <w:r>
          <w:rPr>
            <w:rFonts w:ascii="arial" w:eastAsia="arial" w:hAnsi="arial" w:cs="arial"/>
            <w:b w:val="0"/>
            <w:i/>
            <w:strike w:val="0"/>
            <w:noProof w:val="0"/>
            <w:color w:val="0077CC"/>
            <w:position w:val="0"/>
            <w:sz w:val="18"/>
            <w:u w:val="single"/>
            <w:vertAlign w:val="baseline"/>
          </w:rPr>
          <w:t>28 U.S.C. § 636(c)</w:t>
        </w:r>
      </w:hyperlink>
      <w:r>
        <w:rPr>
          <w:rFonts w:ascii="arial" w:eastAsia="arial" w:hAnsi="arial" w:cs="arial"/>
          <w:b w:val="0"/>
          <w:i w:val="0"/>
          <w:strike w:val="0"/>
          <w:noProof w:val="0"/>
          <w:color w:val="000000"/>
          <w:position w:val="0"/>
          <w:sz w:val="18"/>
          <w:u w:val="none"/>
          <w:vertAlign w:val="baseline"/>
        </w:rPr>
        <w:t xml:space="preserve">, "context matters" and the context the United States Supreme Court considered in </w:t>
      </w:r>
      <w:bookmarkStart w:id="29" w:name="Bookmark_I68KBR5Y2N1RJH0020000400"/>
      <w:bookmarkEnd w:id="29"/>
      <w:hyperlink r:id="rId3" w:history="1">
        <w:r>
          <w:rPr>
            <w:rFonts w:ascii="arial" w:eastAsia="arial" w:hAnsi="arial" w:cs="arial"/>
            <w:b w:val="0"/>
            <w:i/>
            <w:strike w:val="0"/>
            <w:noProof w:val="0"/>
            <w:color w:val="0077CC"/>
            <w:position w:val="0"/>
            <w:sz w:val="18"/>
            <w:u w:val="single"/>
            <w:vertAlign w:val="baseline"/>
          </w:rPr>
          <w:t>Murphy Bros</w:t>
        </w:r>
      </w:hyperlink>
      <w:r>
        <w:rPr>
          <w:rFonts w:ascii="arial" w:eastAsia="arial" w:hAnsi="arial" w:cs="arial"/>
          <w:b w:val="0"/>
          <w:i w:val="0"/>
          <w:strike w:val="0"/>
          <w:noProof w:val="0"/>
          <w:color w:val="000000"/>
          <w:position w:val="0"/>
          <w:sz w:val="18"/>
          <w:u w:val="none"/>
          <w:vertAlign w:val="baseline"/>
        </w:rPr>
        <w:t xml:space="preserve">. was nothing like the context of a screening dismissal pursuant to </w:t>
      </w:r>
      <w:hyperlink r:id="rId4" w:history="1">
        <w:r>
          <w:rPr>
            <w:rFonts w:ascii="arial" w:eastAsia="arial" w:hAnsi="arial" w:cs="arial"/>
            <w:b w:val="0"/>
            <w:i/>
            <w:strike w:val="0"/>
            <w:noProof w:val="0"/>
            <w:color w:val="0077CC"/>
            <w:position w:val="0"/>
            <w:sz w:val="18"/>
            <w:u w:val="single"/>
            <w:vertAlign w:val="baseline"/>
          </w:rPr>
          <w:t>28 U.S.C. §§ 1915(e)(2)</w:t>
        </w:r>
      </w:hyperlink>
      <w:r>
        <w:rPr>
          <w:rFonts w:ascii="arial" w:eastAsia="arial" w:hAnsi="arial" w:cs="arial"/>
          <w:b w:val="0"/>
          <w:i w:val="0"/>
          <w:strike w:val="0"/>
          <w:noProof w:val="0"/>
          <w:color w:val="000000"/>
          <w:position w:val="0"/>
          <w:sz w:val="18"/>
          <w:u w:val="none"/>
          <w:vertAlign w:val="baseline"/>
        </w:rPr>
        <w:t xml:space="preserve"> and </w:t>
      </w:r>
      <w:hyperlink r:id="rId5" w:history="1">
        <w:r>
          <w:rPr>
            <w:rFonts w:ascii="arial" w:eastAsia="arial" w:hAnsi="arial" w:cs="arial"/>
            <w:b w:val="0"/>
            <w:i/>
            <w:strike w:val="0"/>
            <w:noProof w:val="0"/>
            <w:color w:val="0077CC"/>
            <w:position w:val="0"/>
            <w:sz w:val="18"/>
            <w:u w:val="single"/>
            <w:vertAlign w:val="baseline"/>
          </w:rPr>
          <w:t>1915A(b)</w:t>
        </w:r>
      </w:hyperlink>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42 U.S.C. § 1997e(c)</w:t>
        </w:r>
      </w:hyperlink>
      <w:r>
        <w:rPr>
          <w:rFonts w:ascii="arial" w:eastAsia="arial" w:hAnsi="arial" w:cs="arial"/>
          <w:b w:val="0"/>
          <w:i w:val="0"/>
          <w:strike w:val="0"/>
          <w:noProof w:val="0"/>
          <w:color w:val="000000"/>
          <w:position w:val="0"/>
          <w:sz w:val="18"/>
          <w:u w:val="none"/>
          <w:vertAlign w:val="baseline"/>
        </w:rPr>
        <w:t xml:space="preserve">); </w:t>
      </w:r>
      <w:bookmarkStart w:id="30" w:name="Bookmark_I68KBR5Y2N1RJH0040000400"/>
      <w:bookmarkEnd w:id="30"/>
      <w:hyperlink r:id="rId7" w:history="1">
        <w:r>
          <w:rPr>
            <w:rFonts w:ascii="arial" w:eastAsia="arial" w:hAnsi="arial" w:cs="arial"/>
            <w:b w:val="0"/>
            <w:i/>
            <w:strike w:val="0"/>
            <w:noProof w:val="0"/>
            <w:color w:val="0077CC"/>
            <w:position w:val="0"/>
            <w:sz w:val="18"/>
            <w:u w:val="single"/>
            <w:vertAlign w:val="baseline"/>
          </w:rPr>
          <w:t>Williams v. King</w:t>
        </w:r>
      </w:hyperlink>
      <w:hyperlink r:id="rId7" w:history="1">
        <w:r>
          <w:rPr>
            <w:rFonts w:ascii="arial" w:eastAsia="arial" w:hAnsi="arial" w:cs="arial"/>
            <w:b w:val="0"/>
            <w:i/>
            <w:strike w:val="0"/>
            <w:noProof w:val="0"/>
            <w:color w:val="0077CC"/>
            <w:position w:val="0"/>
            <w:sz w:val="18"/>
            <w:u w:val="single"/>
            <w:vertAlign w:val="baseline"/>
          </w:rPr>
          <w:t>, 875 F.3d 500, 503-04 (9th Cir. 2017)</w:t>
        </w:r>
      </w:hyperlink>
      <w:r>
        <w:rPr>
          <w:rFonts w:ascii="arial" w:eastAsia="arial" w:hAnsi="arial" w:cs="arial"/>
          <w:b w:val="0"/>
          <w:i w:val="0"/>
          <w:strike w:val="0"/>
          <w:noProof w:val="0"/>
          <w:color w:val="000000"/>
          <w:position w:val="0"/>
          <w:sz w:val="18"/>
          <w:u w:val="none"/>
          <w:vertAlign w:val="baseline"/>
        </w:rPr>
        <w:t xml:space="preserve"> (relying on Black's Law Dictionary for the definition of "parties" and not addressing </w:t>
      </w:r>
      <w:bookmarkStart w:id="31" w:name="Bookmark_I68KBR5Y2HM6PN0010000400"/>
      <w:bookmarkEnd w:id="31"/>
      <w:hyperlink r:id="rId3" w:history="1">
        <w:r>
          <w:rPr>
            <w:rFonts w:ascii="arial" w:eastAsia="arial" w:hAnsi="arial" w:cs="arial"/>
            <w:b w:val="0"/>
            <w:i/>
            <w:strike w:val="0"/>
            <w:noProof w:val="0"/>
            <w:color w:val="0077CC"/>
            <w:position w:val="0"/>
            <w:sz w:val="18"/>
            <w:u w:val="single"/>
            <w:vertAlign w:val="baseline"/>
          </w:rPr>
          <w:t>Murphy Bros</w:t>
        </w:r>
      </w:hyperlink>
      <w:r>
        <w:rPr>
          <w:rFonts w:ascii="arial" w:eastAsia="arial" w:hAnsi="arial" w:cs="arial"/>
          <w:b w:val="0"/>
          <w:i w:val="0"/>
          <w:strike w:val="0"/>
          <w:noProof w:val="0"/>
          <w:color w:val="000000"/>
          <w:position w:val="0"/>
          <w:sz w:val="18"/>
          <w:u w:val="none"/>
          <w:vertAlign w:val="baseline"/>
        </w:rPr>
        <w:t xml:space="preserve">.); </w:t>
      </w:r>
      <w:bookmarkStart w:id="32" w:name="Bookmark_I68KBR5Y2HM6PN0030000400"/>
      <w:bookmarkEnd w:id="32"/>
      <w:hyperlink r:id="rId8" w:history="1">
        <w:r>
          <w:rPr>
            <w:rFonts w:ascii="arial" w:eastAsia="arial" w:hAnsi="arial" w:cs="arial"/>
            <w:b w:val="0"/>
            <w:i/>
            <w:strike w:val="0"/>
            <w:noProof w:val="0"/>
            <w:color w:val="0077CC"/>
            <w:position w:val="0"/>
            <w:sz w:val="18"/>
            <w:u w:val="single"/>
            <w:vertAlign w:val="baseline"/>
          </w:rPr>
          <w:t>Burton v. Schamp</w:t>
        </w:r>
      </w:hyperlink>
      <w:hyperlink r:id="rId8" w:history="1">
        <w:r>
          <w:rPr>
            <w:rFonts w:ascii="arial" w:eastAsia="arial" w:hAnsi="arial" w:cs="arial"/>
            <w:b w:val="0"/>
            <w:i/>
            <w:strike w:val="0"/>
            <w:noProof w:val="0"/>
            <w:color w:val="0077CC"/>
            <w:position w:val="0"/>
            <w:sz w:val="18"/>
            <w:u w:val="single"/>
            <w:vertAlign w:val="baseline"/>
          </w:rPr>
          <w:t>, 25 F.4th 198, 207 n.26 (3d Cir. 2022)</w:t>
        </w:r>
      </w:hyperlink>
      <w:r>
        <w:rPr>
          <w:rFonts w:ascii="arial" w:eastAsia="arial" w:hAnsi="arial" w:cs="arial"/>
          <w:b w:val="0"/>
          <w:i w:val="0"/>
          <w:strike w:val="0"/>
          <w:noProof w:val="0"/>
          <w:color w:val="000000"/>
          <w:position w:val="0"/>
          <w:sz w:val="18"/>
          <w:u w:val="none"/>
          <w:vertAlign w:val="baseline"/>
        </w:rPr>
        <w:t xml:space="preserve"> (premising its discussion of "the term 'parties' solely in relation to its meaning in </w:t>
      </w:r>
      <w:hyperlink r:id="rId2" w:history="1">
        <w:r>
          <w:rPr>
            <w:rFonts w:ascii="arial" w:eastAsia="arial" w:hAnsi="arial" w:cs="arial"/>
            <w:b w:val="0"/>
            <w:i/>
            <w:strike w:val="0"/>
            <w:noProof w:val="0"/>
            <w:color w:val="0077CC"/>
            <w:position w:val="0"/>
            <w:sz w:val="18"/>
            <w:u w:val="single"/>
            <w:vertAlign w:val="baseline"/>
          </w:rPr>
          <w:t>Section 636(c)(1)</w:t>
        </w:r>
      </w:hyperlink>
      <w:r>
        <w:rPr>
          <w:rFonts w:ascii="arial" w:eastAsia="arial" w:hAnsi="arial" w:cs="arial"/>
          <w:b w:val="0"/>
          <w:i w:val="0"/>
          <w:strike w:val="0"/>
          <w:noProof w:val="0"/>
          <w:color w:val="000000"/>
          <w:position w:val="0"/>
          <w:sz w:val="18"/>
          <w:u w:val="none"/>
          <w:vertAlign w:val="baseline"/>
        </w:rPr>
        <w:t>, and . . . not tak[ing] an opinion on the meaning of 'parties' in other contexts").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Wade v. Braman, 2023 U.S. Dist. LEXIS 110762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5GYC-25Y1-FG36-1050-00000-00&amp;context=1519360" TargetMode="External" /><Relationship Id="rId13" Type="http://schemas.openxmlformats.org/officeDocument/2006/relationships/hyperlink" Target="https://advance.lexis.com/api/document?collection=statutes-legislation&amp;id=urn:contentItem:8SG9-5HW2-D6RV-H0RM-00000-00&amp;context=1519360" TargetMode="External" /><Relationship Id="rId14" Type="http://schemas.openxmlformats.org/officeDocument/2006/relationships/hyperlink" Target="https://advance.lexis.com/api/document?collection=statutes-legislation&amp;id=urn:contentItem:8SHT-0712-D6RV-H531-00000-00&amp;context=1519360" TargetMode="External" /><Relationship Id="rId15" Type="http://schemas.openxmlformats.org/officeDocument/2006/relationships/hyperlink" Target="https://advance.lexis.com/api/document?collection=cases&amp;id=urn:contentItem:3S4X-JG00-00B1-D4G0-00000-00&amp;context=1519360" TargetMode="External" /><Relationship Id="rId16" Type="http://schemas.openxmlformats.org/officeDocument/2006/relationships/hyperlink" Target="https://advance.lexis.com/api/document?collection=cases&amp;id=urn:contentItem:3S4X-G430-00B1-D4G6-00000-00&amp;context=1519360" TargetMode="External" /><Relationship Id="rId17" Type="http://schemas.openxmlformats.org/officeDocument/2006/relationships/hyperlink" Target="https://advance.lexis.com/api/document?collection=cases&amp;id=urn:contentItem:3W5S-4RS0-004C-000N-00000-00&amp;context=1519360" TargetMode="External" /><Relationship Id="rId18" Type="http://schemas.openxmlformats.org/officeDocument/2006/relationships/hyperlink" Target="https://advance.lexis.com/api/document?collection=cases&amp;id=urn:contentItem:3S4X-CVB0-001T-D4PN-00000-00&amp;context=1519360" TargetMode="External" /><Relationship Id="rId19" Type="http://schemas.openxmlformats.org/officeDocument/2006/relationships/hyperlink" Target="https://advance.lexis.com/api/document?collection=statutes-legislation&amp;id=urn:contentItem:8SG9-5HW2-D6RV-H0R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DB70-003B-S53V-00000-00&amp;context=1519360" TargetMode="External" /><Relationship Id="rId21" Type="http://schemas.openxmlformats.org/officeDocument/2006/relationships/hyperlink" Target="https://advance.lexis.com/api/document?collection=cases&amp;id=urn:contentItem:3S4W-XDX0-003B-R3RC-00000-00&amp;context=1519360" TargetMode="External" /><Relationship Id="rId22" Type="http://schemas.openxmlformats.org/officeDocument/2006/relationships/hyperlink" Target="https://advance.lexis.com/api/document?collection=statutes-legislation&amp;id=urn:contentItem:8T9R-T502-8T6X-7323-00000-00&amp;context=1519360" TargetMode="External" /><Relationship Id="rId23" Type="http://schemas.openxmlformats.org/officeDocument/2006/relationships/hyperlink" Target="https://advance.lexis.com/api/document?collection=cases&amp;id=urn:contentItem:4NSN-8840-004C-002M-00000-00&amp;context=1519360" TargetMode="External" /><Relationship Id="rId24" Type="http://schemas.openxmlformats.org/officeDocument/2006/relationships/hyperlink" Target="https://advance.lexis.com/api/document?collection=cases&amp;id=urn:contentItem:3S4X-J5D0-003B-S1MW-00000-00&amp;context=1519360" TargetMode="External" /><Relationship Id="rId25" Type="http://schemas.openxmlformats.org/officeDocument/2006/relationships/hyperlink" Target="https://advance.lexis.com/api/document?collection=cases&amp;id=urn:contentItem:4W9Y-4KS0-TXFX-1325-00000-00&amp;context=1519360" TargetMode="External" /><Relationship Id="rId26" Type="http://schemas.openxmlformats.org/officeDocument/2006/relationships/hyperlink" Target="https://advance.lexis.com/api/document?collection=statutes-legislation&amp;id=urn:contentItem:5GYC-1WP1-6N19-F0YK-00000-00&amp;context=1519360" TargetMode="External" /><Relationship Id="rId27" Type="http://schemas.openxmlformats.org/officeDocument/2006/relationships/hyperlink" Target="https://advance.lexis.com/api/document?collection=cases&amp;id=urn:contentItem:51TH-F6M1-652R-4001-00000-00&amp;context=1519360" TargetMode="External" /><Relationship Id="rId28" Type="http://schemas.openxmlformats.org/officeDocument/2006/relationships/hyperlink" Target="https://advance.lexis.com/api/document?collection=cases&amp;id=urn:contentItem:3S4X-F000-003B-4384-00000-00&amp;context=1519360" TargetMode="External" /><Relationship Id="rId29" Type="http://schemas.openxmlformats.org/officeDocument/2006/relationships/hyperlink" Target="https://advance.lexis.com/api/document?collection=cases&amp;id=urn:contentItem:3S4W-Y8M0-006F-M0W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1-BSG0-003B-R3MS-00000-00&amp;context=1519360" TargetMode="External" /><Relationship Id="rId31" Type="http://schemas.openxmlformats.org/officeDocument/2006/relationships/hyperlink" Target="https://advance.lexis.com/api/document?collection=statutes-legislation&amp;id=urn:contentItem:8T9R-T582-D6RV-H386-00000-00&amp;context=1519360" TargetMode="External" /><Relationship Id="rId32" Type="http://schemas.openxmlformats.org/officeDocument/2006/relationships/hyperlink" Target="https://advance.lexis.com/api/document?collection=cases&amp;id=urn:contentItem:3S4X-3PN0-003B-S0CV-00000-00&amp;context=1519360" TargetMode="External" /><Relationship Id="rId33" Type="http://schemas.openxmlformats.org/officeDocument/2006/relationships/hyperlink" Target="https://advance.lexis.com/api/document?collection=cases&amp;id=urn:contentItem:3S4X-8PS0-003B-S198-00000-00&amp;context=1519360" TargetMode="External" /><Relationship Id="rId34" Type="http://schemas.openxmlformats.org/officeDocument/2006/relationships/hyperlink" Target="https://advance.lexis.com/api/document?collection=cases&amp;id=urn:contentItem:3S4X-60S0-003B-P3X1-00000-00&amp;context=1519360" TargetMode="External" /><Relationship Id="rId35" Type="http://schemas.openxmlformats.org/officeDocument/2006/relationships/hyperlink" Target="https://advance.lexis.com/api/document?collection=cases&amp;id=urn:contentItem:3S4X-8F40-003B-S2TS-00000-00&amp;context=1519360" TargetMode="External" /><Relationship Id="rId36" Type="http://schemas.openxmlformats.org/officeDocument/2006/relationships/hyperlink" Target="https://advance.lexis.com/api/document?collection=cases&amp;id=urn:contentItem:3S4W-YNW0-0039-P3YK-00000-00&amp;context=1519360" TargetMode="External" /><Relationship Id="rId37" Type="http://schemas.openxmlformats.org/officeDocument/2006/relationships/hyperlink" Target="https://advance.lexis.com/api/document?collection=cases&amp;id=urn:contentItem:58VS-9JH1-F04K-P058-00000-00&amp;context=1519360" TargetMode="External" /><Relationship Id="rId38" Type="http://schemas.openxmlformats.org/officeDocument/2006/relationships/hyperlink" Target="https://advance.lexis.com/api/document?collection=cases&amp;id=urn:contentItem:57FJ-1671-F04K-P3JK-00000-00&amp;context=1519360" TargetMode="External" /><Relationship Id="rId39" Type="http://schemas.openxmlformats.org/officeDocument/2006/relationships/hyperlink" Target="https://advance.lexis.com/api/document?collection=cases&amp;id=urn:contentItem:7Y13-0570-YB0V-J00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5TJ-J6K0-004B-Y006-00000-00&amp;context=1519360" TargetMode="External" /><Relationship Id="rId41" Type="http://schemas.openxmlformats.org/officeDocument/2006/relationships/hyperlink" Target="https://advance.lexis.com/api/document?collection=cases&amp;id=urn:contentItem:3S4X-9Y90-003B-419C-00000-00&amp;context=1519360" TargetMode="External" /><Relationship Id="rId42" Type="http://schemas.openxmlformats.org/officeDocument/2006/relationships/hyperlink" Target="https://advance.lexis.com/api/document?collection=cases&amp;id=urn:contentItem:48RR-BTK0-0038-X0DG-00000-00&amp;context=1519360" TargetMode="External" /><Relationship Id="rId43" Type="http://schemas.openxmlformats.org/officeDocument/2006/relationships/hyperlink" Target="https://advance.lexis.com/api/document?collection=cases&amp;id=urn:contentItem:3S4X-B0B0-0039-N4CK-00000-00&amp;context=1519360" TargetMode="External" /><Relationship Id="rId44" Type="http://schemas.openxmlformats.org/officeDocument/2006/relationships/hyperlink" Target="https://advance.lexis.com/api/document?collection=cases&amp;id=urn:contentItem:3S4X-2F50-003B-P3HM-00000-00&amp;context=1519360" TargetMode="External" /><Relationship Id="rId45" Type="http://schemas.openxmlformats.org/officeDocument/2006/relationships/hyperlink" Target="https://advance.lexis.com/api/document?collection=cases&amp;id=urn:contentItem:3TT0-3HX0-0038-X2NP-00000-00&amp;context=1519360" TargetMode="External" /><Relationship Id="rId46" Type="http://schemas.openxmlformats.org/officeDocument/2006/relationships/hyperlink" Target="https://advance.lexis.com/api/document?collection=cases&amp;id=urn:contentItem:3S4X-9VV0-003B-H1YJ-00000-00&amp;context=1519360" TargetMode="External" /><Relationship Id="rId47" Type="http://schemas.openxmlformats.org/officeDocument/2006/relationships/hyperlink" Target="https://advance.lexis.com/api/document?collection=cases&amp;id=urn:contentItem:60MV-3MF1-F2F4-G44D-00000-00&amp;context=1519360" TargetMode="External" /><Relationship Id="rId48" Type="http://schemas.openxmlformats.org/officeDocument/2006/relationships/hyperlink" Target="https://advance.lexis.com/api/document?collection=cases&amp;id=urn:contentItem:45W2-GKW0-004C-1003-00000-00&amp;context=1519360" TargetMode="External" /><Relationship Id="rId49" Type="http://schemas.openxmlformats.org/officeDocument/2006/relationships/hyperlink" Target="https://advance.lexis.com/api/document?collection=cases&amp;id=urn:contentItem:3S4X-20V0-006F-M2H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5F90-003B-50BK-00000-00&amp;context=1519360" TargetMode="External" /><Relationship Id="rId51" Type="http://schemas.openxmlformats.org/officeDocument/2006/relationships/hyperlink" Target="https://advance.lexis.com/api/document?collection=cases&amp;id=urn:contentItem:3S4X-5JM0-003B-50S5-00000-00&amp;context=1519360" TargetMode="External" /><Relationship Id="rId52" Type="http://schemas.openxmlformats.org/officeDocument/2006/relationships/hyperlink" Target="https://advance.lexis.com/api/document?collection=cases&amp;id=urn:contentItem:3S4X-C090-008H-V3XT-00000-00&amp;context=1519360" TargetMode="External" /><Relationship Id="rId53" Type="http://schemas.openxmlformats.org/officeDocument/2006/relationships/hyperlink" Target="https://advance.lexis.com/api/document?collection=cases&amp;id=urn:contentItem:3S4X-50Y0-003B-S513-00000-00&amp;context=1519360" TargetMode="External" /><Relationship Id="rId54" Type="http://schemas.openxmlformats.org/officeDocument/2006/relationships/hyperlink" Target="https://advance.lexis.com/api/document?collection=cases&amp;id=urn:contentItem:3S4N-7C20-0039-R1JH-00000-00&amp;context=1519360" TargetMode="External" /><Relationship Id="rId55" Type="http://schemas.openxmlformats.org/officeDocument/2006/relationships/hyperlink" Target="https://advance.lexis.com/api/document?collection=cases&amp;id=urn:contentItem:3S4N-DHY0-003B-63VD-00000-00&amp;context=1519360" TargetMode="External" /><Relationship Id="rId56" Type="http://schemas.openxmlformats.org/officeDocument/2006/relationships/hyperlink" Target="https://advance.lexis.com/api/document?collection=cases&amp;id=urn:contentItem:3S4W-YW90-001B-K52K-00000-00&amp;context=1519360" TargetMode="External" /><Relationship Id="rId57" Type="http://schemas.openxmlformats.org/officeDocument/2006/relationships/hyperlink" Target="https://advance.lexis.com/api/document?collection=cases&amp;id=urn:contentItem:3S4X-CFJ0-003B-S4JW-00000-00&amp;context=1519360" TargetMode="External" /><Relationship Id="rId58" Type="http://schemas.openxmlformats.org/officeDocument/2006/relationships/hyperlink" Target="https://advance.lexis.com/api/document?collection=cases&amp;id=urn:contentItem:3S4X-H9B0-003B-S0G0-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JY-9FK1-F1P7-B12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NT7-SPN1-F04K-R0D2-00000-00&amp;context=1519360" TargetMode="External" /><Relationship Id="rId2" Type="http://schemas.openxmlformats.org/officeDocument/2006/relationships/hyperlink" Target="https://advance.lexis.com/api/document?collection=statutes-legislation&amp;id=urn:contentItem:8SG9-5HW2-D6RV-H0BK-00000-00&amp;context=1519360" TargetMode="External" /><Relationship Id="rId3" Type="http://schemas.openxmlformats.org/officeDocument/2006/relationships/hyperlink" Target="https://advance.lexis.com/api/document?collection=cases&amp;id=urn:contentItem:3W5S-4RS0-004C-000N-00000-00&amp;context=1519360" TargetMode="External" /><Relationship Id="rId4" Type="http://schemas.openxmlformats.org/officeDocument/2006/relationships/hyperlink" Target="https://advance.lexis.com/api/document?collection=statutes-legislation&amp;id=urn:contentItem:8SG9-5HW2-D6RV-H0RK-00000-00&amp;context=1519360" TargetMode="External" /><Relationship Id="rId5" Type="http://schemas.openxmlformats.org/officeDocument/2006/relationships/hyperlink" Target="https://advance.lexis.com/api/document?collection=statutes-legislation&amp;id=urn:contentItem:8SG9-5HW2-D6RV-H0RM-00000-00&amp;context=1519360" TargetMode="External" /><Relationship Id="rId6" Type="http://schemas.openxmlformats.org/officeDocument/2006/relationships/hyperlink" Target="https://advance.lexis.com/api/document?collection=statutes-legislation&amp;id=urn:contentItem:8SHT-0712-D6RV-H531-00000-00&amp;context=1519360" TargetMode="External" /><Relationship Id="rId7" Type="http://schemas.openxmlformats.org/officeDocument/2006/relationships/hyperlink" Target="https://advance.lexis.com/api/document?collection=cases&amp;id=urn:contentItem:5PXH-R131-F04K-V450-00000-00&amp;context=1519360" TargetMode="External" /><Relationship Id="rId8" Type="http://schemas.openxmlformats.org/officeDocument/2006/relationships/hyperlink" Target="https://advance.lexis.com/api/document?collection=cases&amp;id=urn:contentItem:64P7-S0J1-JBM1-M39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Wade v. Braman, 2023 U.S. Dist. LEXIS 110762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urn:user:PA186186283</vt:lpwstr>
  </property>
</Properties>
</file>