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Carbajal v. United States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District Court for the Western District of Texas, El Paso Division</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12, 2023, Decided; April 12, 2023,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CAUSE NO. EP-19-CV-321-KC</w:t>
      </w:r>
    </w:p>
    <w:p>
      <w:pPr>
        <w:keepNext w:val="0"/>
        <w:spacing w:after="0" w:line="240" w:lineRule="atLeast"/>
        <w:ind w:right="0"/>
        <w:jc w:val="both"/>
      </w:pPr>
      <w:bookmarkStart w:id="0" w:name="Bookmark_100"/>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2023 U.S. Dist. LEXIS 241557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WL 11915699</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MARIA CARBAJAL, Plaintiff, v. UNITED STATES OF AMERICA and DOES 1-25, inclusive, Defendants.</w:t>
      </w:r>
    </w:p>
    <w:p>
      <w:pPr>
        <w:keepNext w:val="0"/>
        <w:spacing w:before="240" w:after="0" w:line="260" w:lineRule="atLeast"/>
        <w:ind w:left="0" w:right="0" w:firstLine="0"/>
        <w:jc w:val="left"/>
      </w:pPr>
      <w:bookmarkStart w:id="2" w:name="Prior History"/>
      <w:bookmarkEnd w:id="2"/>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hyperlink r:id="rId10" w:history="1">
        <w:r>
          <w:rPr>
            <w:rFonts w:ascii="arial" w:eastAsia="arial" w:hAnsi="arial" w:cs="arial"/>
            <w:b w:val="0"/>
            <w:i/>
            <w:strike w:val="0"/>
            <w:noProof w:val="0"/>
            <w:color w:val="0077CC"/>
            <w:position w:val="0"/>
            <w:sz w:val="20"/>
            <w:u w:val="single"/>
            <w:vertAlign w:val="baseline"/>
          </w:rPr>
          <w:t>Carbajal v. United States, 2021 U.S. Dist. LEXIS 224298, 2021 WL 5369803 (W.D. Tex., Nov. 16, 2021)</w:t>
        </w:r>
      </w:hyperlink>
    </w:p>
    <w:p>
      <w:pPr>
        <w:keepNext/>
        <w:spacing w:before="240" w:after="0" w:line="340" w:lineRule="atLeast"/>
        <w:ind w:left="0" w:right="0" w:firstLine="0"/>
        <w:jc w:val="left"/>
      </w:pPr>
      <w:bookmarkStart w:id="3" w:name="Core Terms"/>
      <w:bookmarkEnd w:id="3"/>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port of entry, dangerous condition, discretionary function, alleges, premises liability, subject matter jurisdiction, sovereign immunity, overcrowding, crowd, revolving door, argues, courts, waived</w:t>
      </w:r>
    </w:p>
    <w:p>
      <w:pPr>
        <w:keepNext w:val="0"/>
        <w:spacing w:before="240" w:after="0" w:line="260" w:lineRule="atLeast"/>
        <w:ind w:left="0" w:right="0" w:firstLine="0"/>
        <w:jc w:val="left"/>
      </w:pPr>
      <w:bookmarkStart w:id="4" w:name="Counsel"/>
      <w:bookmarkEnd w:id="4"/>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Maria Carbajal, Plaintiff, Pro se, El Paso, TX USA.</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United States of America, Defendant: Joseph H. Gay, Jr., LEAD ATTORNEY, Assistant U.S. Attorney, San Antonio, TX USA; Manuel Romero, LEAD ATTORNEY, U.S. Attorney, El Paso, TX USA; Angelica Astrid Saenz, United States Attorney's Office, El Paso, TX USA.</w:t>
      </w:r>
    </w:p>
    <w:p>
      <w:pPr>
        <w:keepNext w:val="0"/>
        <w:spacing w:before="240" w:after="0" w:line="260" w:lineRule="atLeast"/>
        <w:ind w:left="0" w:right="0" w:firstLine="0"/>
        <w:jc w:val="left"/>
      </w:pPr>
      <w:bookmarkStart w:id="5" w:name="Judges"/>
      <w:bookmarkEnd w:id="5"/>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KATHLEEN CARDONE, UNITED STATES DISTRICT JUDGE.</w:t>
      </w:r>
    </w:p>
    <w:p>
      <w:pPr>
        <w:keepNext w:val="0"/>
        <w:spacing w:before="240" w:after="0" w:line="260" w:lineRule="atLeast"/>
        <w:ind w:left="0" w:right="0" w:firstLine="0"/>
        <w:jc w:val="left"/>
      </w:pPr>
      <w:bookmarkStart w:id="6" w:name="Opinion by"/>
      <w:bookmarkEnd w:id="6"/>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KATHLEEN CARDONE</w:t>
      </w:r>
    </w:p>
    <w:p>
      <w:pPr>
        <w:keepNext/>
        <w:spacing w:before="240" w:after="0" w:line="340" w:lineRule="atLeast"/>
        <w:ind w:left="0" w:right="0" w:firstLine="0"/>
        <w:jc w:val="left"/>
      </w:pPr>
      <w:bookmarkStart w:id="7" w:name="Opinion"/>
      <w:bookmarkEnd w:id="7"/>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single"/>
          <w:vertAlign w:val="baseline"/>
        </w:rPr>
        <w:t>ORDER</w:t>
      </w:r>
    </w:p>
    <w:p>
      <w:pPr>
        <w:keepNext w:val="0"/>
        <w:spacing w:before="200" w:after="0" w:line="260" w:lineRule="atLeast"/>
        <w:ind w:left="0" w:right="0" w:firstLine="0"/>
        <w:jc w:val="both"/>
      </w:pPr>
      <w:bookmarkStart w:id="8" w:name="Bookmark_para_1"/>
      <w:bookmarkEnd w:id="8"/>
      <w:r>
        <w:rPr>
          <w:rFonts w:ascii="arial" w:eastAsia="arial" w:hAnsi="arial" w:cs="arial"/>
          <w:b w:val="0"/>
          <w:i w:val="0"/>
          <w:strike w:val="0"/>
          <w:noProof w:val="0"/>
          <w:color w:val="000000"/>
          <w:position w:val="0"/>
          <w:sz w:val="20"/>
          <w:u w:val="none"/>
          <w:vertAlign w:val="baseline"/>
        </w:rPr>
        <w:t xml:space="preserve">On this day, the Court considered the Motion to Dismiss Plaintiff's Amended Complaint for Lack of Subject Matter Jurisdiction ("Motion"), ECF No. 81, filed by Defendant United States (the "Government"). For the reasons set forth below, the Motion is </w:t>
      </w:r>
      <w:r>
        <w:rPr>
          <w:rFonts w:ascii="arial" w:eastAsia="arial" w:hAnsi="arial" w:cs="arial"/>
          <w:b/>
          <w:i w:val="0"/>
          <w:strike w:val="0"/>
          <w:noProof w:val="0"/>
          <w:color w:val="000000"/>
          <w:position w:val="0"/>
          <w:sz w:val="20"/>
          <w:u w:val="none"/>
          <w:vertAlign w:val="baseline"/>
        </w:rPr>
        <w:t>GRANTED</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 BACKGROUND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 Factual Background</w:t>
      </w:r>
    </w:p>
    <w:p>
      <w:pPr>
        <w:keepNext w:val="0"/>
        <w:spacing w:before="200" w:after="0" w:line="260" w:lineRule="atLeast"/>
        <w:ind w:left="0" w:right="0" w:firstLine="0"/>
        <w:jc w:val="both"/>
      </w:pPr>
      <w:bookmarkStart w:id="9" w:name="Bookmark_para_2"/>
      <w:bookmarkEnd w:id="9"/>
      <w:bookmarkStart w:id="10" w:name="Bookmark_I6D6MVHK2N1RGS0020000400"/>
      <w:bookmarkEnd w:id="10"/>
      <w:r>
        <w:rPr>
          <w:rFonts w:ascii="arial" w:eastAsia="arial" w:hAnsi="arial" w:cs="arial"/>
          <w:b w:val="0"/>
          <w:i w:val="0"/>
          <w:strike w:val="0"/>
          <w:noProof w:val="0"/>
          <w:color w:val="000000"/>
          <w:position w:val="0"/>
          <w:sz w:val="20"/>
          <w:u w:val="none"/>
          <w:vertAlign w:val="baseline"/>
        </w:rPr>
        <w:t xml:space="preserve">The following facts are derived from the allegations in Plaintiff's Amended Complaint, ECF No. 38, and are taken as true except to the extent that they are controverted by the evidence submitted by the Government. </w:t>
      </w:r>
      <w:r>
        <w:rPr>
          <w:rFonts w:ascii="arial" w:eastAsia="arial" w:hAnsi="arial" w:cs="arial"/>
          <w:b w:val="0"/>
          <w:i/>
          <w:strike w:val="0"/>
          <w:noProof w:val="0"/>
          <w:color w:val="000000"/>
          <w:position w:val="0"/>
          <w:sz w:val="20"/>
          <w:u w:val="none"/>
          <w:vertAlign w:val="baseline"/>
        </w:rPr>
        <w:t xml:space="preserve">See </w:t>
      </w:r>
      <w:bookmarkStart w:id="11" w:name="Bookmark_I6D6MVHK2N1RGS0010000400"/>
      <w:bookmarkEnd w:id="11"/>
      <w:hyperlink r:id="rId11" w:history="1">
        <w:r>
          <w:rPr>
            <w:rFonts w:ascii="arial" w:eastAsia="arial" w:hAnsi="arial" w:cs="arial"/>
            <w:b w:val="0"/>
            <w:i/>
            <w:strike w:val="0"/>
            <w:noProof w:val="0"/>
            <w:color w:val="0077CC"/>
            <w:position w:val="0"/>
            <w:sz w:val="20"/>
            <w:u w:val="single"/>
            <w:vertAlign w:val="baseline"/>
          </w:rPr>
          <w:t>M.D.C.G. v. United States</w:t>
        </w:r>
      </w:hyperlink>
      <w:hyperlink r:id="rId11" w:history="1">
        <w:r>
          <w:rPr>
            <w:rFonts w:ascii="arial" w:eastAsia="arial" w:hAnsi="arial" w:cs="arial"/>
            <w:b w:val="0"/>
            <w:i/>
            <w:strike w:val="0"/>
            <w:noProof w:val="0"/>
            <w:color w:val="0077CC"/>
            <w:position w:val="0"/>
            <w:sz w:val="20"/>
            <w:u w:val="single"/>
            <w:vertAlign w:val="baseline"/>
          </w:rPr>
          <w:t>, 956 F.3d 762, 768 (5th Cir. 2020)</w:t>
        </w:r>
      </w:hyperlink>
      <w:r>
        <w:rPr>
          <w:rFonts w:ascii="arial" w:eastAsia="arial" w:hAnsi="arial" w:cs="arial"/>
          <w:b w:val="0"/>
          <w:i w:val="0"/>
          <w:strike w:val="0"/>
          <w:noProof w:val="0"/>
          <w:color w:val="000000"/>
          <w:position w:val="0"/>
          <w:sz w:val="20"/>
          <w:u w:val="none"/>
          <w:vertAlign w:val="baseline"/>
        </w:rPr>
        <w:t xml:space="preserve"> (citing </w:t>
      </w:r>
      <w:bookmarkStart w:id="12" w:name="Bookmark_I6D6MVHK2N1RGS0030000400"/>
      <w:bookmarkEnd w:id="12"/>
      <w:hyperlink r:id="rId12" w:history="1">
        <w:r>
          <w:rPr>
            <w:rFonts w:ascii="arial" w:eastAsia="arial" w:hAnsi="arial" w:cs="arial"/>
            <w:b w:val="0"/>
            <w:i/>
            <w:strike w:val="0"/>
            <w:noProof w:val="0"/>
            <w:color w:val="0077CC"/>
            <w:position w:val="0"/>
            <w:sz w:val="20"/>
            <w:u w:val="single"/>
            <w:vertAlign w:val="baseline"/>
          </w:rPr>
          <w:t>Flores v. Pompeo</w:t>
        </w:r>
      </w:hyperlink>
      <w:hyperlink r:id="rId12" w:history="1">
        <w:r>
          <w:rPr>
            <w:rFonts w:ascii="arial" w:eastAsia="arial" w:hAnsi="arial" w:cs="arial"/>
            <w:b w:val="0"/>
            <w:i/>
            <w:strike w:val="0"/>
            <w:noProof w:val="0"/>
            <w:color w:val="0077CC"/>
            <w:position w:val="0"/>
            <w:sz w:val="20"/>
            <w:u w:val="single"/>
            <w:vertAlign w:val="baseline"/>
          </w:rPr>
          <w:t>, 936 F.3d 273, 276 (5th Cir. 2019)</w:t>
        </w:r>
      </w:hyperlink>
      <w:r>
        <w:rPr>
          <w:rFonts w:ascii="arial" w:eastAsia="arial" w:hAnsi="arial" w:cs="arial"/>
          <w:b w:val="0"/>
          <w:i w:val="0"/>
          <w:strike w:val="0"/>
          <w:noProof w:val="0"/>
          <w:color w:val="000000"/>
          <w:position w:val="0"/>
          <w:sz w:val="20"/>
          <w:u w:val="none"/>
          <w:vertAlign w:val="baseline"/>
        </w:rPr>
        <w:t xml:space="preserve">). On September 23, 2017, Plaintiff crossed the Sante Fe Bridge at the Paso del Norte Port of Entry, a public property owned by the Government. Am. Compl. ¶¶ 9-10. While at the Port of Entry, Plaintiff began to pass through an automatic revolving door.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10. But Plaintiff "was unable to exit [the automatic</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revolving door] due to the overcrowding in the lobby area" on the other side of the door.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Plaintiff then "felt a push," which caused her to "fall and sustain severe . . . injuries," including two bone fractures.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Plaintiff incurred medical expenses and other damages as a result.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 10-17.</w:t>
      </w:r>
    </w:p>
    <w:p>
      <w:pPr>
        <w:keepNext w:val="0"/>
        <w:spacing w:before="200" w:after="0" w:line="260" w:lineRule="atLeast"/>
        <w:ind w:left="0" w:right="0" w:firstLine="0"/>
        <w:jc w:val="both"/>
      </w:pPr>
      <w:bookmarkStart w:id="13" w:name="Bookmark_para_3"/>
      <w:bookmarkEnd w:id="13"/>
      <w:r>
        <w:rPr>
          <w:rFonts w:ascii="arial" w:eastAsia="arial" w:hAnsi="arial" w:cs="arial"/>
          <w:b w:val="0"/>
          <w:i w:val="0"/>
          <w:strike w:val="0"/>
          <w:noProof w:val="0"/>
          <w:color w:val="000000"/>
          <w:position w:val="0"/>
          <w:sz w:val="20"/>
          <w:u w:val="none"/>
          <w:vertAlign w:val="baseline"/>
        </w:rPr>
        <w:t xml:space="preserve">Based on these allegations, Plaintiff asserts two claims against the Government under the </w:t>
      </w:r>
      <w:hyperlink r:id="rId13" w:history="1">
        <w:r>
          <w:rPr>
            <w:rFonts w:ascii="arial" w:eastAsia="arial" w:hAnsi="arial" w:cs="arial"/>
            <w:b w:val="0"/>
            <w:i/>
            <w:strike w:val="0"/>
            <w:noProof w:val="0"/>
            <w:color w:val="0077CC"/>
            <w:position w:val="0"/>
            <w:sz w:val="20"/>
            <w:u w:val="single"/>
            <w:vertAlign w:val="baseline"/>
          </w:rPr>
          <w:t xml:space="preserve">Federal Tort Claims Act ("FTCA"), 28 U.S.C. § 2671 </w:t>
        </w:r>
      </w:hyperlink>
      <w:hyperlink r:id="rId13" w:history="1">
        <w:r>
          <w:rPr>
            <w:rFonts w:ascii="arial" w:eastAsia="arial" w:hAnsi="arial" w:cs="arial"/>
            <w:b w:val="0"/>
            <w:i/>
            <w:strike w:val="0"/>
            <w:noProof w:val="0"/>
            <w:color w:val="0077CC"/>
            <w:position w:val="0"/>
            <w:sz w:val="20"/>
            <w:u w:val="single"/>
            <w:vertAlign w:val="baseline"/>
          </w:rPr>
          <w:t>et seq.</w:t>
        </w:r>
      </w:hyperlink>
      <w:r>
        <w:rPr>
          <w:rFonts w:ascii="arial" w:eastAsia="arial" w:hAnsi="arial" w:cs="arial"/>
          <w:b w:val="0"/>
          <w:i/>
          <w:strike w:val="0"/>
          <w:noProof w:val="0"/>
          <w:color w:val="000000"/>
          <w:position w:val="0"/>
          <w:sz w:val="20"/>
          <w:u w:val="none"/>
          <w:vertAlign w:val="baseline"/>
        </w:rPr>
        <w:t xml:space="preserve"> See</w:t>
      </w:r>
      <w:r>
        <w:rPr>
          <w:rFonts w:ascii="arial" w:eastAsia="arial" w:hAnsi="arial" w:cs="arial"/>
          <w:b w:val="0"/>
          <w:i w:val="0"/>
          <w:strike w:val="0"/>
          <w:noProof w:val="0"/>
          <w:color w:val="000000"/>
          <w:position w:val="0"/>
          <w:sz w:val="20"/>
          <w:u w:val="none"/>
          <w:vertAlign w:val="baseline"/>
        </w:rPr>
        <w:t xml:space="preserve"> Am. Compl. ¶¶ 4, 19-37.</w:t>
      </w:r>
      <w:r>
        <w:rPr>
          <w:rFonts w:ascii="arial" w:eastAsia="arial" w:hAnsi="arial" w:cs="arial"/>
          <w:vertAlign w:val="superscript"/>
        </w:rPr>
        <w:footnoteReference w:customMarkFollows="1" w:id="2"/>
        <w:t xml:space="preserve">1</w:t>
      </w:r>
      <w:r>
        <w:rPr>
          <w:rFonts w:ascii="arial" w:eastAsia="arial" w:hAnsi="arial" w:cs="arial"/>
          <w:b w:val="0"/>
          <w:i w:val="0"/>
          <w:strike w:val="0"/>
          <w:noProof w:val="0"/>
          <w:color w:val="000000"/>
          <w:position w:val="0"/>
          <w:sz w:val="20"/>
          <w:u w:val="none"/>
          <w:vertAlign w:val="baseline"/>
        </w:rPr>
        <w:t xml:space="preserve"> First, Plaintiff claims the Government violated its duty to protect her and other members of the public from "dangerous conditions" at the Port of Entry.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 19-29. Second, Plaintiff raises a claim of premises liability, arguing that the Government violated its "duty to exercise reasonable care to avoid injury to persons on or around" the Port of Entry.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 30-37.</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B. Procedural Background</w:t>
      </w:r>
    </w:p>
    <w:p>
      <w:pPr>
        <w:keepNext w:val="0"/>
        <w:spacing w:before="200" w:after="0" w:line="260" w:lineRule="atLeast"/>
        <w:ind w:left="0" w:right="0" w:firstLine="0"/>
        <w:jc w:val="both"/>
      </w:pPr>
      <w:bookmarkStart w:id="15" w:name="Bookmark_para_4"/>
      <w:bookmarkEnd w:id="15"/>
      <w:r>
        <w:rPr>
          <w:rFonts w:ascii="arial" w:eastAsia="arial" w:hAnsi="arial" w:cs="arial"/>
          <w:b w:val="0"/>
          <w:i w:val="0"/>
          <w:strike w:val="0"/>
          <w:noProof w:val="0"/>
          <w:color w:val="000000"/>
          <w:position w:val="0"/>
          <w:sz w:val="20"/>
          <w:u w:val="none"/>
          <w:vertAlign w:val="baseline"/>
        </w:rPr>
        <w:t xml:space="preserve">The Government previously moved to dismiss several claims from Plaintiff's Original Complaint, ECF No. 1, and sought summary judgment on the remaining claims.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Def. United States' Mot. Dismiss &amp; Mot. Summ. J., ECF No. 31. The Court granted the Government's motion but also granted Plaintiff leave to amend her complaint. Nov. 16, 2021, Order ("Order") 21, ECF No.</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37. Plaintiff filed her Amended Complaint—the operative pleading—shortly thereafter.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Am. Compl. 8.</w:t>
      </w:r>
    </w:p>
    <w:p>
      <w:pPr>
        <w:keepNext w:val="0"/>
        <w:spacing w:before="200" w:after="0" w:line="260" w:lineRule="atLeast"/>
        <w:ind w:left="0" w:right="0" w:firstLine="0"/>
        <w:jc w:val="both"/>
      </w:pPr>
      <w:bookmarkStart w:id="16" w:name="Bookmark_para_5"/>
      <w:bookmarkEnd w:id="16"/>
      <w:r>
        <w:rPr>
          <w:rFonts w:ascii="arial" w:eastAsia="arial" w:hAnsi="arial" w:cs="arial"/>
          <w:b w:val="0"/>
          <w:i w:val="0"/>
          <w:strike w:val="0"/>
          <w:noProof w:val="0"/>
          <w:color w:val="000000"/>
          <w:position w:val="0"/>
          <w:sz w:val="20"/>
          <w:u w:val="none"/>
          <w:vertAlign w:val="baseline"/>
        </w:rPr>
        <w:t xml:space="preserve">The Government filed the present Motion on November 3, 2022.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Mot. 14. Per Local Rule CV-7(D)(2), Plaintiff had until November 17, 2022, to file a response to the Motion. That deadline has long elapsed, and Plaintiff has not filed a response of any kind.</w:t>
      </w:r>
      <w:r>
        <w:rPr>
          <w:rFonts w:ascii="arial" w:eastAsia="arial" w:hAnsi="arial" w:cs="arial"/>
          <w:vertAlign w:val="superscript"/>
        </w:rPr>
        <w:footnoteReference w:customMarkFollows="1" w:id="3"/>
        <w:t xml:space="preserve">2</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 DISCUSSION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 Standard</w:t>
      </w:r>
    </w:p>
    <w:p>
      <w:pPr>
        <w:keepNext w:val="0"/>
        <w:spacing w:before="240" w:after="0" w:line="260" w:lineRule="atLeast"/>
        <w:ind w:left="0" w:right="0" w:firstLine="0"/>
        <w:jc w:val="both"/>
      </w:pPr>
      <w:bookmarkStart w:id="20" w:name="Bookmark_para_6"/>
      <w:bookmarkEnd w:id="20"/>
      <w:bookmarkStart w:id="21" w:name="Bookmark_I6D6MVHK28T4490030000400"/>
      <w:bookmarkEnd w:id="21"/>
      <w:r>
        <w:rPr>
          <w:rFonts w:ascii="arial" w:eastAsia="arial" w:hAnsi="arial" w:cs="arial"/>
          <w:b w:val="0"/>
          <w:i w:val="0"/>
          <w:strike w:val="0"/>
          <w:noProof w:val="0"/>
          <w:color w:val="000000"/>
          <w:position w:val="0"/>
          <w:sz w:val="20"/>
          <w:u w:val="none"/>
          <w:vertAlign w:val="baseline"/>
        </w:rPr>
        <w:t xml:space="preserve">Federal courts are courts of limited jurisdiction. </w:t>
      </w:r>
      <w:bookmarkStart w:id="22" w:name="Bookmark_I6D6MVHM2N1RH20020000400"/>
      <w:bookmarkEnd w:id="22"/>
      <w:bookmarkStart w:id="23" w:name="Bookmark_I6D6MVHK28T4490020000400"/>
      <w:bookmarkEnd w:id="23"/>
      <w:hyperlink r:id="rId14" w:history="1">
        <w:r>
          <w:rPr>
            <w:rFonts w:ascii="arial" w:eastAsia="arial" w:hAnsi="arial" w:cs="arial"/>
            <w:b w:val="0"/>
            <w:i/>
            <w:strike w:val="0"/>
            <w:noProof w:val="0"/>
            <w:color w:val="0077CC"/>
            <w:position w:val="0"/>
            <w:sz w:val="20"/>
            <w:u w:val="single"/>
            <w:vertAlign w:val="baseline"/>
          </w:rPr>
          <w:t>Exxon Mobil Corp. v. Allapattah Servs.</w:t>
        </w:r>
      </w:hyperlink>
      <w:hyperlink r:id="rId14" w:history="1">
        <w:r>
          <w:rPr>
            <w:rFonts w:ascii="arial" w:eastAsia="arial" w:hAnsi="arial" w:cs="arial"/>
            <w:b w:val="0"/>
            <w:i/>
            <w:strike w:val="0"/>
            <w:noProof w:val="0"/>
            <w:color w:val="0077CC"/>
            <w:position w:val="0"/>
            <w:sz w:val="20"/>
            <w:u w:val="single"/>
            <w:vertAlign w:val="baseline"/>
          </w:rPr>
          <w:t>, 545 U.S. 546, 552, 125 S. Ct. 2611, 162 L. Ed. 2d 502 (2005)</w:t>
        </w:r>
      </w:hyperlink>
      <w:r>
        <w:rPr>
          <w:rFonts w:ascii="arial" w:eastAsia="arial" w:hAnsi="arial" w:cs="arial"/>
          <w:b w:val="0"/>
          <w:i w:val="0"/>
          <w:strike w:val="0"/>
          <w:noProof w:val="0"/>
          <w:color w:val="000000"/>
          <w:position w:val="0"/>
          <w:sz w:val="20"/>
          <w:u w:val="none"/>
          <w:vertAlign w:val="baseline"/>
        </w:rPr>
        <w:t xml:space="preserve">; </w:t>
      </w:r>
      <w:bookmarkStart w:id="24" w:name="Bookmark_I6D6MVHK28T4490040000400"/>
      <w:bookmarkEnd w:id="24"/>
      <w:hyperlink r:id="rId15" w:history="1">
        <w:r>
          <w:rPr>
            <w:rFonts w:ascii="arial" w:eastAsia="arial" w:hAnsi="arial" w:cs="arial"/>
            <w:b w:val="0"/>
            <w:i/>
            <w:strike w:val="0"/>
            <w:noProof w:val="0"/>
            <w:color w:val="0077CC"/>
            <w:position w:val="0"/>
            <w:sz w:val="20"/>
            <w:u w:val="single"/>
            <w:vertAlign w:val="baseline"/>
          </w:rPr>
          <w:t>People's Nat'l Bank v. Off. of the Comptroller of the Currency of the U.S.</w:t>
        </w:r>
      </w:hyperlink>
      <w:hyperlink r:id="rId15" w:history="1">
        <w:r>
          <w:rPr>
            <w:rFonts w:ascii="arial" w:eastAsia="arial" w:hAnsi="arial" w:cs="arial"/>
            <w:b w:val="0"/>
            <w:i/>
            <w:strike w:val="0"/>
            <w:noProof w:val="0"/>
            <w:color w:val="0077CC"/>
            <w:position w:val="0"/>
            <w:sz w:val="20"/>
            <w:u w:val="single"/>
            <w:vertAlign w:val="baseline"/>
          </w:rPr>
          <w:t>, 362 F.3d 333, 336 (5th Cir. 2004)</w:t>
        </w:r>
      </w:hyperlink>
      <w:r>
        <w:rPr>
          <w:rFonts w:ascii="arial" w:eastAsia="arial" w:hAnsi="arial" w:cs="arial"/>
          <w:b w:val="0"/>
          <w:i w:val="0"/>
          <w:strike w:val="0"/>
          <w:noProof w:val="0"/>
          <w:color w:val="000000"/>
          <w:position w:val="0"/>
          <w:sz w:val="20"/>
          <w:u w:val="none"/>
          <w:vertAlign w:val="baseline"/>
        </w:rPr>
        <w:t xml:space="preserve">. Without jurisdiction conferred by statute or the Constitution, federal courts lack the power to adjudicate claims. </w:t>
      </w:r>
      <w:bookmarkStart w:id="25" w:name="Bookmark_I6D6MVHM2N1RH20020000400_2"/>
      <w:bookmarkEnd w:id="25"/>
      <w:bookmarkStart w:id="26" w:name="Bookmark_I6D6MVHM2N1RH20010000400"/>
      <w:bookmarkEnd w:id="26"/>
      <w:hyperlink r:id="rId14" w:history="1">
        <w:r>
          <w:rPr>
            <w:rFonts w:ascii="arial" w:eastAsia="arial" w:hAnsi="arial" w:cs="arial"/>
            <w:b w:val="0"/>
            <w:i/>
            <w:strike w:val="0"/>
            <w:noProof w:val="0"/>
            <w:color w:val="0077CC"/>
            <w:position w:val="0"/>
            <w:sz w:val="20"/>
            <w:u w:val="single"/>
            <w:vertAlign w:val="baseline"/>
          </w:rPr>
          <w:t>Exxon Mobil</w:t>
        </w:r>
      </w:hyperlink>
      <w:hyperlink r:id="rId14" w:history="1">
        <w:r>
          <w:rPr>
            <w:rFonts w:ascii="arial" w:eastAsia="arial" w:hAnsi="arial" w:cs="arial"/>
            <w:b w:val="0"/>
            <w:i/>
            <w:strike w:val="0"/>
            <w:noProof w:val="0"/>
            <w:color w:val="0077CC"/>
            <w:position w:val="0"/>
            <w:sz w:val="20"/>
            <w:u w:val="single"/>
            <w:vertAlign w:val="baseline"/>
          </w:rPr>
          <w:t>, 545 U.S. at 552</w:t>
        </w:r>
      </w:hyperlink>
      <w:r>
        <w:rPr>
          <w:rFonts w:ascii="arial" w:eastAsia="arial" w:hAnsi="arial" w:cs="arial"/>
          <w:b w:val="0"/>
          <w:i w:val="0"/>
          <w:strike w:val="0"/>
          <w:noProof w:val="0"/>
          <w:color w:val="000000"/>
          <w:position w:val="0"/>
          <w:sz w:val="20"/>
          <w:u w:val="none"/>
          <w:vertAlign w:val="baseline"/>
        </w:rPr>
        <w:t xml:space="preserve">; </w:t>
      </w:r>
      <w:bookmarkStart w:id="27" w:name="Bookmark_I6D6MVHM2N1RH20030000400"/>
      <w:bookmarkEnd w:id="27"/>
      <w:hyperlink r:id="rId15" w:history="1">
        <w:r>
          <w:rPr>
            <w:rFonts w:ascii="arial" w:eastAsia="arial" w:hAnsi="arial" w:cs="arial"/>
            <w:b w:val="0"/>
            <w:i/>
            <w:strike w:val="0"/>
            <w:noProof w:val="0"/>
            <w:color w:val="0077CC"/>
            <w:position w:val="0"/>
            <w:sz w:val="20"/>
            <w:u w:val="single"/>
            <w:vertAlign w:val="baseline"/>
          </w:rPr>
          <w:t>People's Nat'l Bank</w:t>
        </w:r>
      </w:hyperlink>
      <w:hyperlink r:id="rId15" w:history="1">
        <w:r>
          <w:rPr>
            <w:rFonts w:ascii="arial" w:eastAsia="arial" w:hAnsi="arial" w:cs="arial"/>
            <w:b w:val="0"/>
            <w:i/>
            <w:strike w:val="0"/>
            <w:noProof w:val="0"/>
            <w:color w:val="0077CC"/>
            <w:position w:val="0"/>
            <w:sz w:val="20"/>
            <w:u w:val="single"/>
            <w:vertAlign w:val="baseline"/>
          </w:rPr>
          <w:t>, 362 F.3d at 336</w:t>
        </w:r>
      </w:hyperlink>
      <w:r>
        <w:rPr>
          <w:rFonts w:ascii="arial" w:eastAsia="arial" w:hAnsi="arial" w:cs="arial"/>
          <w:b w:val="0"/>
          <w:i w:val="0"/>
          <w:strike w:val="0"/>
          <w:noProof w:val="0"/>
          <w:color w:val="000000"/>
          <w:position w:val="0"/>
          <w:sz w:val="20"/>
          <w:u w:val="none"/>
          <w:vertAlign w:val="baseline"/>
        </w:rPr>
        <w:t xml:space="preserve">. </w:t>
      </w:r>
      <w:bookmarkStart w:id="28" w:name="Bookmark_I6D6MVHM2HM5RC0010000400"/>
      <w:bookmarkEnd w:id="28"/>
      <w:r>
        <w:rPr>
          <w:rFonts w:ascii="arial" w:eastAsia="arial" w:hAnsi="arial" w:cs="arial"/>
          <w:b w:val="0"/>
          <w:i w:val="0"/>
          <w:strike w:val="0"/>
          <w:noProof w:val="0"/>
          <w:color w:val="000000"/>
          <w:position w:val="0"/>
          <w:sz w:val="20"/>
          <w:u w:val="none"/>
          <w:vertAlign w:val="baseline"/>
        </w:rPr>
        <w:t xml:space="preserve">A party may challenge a district court's subject matter jurisdiction by filing a motion to dismiss pursuant to </w:t>
      </w:r>
      <w:r>
        <w:rPr>
          <w:rFonts w:ascii="arial" w:eastAsia="arial" w:hAnsi="arial" w:cs="arial"/>
          <w:b w:val="0"/>
          <w:i/>
          <w:strike w:val="0"/>
          <w:noProof w:val="0"/>
          <w:color w:val="000000"/>
          <w:position w:val="0"/>
          <w:sz w:val="20"/>
          <w:u w:val="none"/>
          <w:vertAlign w:val="baseline"/>
        </w:rPr>
        <w:t>Federal Rule of Civil Procedure 12(b)(1)</w:t>
      </w:r>
      <w:r>
        <w:rPr>
          <w:rFonts w:ascii="arial" w:eastAsia="arial" w:hAnsi="arial" w:cs="arial"/>
          <w:b w:val="0"/>
          <w:i w:val="0"/>
          <w:strike w:val="0"/>
          <w:noProof w:val="0"/>
          <w:color w:val="000000"/>
          <w:position w:val="0"/>
          <w:sz w:val="20"/>
          <w:u w:val="none"/>
          <w:vertAlign w:val="baseline"/>
        </w:rPr>
        <w:t xml:space="preserve">. A federal court must consider a motion to dismiss pursuant to </w:t>
      </w:r>
      <w:r>
        <w:rPr>
          <w:rFonts w:ascii="arial" w:eastAsia="arial" w:hAnsi="arial" w:cs="arial"/>
          <w:b w:val="0"/>
          <w:i/>
          <w:strike w:val="0"/>
          <w:noProof w:val="0"/>
          <w:color w:val="000000"/>
          <w:position w:val="0"/>
          <w:sz w:val="20"/>
          <w:u w:val="none"/>
          <w:vertAlign w:val="baseline"/>
        </w:rPr>
        <w:t>Rule 12(b)(1)</w:t>
      </w:r>
      <w:r>
        <w:rPr>
          <w:rFonts w:ascii="arial" w:eastAsia="arial" w:hAnsi="arial" w:cs="arial"/>
          <w:b w:val="0"/>
          <w:i w:val="0"/>
          <w:strike w:val="0"/>
          <w:noProof w:val="0"/>
          <w:color w:val="000000"/>
          <w:position w:val="0"/>
          <w:sz w:val="20"/>
          <w:u w:val="none"/>
          <w:vertAlign w:val="baseline"/>
        </w:rPr>
        <w:t xml:space="preserve"> before any other challenge because a court must have subject matter jurisdiction before determining the validity of a claim. </w:t>
      </w:r>
      <w:bookmarkStart w:id="29" w:name="Bookmark_I6D6MVHM2N1RH20050000400"/>
      <w:bookmarkEnd w:id="29"/>
      <w:hyperlink r:id="rId16" w:history="1">
        <w:r>
          <w:rPr>
            <w:rFonts w:ascii="arial" w:eastAsia="arial" w:hAnsi="arial" w:cs="arial"/>
            <w:b w:val="0"/>
            <w:i/>
            <w:strike w:val="0"/>
            <w:noProof w:val="0"/>
            <w:color w:val="0077CC"/>
            <w:position w:val="0"/>
            <w:sz w:val="20"/>
            <w:u w:val="single"/>
            <w:vertAlign w:val="baseline"/>
          </w:rPr>
          <w:t>Moran v. Kingdom of Saudi Arabia</w:t>
        </w:r>
      </w:hyperlink>
      <w:hyperlink r:id="rId16" w:history="1">
        <w:r>
          <w:rPr>
            <w:rFonts w:ascii="arial" w:eastAsia="arial" w:hAnsi="arial" w:cs="arial"/>
            <w:b w:val="0"/>
            <w:i/>
            <w:strike w:val="0"/>
            <w:noProof w:val="0"/>
            <w:color w:val="0077CC"/>
            <w:position w:val="0"/>
            <w:sz w:val="20"/>
            <w:u w:val="single"/>
            <w:vertAlign w:val="baseline"/>
          </w:rPr>
          <w:t>, 27 F.3d 169, 172 (5th Cir. 1994)</w:t>
        </w:r>
      </w:hyperlink>
      <w:r>
        <w:rPr>
          <w:rFonts w:ascii="arial" w:eastAsia="arial" w:hAnsi="arial" w:cs="arial"/>
          <w:b w:val="0"/>
          <w:i w:val="0"/>
          <w:strike w:val="0"/>
          <w:noProof w:val="0"/>
          <w:color w:val="000000"/>
          <w:position w:val="0"/>
          <w:sz w:val="20"/>
          <w:u w:val="none"/>
          <w:vertAlign w:val="baseline"/>
        </w:rPr>
        <w:t xml:space="preserve">. And if "the court determines at any time that it lacks subject-matter jurisdiction, [it] must dismiss the action." </w:t>
      </w:r>
      <w:r>
        <w:rPr>
          <w:rFonts w:ascii="arial" w:eastAsia="arial" w:hAnsi="arial" w:cs="arial"/>
          <w:b w:val="0"/>
          <w:i/>
          <w:strike w:val="0"/>
          <w:noProof w:val="0"/>
          <w:color w:val="000000"/>
          <w:position w:val="0"/>
          <w:sz w:val="20"/>
          <w:u w:val="none"/>
          <w:vertAlign w:val="baseline"/>
        </w:rPr>
        <w:t>Fed. R. Civ. P. 12(h)(3)</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30" w:name="Bookmark_para_7"/>
      <w:bookmarkEnd w:id="30"/>
      <w:bookmarkStart w:id="31" w:name="Bookmark_I6D6MVHM2HM5RC0030000400"/>
      <w:bookmarkEnd w:id="31"/>
      <w:bookmarkStart w:id="32" w:name="Bookmark_I6D6MVHM28T44M0020000400"/>
      <w:bookmarkEnd w:id="32"/>
      <w:r>
        <w:rPr>
          <w:rFonts w:ascii="arial" w:eastAsia="arial" w:hAnsi="arial" w:cs="arial"/>
          <w:b w:val="0"/>
          <w:i w:val="0"/>
          <w:strike w:val="0"/>
          <w:noProof w:val="0"/>
          <w:color w:val="000000"/>
          <w:position w:val="0"/>
          <w:sz w:val="20"/>
          <w:u w:val="none"/>
          <w:vertAlign w:val="baseline"/>
        </w:rPr>
        <w:t xml:space="preserve">A </w:t>
      </w:r>
      <w:r>
        <w:rPr>
          <w:rFonts w:ascii="arial" w:eastAsia="arial" w:hAnsi="arial" w:cs="arial"/>
          <w:b w:val="0"/>
          <w:i/>
          <w:strike w:val="0"/>
          <w:noProof w:val="0"/>
          <w:color w:val="000000"/>
          <w:position w:val="0"/>
          <w:sz w:val="20"/>
          <w:u w:val="none"/>
          <w:vertAlign w:val="baseline"/>
        </w:rPr>
        <w:t>Rule 12(b)(1)</w:t>
      </w:r>
      <w:r>
        <w:rPr>
          <w:rFonts w:ascii="arial" w:eastAsia="arial" w:hAnsi="arial" w:cs="arial"/>
          <w:b w:val="0"/>
          <w:i w:val="0"/>
          <w:strike w:val="0"/>
          <w:noProof w:val="0"/>
          <w:color w:val="000000"/>
          <w:position w:val="0"/>
          <w:sz w:val="20"/>
          <w:u w:val="none"/>
          <w:vertAlign w:val="baseline"/>
        </w:rPr>
        <w:t xml:space="preserve"> motion may present either a "facial" challenge or a "factual" challenge to the existence of subject matter jurisdiction. </w:t>
      </w:r>
      <w:bookmarkStart w:id="33" w:name="Bookmark_I6D6MVHM28T44M0040000400"/>
      <w:bookmarkEnd w:id="33"/>
      <w:r>
        <w:rPr>
          <w:rFonts w:ascii="arial" w:eastAsia="arial" w:hAnsi="arial" w:cs="arial"/>
          <w:b w:val="0"/>
          <w:i/>
          <w:strike w:val="0"/>
          <w:noProof w:val="0"/>
          <w:color w:val="000000"/>
          <w:position w:val="0"/>
          <w:sz w:val="20"/>
          <w:u w:val="none"/>
          <w:vertAlign w:val="baseline"/>
        </w:rPr>
        <w:t xml:space="preserve">See </w:t>
      </w:r>
      <w:bookmarkStart w:id="34" w:name="Bookmark_I6D6MVHM2HM5RC0020000400"/>
      <w:bookmarkEnd w:id="34"/>
      <w:hyperlink r:id="rId17" w:history="1">
        <w:r>
          <w:rPr>
            <w:rFonts w:ascii="arial" w:eastAsia="arial" w:hAnsi="arial" w:cs="arial"/>
            <w:b w:val="0"/>
            <w:i/>
            <w:strike w:val="0"/>
            <w:noProof w:val="0"/>
            <w:color w:val="0077CC"/>
            <w:position w:val="0"/>
            <w:sz w:val="20"/>
            <w:u w:val="single"/>
            <w:vertAlign w:val="baseline"/>
          </w:rPr>
          <w:t>Superior MRI Servs., Inc. v. All. Healthcare Servs., Inc.</w:t>
        </w:r>
      </w:hyperlink>
      <w:hyperlink r:id="rId17" w:history="1">
        <w:r>
          <w:rPr>
            <w:rFonts w:ascii="arial" w:eastAsia="arial" w:hAnsi="arial" w:cs="arial"/>
            <w:b w:val="0"/>
            <w:i/>
            <w:strike w:val="0"/>
            <w:noProof w:val="0"/>
            <w:color w:val="0077CC"/>
            <w:position w:val="0"/>
            <w:sz w:val="20"/>
            <w:u w:val="single"/>
            <w:vertAlign w:val="baseline"/>
          </w:rPr>
          <w:t>, 778 F.3d 502, 504 (5th Cir. 2015)</w:t>
        </w:r>
      </w:hyperlink>
      <w:r>
        <w:rPr>
          <w:rFonts w:ascii="arial" w:eastAsia="arial" w:hAnsi="arial" w:cs="arial"/>
          <w:b w:val="0"/>
          <w:i w:val="0"/>
          <w:strike w:val="0"/>
          <w:noProof w:val="0"/>
          <w:color w:val="000000"/>
          <w:position w:val="0"/>
          <w:sz w:val="20"/>
          <w:u w:val="none"/>
          <w:vertAlign w:val="baseline"/>
        </w:rPr>
        <w:t xml:space="preserve"> (citing </w:t>
      </w:r>
      <w:bookmarkStart w:id="35" w:name="Bookmark_I6D6MVHM2HM5RC0040000400"/>
      <w:bookmarkEnd w:id="35"/>
      <w:hyperlink r:id="rId18" w:history="1">
        <w:r>
          <w:rPr>
            <w:rFonts w:ascii="arial" w:eastAsia="arial" w:hAnsi="arial" w:cs="arial"/>
            <w:b w:val="0"/>
            <w:i/>
            <w:strike w:val="0"/>
            <w:noProof w:val="0"/>
            <w:color w:val="0077CC"/>
            <w:position w:val="0"/>
            <w:sz w:val="20"/>
            <w:u w:val="single"/>
            <w:vertAlign w:val="baseline"/>
          </w:rPr>
          <w:t>Paterson v. Weinberger</w:t>
        </w:r>
      </w:hyperlink>
      <w:hyperlink r:id="rId18" w:history="1">
        <w:r>
          <w:rPr>
            <w:rFonts w:ascii="arial" w:eastAsia="arial" w:hAnsi="arial" w:cs="arial"/>
            <w:b w:val="0"/>
            <w:i/>
            <w:strike w:val="0"/>
            <w:noProof w:val="0"/>
            <w:color w:val="0077CC"/>
            <w:position w:val="0"/>
            <w:sz w:val="20"/>
            <w:u w:val="single"/>
            <w:vertAlign w:val="baseline"/>
          </w:rPr>
          <w:t>, 644 F.2d 521, 523 (5th Cir. 1981)</w:t>
        </w:r>
      </w:hyperlink>
      <w:r>
        <w:rPr>
          <w:rFonts w:ascii="arial" w:eastAsia="arial" w:hAnsi="arial" w:cs="arial"/>
          <w:b w:val="0"/>
          <w:i w:val="0"/>
          <w:strike w:val="0"/>
          <w:noProof w:val="0"/>
          <w:color w:val="000000"/>
          <w:position w:val="0"/>
          <w:sz w:val="20"/>
          <w:u w:val="none"/>
          <w:vertAlign w:val="baseline"/>
        </w:rPr>
        <w:t>). "An attack is 'factual' rather than 'facial' if the defendant 'submits affidavits, testimony, or</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other evidentiary materials.'"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(quoting </w:t>
      </w:r>
      <w:bookmarkStart w:id="36" w:name="Bookmark_I6D6MVHM28T44M0010000400"/>
      <w:bookmarkEnd w:id="36"/>
      <w:hyperlink r:id="rId18" w:history="1">
        <w:r>
          <w:rPr>
            <w:rFonts w:ascii="arial" w:eastAsia="arial" w:hAnsi="arial" w:cs="arial"/>
            <w:b w:val="0"/>
            <w:i/>
            <w:strike w:val="0"/>
            <w:noProof w:val="0"/>
            <w:color w:val="0077CC"/>
            <w:position w:val="0"/>
            <w:sz w:val="20"/>
            <w:u w:val="single"/>
            <w:vertAlign w:val="baseline"/>
          </w:rPr>
          <w:t>Paterson</w:t>
        </w:r>
      </w:hyperlink>
      <w:hyperlink r:id="rId18" w:history="1">
        <w:r>
          <w:rPr>
            <w:rFonts w:ascii="arial" w:eastAsia="arial" w:hAnsi="arial" w:cs="arial"/>
            <w:b w:val="0"/>
            <w:i/>
            <w:strike w:val="0"/>
            <w:noProof w:val="0"/>
            <w:color w:val="0077CC"/>
            <w:position w:val="0"/>
            <w:sz w:val="20"/>
            <w:u w:val="single"/>
            <w:vertAlign w:val="baseline"/>
          </w:rPr>
          <w:t>, 644 F.2d at 523</w:t>
        </w:r>
      </w:hyperlink>
      <w:r>
        <w:rPr>
          <w:rFonts w:ascii="arial" w:eastAsia="arial" w:hAnsi="arial" w:cs="arial"/>
          <w:b w:val="0"/>
          <w:i w:val="0"/>
          <w:strike w:val="0"/>
          <w:noProof w:val="0"/>
          <w:color w:val="000000"/>
          <w:position w:val="0"/>
          <w:sz w:val="20"/>
          <w:u w:val="none"/>
          <w:vertAlign w:val="baseline"/>
        </w:rPr>
        <w:t xml:space="preserve">). </w:t>
      </w:r>
      <w:bookmarkStart w:id="37" w:name="Bookmark_I6D6MVHM28T44M0040000400_2"/>
      <w:bookmarkEnd w:id="37"/>
      <w:r>
        <w:rPr>
          <w:rFonts w:ascii="arial" w:eastAsia="arial" w:hAnsi="arial" w:cs="arial"/>
          <w:b w:val="0"/>
          <w:i w:val="0"/>
          <w:strike w:val="0"/>
          <w:noProof w:val="0"/>
          <w:color w:val="000000"/>
          <w:position w:val="0"/>
          <w:sz w:val="20"/>
          <w:u w:val="none"/>
          <w:vertAlign w:val="baseline"/>
        </w:rPr>
        <w:t xml:space="preserve">On a factual challenge, the plaintiff "must prove the existence of subject-matter jurisdiction by a preponderance of the evidence" by "submit[ting] facts through some evidentiary method to sustain his burden of proof." </w:t>
      </w:r>
      <w:r>
        <w:rPr>
          <w:rFonts w:ascii="arial" w:eastAsia="arial" w:hAnsi="arial" w:cs="arial"/>
          <w:b w:val="0"/>
          <w:i/>
          <w:strike w:val="0"/>
          <w:noProof w:val="0"/>
          <w:color w:val="000000"/>
          <w:position w:val="0"/>
          <w:sz w:val="20"/>
          <w:u w:val="none"/>
          <w:vertAlign w:val="baseline"/>
        </w:rPr>
        <w:t xml:space="preserve">See </w:t>
      </w:r>
      <w:bookmarkStart w:id="38" w:name="Bookmark_I6D6MVHM28T44M0030000400"/>
      <w:bookmarkEnd w:id="38"/>
      <w:hyperlink r:id="rId17" w:history="1">
        <w:r>
          <w:rPr>
            <w:rFonts w:ascii="arial" w:eastAsia="arial" w:hAnsi="arial" w:cs="arial"/>
            <w:b w:val="0"/>
            <w:i/>
            <w:strike w:val="0"/>
            <w:noProof w:val="0"/>
            <w:color w:val="0077CC"/>
            <w:position w:val="0"/>
            <w:sz w:val="20"/>
            <w:u w:val="single"/>
            <w:vertAlign w:val="baseline"/>
          </w:rPr>
          <w:t>Superior MRI Servs.</w:t>
        </w:r>
      </w:hyperlink>
      <w:hyperlink r:id="rId17" w:history="1">
        <w:r>
          <w:rPr>
            <w:rFonts w:ascii="arial" w:eastAsia="arial" w:hAnsi="arial" w:cs="arial"/>
            <w:b w:val="0"/>
            <w:i/>
            <w:strike w:val="0"/>
            <w:noProof w:val="0"/>
            <w:color w:val="0077CC"/>
            <w:position w:val="0"/>
            <w:sz w:val="20"/>
            <w:u w:val="single"/>
            <w:vertAlign w:val="baseline"/>
          </w:rPr>
          <w:t>, 778 F.3d at 504</w:t>
        </w:r>
      </w:hyperlink>
      <w:r>
        <w:rPr>
          <w:rFonts w:ascii="arial" w:eastAsia="arial" w:hAnsi="arial" w:cs="arial"/>
          <w:b w:val="0"/>
          <w:i w:val="0"/>
          <w:strike w:val="0"/>
          <w:noProof w:val="0"/>
          <w:color w:val="000000"/>
          <w:position w:val="0"/>
          <w:sz w:val="20"/>
          <w:u w:val="none"/>
          <w:vertAlign w:val="baseline"/>
        </w:rPr>
        <w:t xml:space="preserve"> (quoting </w:t>
      </w:r>
      <w:bookmarkStart w:id="39" w:name="Bookmark_I6D6MVHM28T44M0050000400"/>
      <w:bookmarkEnd w:id="39"/>
      <w:hyperlink r:id="rId19" w:history="1">
        <w:r>
          <w:rPr>
            <w:rFonts w:ascii="arial" w:eastAsia="arial" w:hAnsi="arial" w:cs="arial"/>
            <w:b w:val="0"/>
            <w:i/>
            <w:strike w:val="0"/>
            <w:noProof w:val="0"/>
            <w:color w:val="0077CC"/>
            <w:position w:val="0"/>
            <w:sz w:val="20"/>
            <w:u w:val="single"/>
            <w:vertAlign w:val="baseline"/>
          </w:rPr>
          <w:t>Irwin v. Veterans Admin.</w:t>
        </w:r>
      </w:hyperlink>
      <w:hyperlink r:id="rId19" w:history="1">
        <w:r>
          <w:rPr>
            <w:rFonts w:ascii="arial" w:eastAsia="arial" w:hAnsi="arial" w:cs="arial"/>
            <w:b w:val="0"/>
            <w:i/>
            <w:strike w:val="0"/>
            <w:noProof w:val="0"/>
            <w:color w:val="0077CC"/>
            <w:position w:val="0"/>
            <w:sz w:val="20"/>
            <w:u w:val="single"/>
            <w:vertAlign w:val="baseline"/>
          </w:rPr>
          <w:t>, 874 F.2d 1092, 1096 (5th Cir. 1989)</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aff'd sub nom. </w:t>
      </w:r>
      <w:bookmarkStart w:id="40" w:name="Bookmark_I6D6MVHM2SF8DT0020000400"/>
      <w:bookmarkEnd w:id="40"/>
      <w:hyperlink r:id="rId20" w:history="1">
        <w:r>
          <w:rPr>
            <w:rFonts w:ascii="arial" w:eastAsia="arial" w:hAnsi="arial" w:cs="arial"/>
            <w:b w:val="0"/>
            <w:i/>
            <w:strike w:val="0"/>
            <w:noProof w:val="0"/>
            <w:color w:val="0077CC"/>
            <w:position w:val="0"/>
            <w:sz w:val="20"/>
            <w:u w:val="single"/>
            <w:vertAlign w:val="baseline"/>
          </w:rPr>
          <w:t>Irwin v. Dep't of Veterans Affairs</w:t>
        </w:r>
      </w:hyperlink>
      <w:hyperlink r:id="rId20" w:history="1">
        <w:r>
          <w:rPr>
            <w:rFonts w:ascii="arial" w:eastAsia="arial" w:hAnsi="arial" w:cs="arial"/>
            <w:b w:val="0"/>
            <w:i/>
            <w:strike w:val="0"/>
            <w:noProof w:val="0"/>
            <w:color w:val="0077CC"/>
            <w:position w:val="0"/>
            <w:sz w:val="20"/>
            <w:u w:val="single"/>
            <w:vertAlign w:val="baseline"/>
          </w:rPr>
          <w:t>, 498 U.S. 89, 111 S. Ct. 453, 112 L. Ed. 2d 435 (1990)</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B. Analysis</w:t>
      </w:r>
    </w:p>
    <w:p>
      <w:pPr>
        <w:keepNext w:val="0"/>
        <w:spacing w:before="200" w:after="0" w:line="260" w:lineRule="atLeast"/>
        <w:ind w:left="0" w:right="0" w:firstLine="0"/>
        <w:jc w:val="both"/>
      </w:pPr>
      <w:bookmarkStart w:id="41" w:name="Bookmark_para_8"/>
      <w:bookmarkEnd w:id="41"/>
      <w:bookmarkStart w:id="42" w:name="Bookmark_I6D6MVHM2SF8DT0050000400"/>
      <w:bookmarkEnd w:id="42"/>
      <w:r>
        <w:rPr>
          <w:rFonts w:ascii="arial" w:eastAsia="arial" w:hAnsi="arial" w:cs="arial"/>
          <w:b w:val="0"/>
          <w:i w:val="0"/>
          <w:strike w:val="0"/>
          <w:noProof w:val="0"/>
          <w:color w:val="000000"/>
          <w:position w:val="0"/>
          <w:sz w:val="20"/>
          <w:u w:val="none"/>
          <w:vertAlign w:val="baseline"/>
        </w:rPr>
        <w:t xml:space="preserve">The Government filed two exhibits in support of its Motion, including a declaration from an Assistant Director for Border Security at the El Paso Field Office for U.S. Customs and Border Protection ("CBP").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Tr. of Oral/Zoom Dep. of Maria Carbajal, ECF No. 81-1; Decl. of Samuel B. Cleaves ("Cleaves Decl."), ECF No. 81-2.</w:t>
      </w:r>
      <w:r>
        <w:rPr>
          <w:rFonts w:ascii="arial" w:eastAsia="arial" w:hAnsi="arial" w:cs="arial"/>
          <w:vertAlign w:val="superscript"/>
        </w:rPr>
        <w:footnoteReference w:customMarkFollows="1" w:id="4"/>
        <w:t xml:space="preserve">3</w:t>
      </w:r>
      <w:r>
        <w:rPr>
          <w:rFonts w:ascii="arial" w:eastAsia="arial" w:hAnsi="arial" w:cs="arial"/>
          <w:b w:val="0"/>
          <w:i w:val="0"/>
          <w:strike w:val="0"/>
          <w:noProof w:val="0"/>
          <w:color w:val="000000"/>
          <w:position w:val="0"/>
          <w:sz w:val="20"/>
          <w:u w:val="none"/>
          <w:vertAlign w:val="baseline"/>
        </w:rPr>
        <w:t xml:space="preserve"> Therefore, the Motion presents a "factual" challenge, and Plaintiff bears the burden of demonstrating subject matter jurisdiction by a preponderance of the evidence. </w:t>
      </w:r>
      <w:r>
        <w:rPr>
          <w:rFonts w:ascii="arial" w:eastAsia="arial" w:hAnsi="arial" w:cs="arial"/>
          <w:b w:val="0"/>
          <w:i/>
          <w:strike w:val="0"/>
          <w:noProof w:val="0"/>
          <w:color w:val="000000"/>
          <w:position w:val="0"/>
          <w:sz w:val="20"/>
          <w:u w:val="none"/>
          <w:vertAlign w:val="baseline"/>
        </w:rPr>
        <w:t xml:space="preserve">See </w:t>
      </w:r>
      <w:bookmarkStart w:id="44" w:name="Bookmark_I6D6MVHM2SF8DT0040000400"/>
      <w:bookmarkEnd w:id="44"/>
      <w:hyperlink r:id="rId17" w:history="1">
        <w:r>
          <w:rPr>
            <w:rFonts w:ascii="arial" w:eastAsia="arial" w:hAnsi="arial" w:cs="arial"/>
            <w:b w:val="0"/>
            <w:i/>
            <w:strike w:val="0"/>
            <w:noProof w:val="0"/>
            <w:color w:val="0077CC"/>
            <w:position w:val="0"/>
            <w:sz w:val="20"/>
            <w:u w:val="single"/>
            <w:vertAlign w:val="baseline"/>
          </w:rPr>
          <w:t>Superior MRI Servs.</w:t>
        </w:r>
      </w:hyperlink>
      <w:hyperlink r:id="rId17" w:history="1">
        <w:r>
          <w:rPr>
            <w:rFonts w:ascii="arial" w:eastAsia="arial" w:hAnsi="arial" w:cs="arial"/>
            <w:b w:val="0"/>
            <w:i/>
            <w:strike w:val="0"/>
            <w:noProof w:val="0"/>
            <w:color w:val="0077CC"/>
            <w:position w:val="0"/>
            <w:sz w:val="20"/>
            <w:u w:val="single"/>
            <w:vertAlign w:val="baseline"/>
          </w:rPr>
          <w:t>, 778 F.3d at 504</w:t>
        </w:r>
      </w:hyperlink>
      <w:r>
        <w:rPr>
          <w:rFonts w:ascii="arial" w:eastAsia="arial" w:hAnsi="arial" w:cs="arial"/>
          <w:b w:val="0"/>
          <w:i w:val="0"/>
          <w:strike w:val="0"/>
          <w:noProof w:val="0"/>
          <w:color w:val="000000"/>
          <w:position w:val="0"/>
          <w:sz w:val="20"/>
          <w:u w:val="none"/>
          <w:vertAlign w:val="baseline"/>
        </w:rPr>
        <w:t xml:space="preserve">. The Government argues that the Court lacks jurisdiction because the Government has not waived sovereign immunity for Plaintiff's claims.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Mot. 7-13.</w:t>
      </w:r>
    </w:p>
    <w:p>
      <w:pPr>
        <w:keepNext w:val="0"/>
        <w:spacing w:before="240" w:after="0" w:line="260" w:lineRule="atLeast"/>
        <w:ind w:left="0" w:right="0" w:firstLine="0"/>
        <w:jc w:val="both"/>
      </w:pPr>
      <w:bookmarkStart w:id="45" w:name="Bookmark_para_9"/>
      <w:bookmarkEnd w:id="45"/>
      <w:bookmarkStart w:id="46" w:name="Bookmark_I6D6MVHN28T44S0020000400"/>
      <w:bookmarkEnd w:id="46"/>
      <w:bookmarkStart w:id="47" w:name="Bookmark_I6D6MVHN28T44S0040000400"/>
      <w:bookmarkEnd w:id="47"/>
      <w:r>
        <w:rPr>
          <w:rFonts w:ascii="arial" w:eastAsia="arial" w:hAnsi="arial" w:cs="arial"/>
          <w:b w:val="0"/>
          <w:i w:val="0"/>
          <w:strike w:val="0"/>
          <w:noProof w:val="0"/>
          <w:color w:val="000000"/>
          <w:position w:val="0"/>
          <w:sz w:val="20"/>
          <w:u w:val="none"/>
          <w:vertAlign w:val="baseline"/>
        </w:rPr>
        <w:t xml:space="preserve">"Absent a waiver, sovereign immunity shields the Federal Government and its agencies from suit." </w:t>
      </w:r>
      <w:bookmarkStart w:id="48" w:name="Bookmark_I6D6MVHN28T44S0010000400"/>
      <w:bookmarkEnd w:id="48"/>
      <w:hyperlink r:id="rId21" w:history="1">
        <w:r>
          <w:rPr>
            <w:rFonts w:ascii="arial" w:eastAsia="arial" w:hAnsi="arial" w:cs="arial"/>
            <w:b w:val="0"/>
            <w:i/>
            <w:strike w:val="0"/>
            <w:noProof w:val="0"/>
            <w:color w:val="0077CC"/>
            <w:position w:val="0"/>
            <w:sz w:val="20"/>
            <w:u w:val="single"/>
            <w:vertAlign w:val="baseline"/>
          </w:rPr>
          <w:t>FDIC v. Meyer</w:t>
        </w:r>
      </w:hyperlink>
      <w:hyperlink r:id="rId21" w:history="1">
        <w:r>
          <w:rPr>
            <w:rFonts w:ascii="arial" w:eastAsia="arial" w:hAnsi="arial" w:cs="arial"/>
            <w:b w:val="0"/>
            <w:i/>
            <w:strike w:val="0"/>
            <w:noProof w:val="0"/>
            <w:color w:val="0077CC"/>
            <w:position w:val="0"/>
            <w:sz w:val="20"/>
            <w:u w:val="single"/>
            <w:vertAlign w:val="baseline"/>
          </w:rPr>
          <w:t>, 510 U.S. 471, 475, 114 S. Ct. 996, 127 L. Ed. 2d 308 (1994)</w:t>
        </w:r>
      </w:hyperlink>
      <w:r>
        <w:rPr>
          <w:rFonts w:ascii="arial" w:eastAsia="arial" w:hAnsi="arial" w:cs="arial"/>
          <w:b w:val="0"/>
          <w:i w:val="0"/>
          <w:strike w:val="0"/>
          <w:noProof w:val="0"/>
          <w:color w:val="000000"/>
          <w:position w:val="0"/>
          <w:sz w:val="20"/>
          <w:u w:val="none"/>
          <w:vertAlign w:val="baseline"/>
        </w:rPr>
        <w:t xml:space="preserve">. Whether sovereign immunity bars a suit is a jurisdictional question. </w:t>
      </w:r>
      <w:bookmarkStart w:id="49" w:name="Bookmark_I6D6MVHN2SF8F40010000400"/>
      <w:bookmarkEnd w:id="49"/>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The FTCA waives sovereign immunity for certain tort claims: the statute</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permits suits against the United States "for claims resulting from the negligent acts of its agents," allowing for "liability 'in the same manner and to the same extent as a private individual under like circumstances.'" </w:t>
      </w:r>
      <w:bookmarkStart w:id="50" w:name="Bookmark_I6D6MVHN28T44S0030000400"/>
      <w:bookmarkEnd w:id="50"/>
      <w:hyperlink r:id="rId22" w:history="1">
        <w:r>
          <w:rPr>
            <w:rFonts w:ascii="arial" w:eastAsia="arial" w:hAnsi="arial" w:cs="arial"/>
            <w:b w:val="0"/>
            <w:i/>
            <w:strike w:val="0"/>
            <w:noProof w:val="0"/>
            <w:color w:val="0077CC"/>
            <w:position w:val="0"/>
            <w:sz w:val="20"/>
            <w:u w:val="single"/>
            <w:vertAlign w:val="baseline"/>
          </w:rPr>
          <w:t>Orr v. United States</w:t>
        </w:r>
      </w:hyperlink>
      <w:hyperlink r:id="rId22" w:history="1">
        <w:r>
          <w:rPr>
            <w:rFonts w:ascii="arial" w:eastAsia="arial" w:hAnsi="arial" w:cs="arial"/>
            <w:b w:val="0"/>
            <w:i/>
            <w:strike w:val="0"/>
            <w:noProof w:val="0"/>
            <w:color w:val="0077CC"/>
            <w:position w:val="0"/>
            <w:sz w:val="20"/>
            <w:u w:val="single"/>
            <w:vertAlign w:val="baseline"/>
          </w:rPr>
          <w:t>, 486 F.2d 270, 274 (5th Cir. 1973)</w:t>
        </w:r>
      </w:hyperlink>
      <w:r>
        <w:rPr>
          <w:rFonts w:ascii="arial" w:eastAsia="arial" w:hAnsi="arial" w:cs="arial"/>
          <w:b w:val="0"/>
          <w:i w:val="0"/>
          <w:strike w:val="0"/>
          <w:noProof w:val="0"/>
          <w:color w:val="000000"/>
          <w:position w:val="0"/>
          <w:sz w:val="20"/>
          <w:u w:val="none"/>
          <w:vertAlign w:val="baseline"/>
        </w:rPr>
        <w:t xml:space="preserve"> (quoting </w:t>
      </w:r>
      <w:hyperlink r:id="rId23" w:history="1">
        <w:r>
          <w:rPr>
            <w:rFonts w:ascii="arial" w:eastAsia="arial" w:hAnsi="arial" w:cs="arial"/>
            <w:b w:val="0"/>
            <w:i/>
            <w:strike w:val="0"/>
            <w:noProof w:val="0"/>
            <w:color w:val="0077CC"/>
            <w:position w:val="0"/>
            <w:sz w:val="20"/>
            <w:u w:val="single"/>
            <w:vertAlign w:val="baseline"/>
          </w:rPr>
          <w:t>28 U.S.C. § 2674</w:t>
        </w:r>
      </w:hyperlink>
      <w:r>
        <w:rPr>
          <w:rFonts w:ascii="arial" w:eastAsia="arial" w:hAnsi="arial" w:cs="arial"/>
          <w:b w:val="0"/>
          <w:i w:val="0"/>
          <w:strike w:val="0"/>
          <w:noProof w:val="0"/>
          <w:color w:val="000000"/>
          <w:position w:val="0"/>
          <w:sz w:val="20"/>
          <w:u w:val="none"/>
          <w:vertAlign w:val="baseline"/>
        </w:rPr>
        <w:t xml:space="preserve">). </w:t>
      </w:r>
      <w:bookmarkStart w:id="51" w:name="Bookmark_I6D6MVHN2SF8F40010000400_2"/>
      <w:bookmarkEnd w:id="51"/>
      <w:r>
        <w:rPr>
          <w:rFonts w:ascii="arial" w:eastAsia="arial" w:hAnsi="arial" w:cs="arial"/>
          <w:b w:val="0"/>
          <w:i w:val="0"/>
          <w:strike w:val="0"/>
          <w:noProof w:val="0"/>
          <w:color w:val="000000"/>
          <w:position w:val="0"/>
          <w:sz w:val="20"/>
          <w:u w:val="none"/>
          <w:vertAlign w:val="baseline"/>
        </w:rPr>
        <w:t xml:space="preserve">However, if a plaintiff's claim does not satisfy the FTCA's conditions, then the United States has not waived immunity for that claim, and the Court lacks jurisdiction. </w:t>
      </w:r>
      <w:r>
        <w:rPr>
          <w:rFonts w:ascii="arial" w:eastAsia="arial" w:hAnsi="arial" w:cs="arial"/>
          <w:b w:val="0"/>
          <w:i/>
          <w:strike w:val="0"/>
          <w:noProof w:val="0"/>
          <w:color w:val="000000"/>
          <w:position w:val="0"/>
          <w:sz w:val="20"/>
          <w:u w:val="none"/>
          <w:vertAlign w:val="baseline"/>
        </w:rPr>
        <w:t xml:space="preserve">See </w:t>
      </w:r>
      <w:bookmarkStart w:id="52" w:name="Bookmark_I6D6MVHN28T44S0050000400"/>
      <w:bookmarkEnd w:id="52"/>
      <w:hyperlink r:id="rId24" w:history="1">
        <w:r>
          <w:rPr>
            <w:rFonts w:ascii="arial" w:eastAsia="arial" w:hAnsi="arial" w:cs="arial"/>
            <w:b w:val="0"/>
            <w:i/>
            <w:strike w:val="0"/>
            <w:noProof w:val="0"/>
            <w:color w:val="0077CC"/>
            <w:position w:val="0"/>
            <w:sz w:val="20"/>
            <w:u w:val="single"/>
            <w:vertAlign w:val="baseline"/>
          </w:rPr>
          <w:t>United States v. Orleans</w:t>
        </w:r>
      </w:hyperlink>
      <w:hyperlink r:id="rId24" w:history="1">
        <w:r>
          <w:rPr>
            <w:rFonts w:ascii="arial" w:eastAsia="arial" w:hAnsi="arial" w:cs="arial"/>
            <w:b w:val="0"/>
            <w:i/>
            <w:strike w:val="0"/>
            <w:noProof w:val="0"/>
            <w:color w:val="0077CC"/>
            <w:position w:val="0"/>
            <w:sz w:val="20"/>
            <w:u w:val="single"/>
            <w:vertAlign w:val="baseline"/>
          </w:rPr>
          <w:t>, 425 U.S. 807, 814, 96 S. Ct. 1971, 48 L. Ed. 2d 390 (1976)</w:t>
        </w:r>
      </w:hyperlink>
      <w:r>
        <w:rPr>
          <w:rFonts w:ascii="arial" w:eastAsia="arial" w:hAnsi="arial" w:cs="arial"/>
          <w:b w:val="0"/>
          <w:i w:val="0"/>
          <w:strike w:val="0"/>
          <w:noProof w:val="0"/>
          <w:color w:val="000000"/>
          <w:position w:val="0"/>
          <w:sz w:val="20"/>
          <w:u w:val="none"/>
          <w:vertAlign w:val="baseline"/>
        </w:rPr>
        <w:t xml:space="preserve"> ("Since the United States can be sued only to the extent that it has waived its immunity, due regard must be given to the [FTCA's] exceptions . . . to such waiver."); </w:t>
      </w:r>
      <w:bookmarkStart w:id="53" w:name="Bookmark_I6D6MVHN2SF8F40020000400"/>
      <w:bookmarkEnd w:id="53"/>
      <w:hyperlink r:id="rId25" w:history="1">
        <w:r>
          <w:rPr>
            <w:rFonts w:ascii="arial" w:eastAsia="arial" w:hAnsi="arial" w:cs="arial"/>
            <w:b w:val="0"/>
            <w:i/>
            <w:strike w:val="0"/>
            <w:noProof w:val="0"/>
            <w:color w:val="0077CC"/>
            <w:position w:val="0"/>
            <w:sz w:val="20"/>
            <w:u w:val="single"/>
            <w:vertAlign w:val="baseline"/>
          </w:rPr>
          <w:t>Atorie Air, Inc. v. Fed. Aviation Admin.</w:t>
        </w:r>
      </w:hyperlink>
      <w:hyperlink r:id="rId25" w:history="1">
        <w:r>
          <w:rPr>
            <w:rFonts w:ascii="arial" w:eastAsia="arial" w:hAnsi="arial" w:cs="arial"/>
            <w:b w:val="0"/>
            <w:i/>
            <w:strike w:val="0"/>
            <w:noProof w:val="0"/>
            <w:color w:val="0077CC"/>
            <w:position w:val="0"/>
            <w:sz w:val="20"/>
            <w:u w:val="single"/>
            <w:vertAlign w:val="baseline"/>
          </w:rPr>
          <w:t>, 942 F.2d 954, 958 (5th Cir. 1991)</w:t>
        </w:r>
      </w:hyperlink>
      <w:r>
        <w:rPr>
          <w:rFonts w:ascii="arial" w:eastAsia="arial" w:hAnsi="arial" w:cs="arial"/>
          <w:b w:val="0"/>
          <w:i w:val="0"/>
          <w:strike w:val="0"/>
          <w:noProof w:val="0"/>
          <w:color w:val="000000"/>
          <w:position w:val="0"/>
          <w:sz w:val="20"/>
          <w:u w:val="none"/>
          <w:vertAlign w:val="baseline"/>
        </w:rPr>
        <w:t xml:space="preserve"> ("Because the FTCA provides a waiver of immunity otherwise to be accorded the sovereign, the limitations and conditions upon which the government consents to be sued must be strictly construed in favor of the United States.").</w:t>
      </w:r>
    </w:p>
    <w:p>
      <w:pPr>
        <w:keepNext w:val="0"/>
        <w:spacing w:before="200" w:after="0" w:line="260" w:lineRule="atLeast"/>
        <w:ind w:left="0" w:right="0" w:firstLine="0"/>
        <w:jc w:val="both"/>
      </w:pPr>
      <w:bookmarkStart w:id="54" w:name="Bookmark_para_10"/>
      <w:bookmarkEnd w:id="54"/>
      <w:r>
        <w:rPr>
          <w:rFonts w:ascii="arial" w:eastAsia="arial" w:hAnsi="arial" w:cs="arial"/>
          <w:b w:val="0"/>
          <w:i w:val="0"/>
          <w:strike w:val="0"/>
          <w:noProof w:val="0"/>
          <w:color w:val="000000"/>
          <w:position w:val="0"/>
          <w:sz w:val="20"/>
          <w:u w:val="none"/>
          <w:vertAlign w:val="baseline"/>
        </w:rPr>
        <w:t xml:space="preserve">The Government argues that sovereign immunity bars both of Plaintiff's claims.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Mot. 7-13. First, the Government argues that it cannot face liability for dangerous conditions at the Port of Entry because "Texas law does not recognize such a cause of action."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7. Second, the Government argues that it cannot face premises liability because any overcrowding at the Port of Entry falls within</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the discretionary function exception to the FTCA.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at 11-13.</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1. Dangerous Conditions Claim</w:t>
      </w:r>
    </w:p>
    <w:p>
      <w:pPr>
        <w:keepNext w:val="0"/>
        <w:spacing w:before="200" w:after="0" w:line="260" w:lineRule="atLeast"/>
        <w:ind w:left="0" w:right="0" w:firstLine="0"/>
        <w:jc w:val="both"/>
      </w:pPr>
      <w:bookmarkStart w:id="55" w:name="Bookmark_para_11"/>
      <w:bookmarkEnd w:id="55"/>
      <w:r>
        <w:rPr>
          <w:rFonts w:ascii="arial" w:eastAsia="arial" w:hAnsi="arial" w:cs="arial"/>
          <w:b w:val="0"/>
          <w:i w:val="0"/>
          <w:strike w:val="0"/>
          <w:noProof w:val="0"/>
          <w:color w:val="000000"/>
          <w:position w:val="0"/>
          <w:sz w:val="20"/>
          <w:u w:val="none"/>
          <w:vertAlign w:val="baseline"/>
        </w:rPr>
        <w:t xml:space="preserve">In her first cause of action, Plaintiff alleges that the Government "owed a duty of care to [her] and other members of the public to operate and maintain the [Port of Entry] . . . in a reasonably safe manner and protect against dangerous conditions on the [ ] property." Am. Compl. ¶ 21. Plaintiff further alleges that the "over crowded lobby near and around the electrical revolving door" constituted a "dangerous condition."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22.</w:t>
      </w:r>
    </w:p>
    <w:p>
      <w:pPr>
        <w:keepNext w:val="0"/>
        <w:spacing w:before="200" w:after="0" w:line="260" w:lineRule="atLeast"/>
        <w:ind w:left="0" w:right="0" w:firstLine="0"/>
        <w:jc w:val="both"/>
      </w:pPr>
      <w:bookmarkStart w:id="56" w:name="Bookmark_para_12"/>
      <w:bookmarkEnd w:id="56"/>
      <w:r>
        <w:rPr>
          <w:rFonts w:ascii="arial" w:eastAsia="arial" w:hAnsi="arial" w:cs="arial"/>
          <w:b w:val="0"/>
          <w:i w:val="0"/>
          <w:strike w:val="0"/>
          <w:noProof w:val="0"/>
          <w:color w:val="000000"/>
          <w:position w:val="0"/>
          <w:sz w:val="20"/>
          <w:u w:val="none"/>
          <w:vertAlign w:val="baseline"/>
        </w:rPr>
        <w:t xml:space="preserve">It is unclear how Plaintiff's dangerous condition claim differs from her premises liability claim. Plaintiff alleges that the Government "created the dangerous condition" when it "negligently and carelessly failed to warn, prevent over crowdedness in the lobby, . . . control occupancy . . . [and] regulate the public property at the [Port of Entry]."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23. This language mirrors the language found in Plaintiff's premises liability allegations, where she claims that the Government "acted negligently and failed to use reasonable care in [ ] maintaining . . . crowd control and managing the property located at the [Port of Entry]."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33.</w:t>
      </w:r>
    </w:p>
    <w:p>
      <w:pPr>
        <w:keepNext w:val="0"/>
        <w:spacing w:before="200" w:after="0" w:line="260" w:lineRule="atLeast"/>
        <w:ind w:left="0" w:right="0" w:firstLine="0"/>
        <w:jc w:val="both"/>
      </w:pPr>
      <w:bookmarkStart w:id="57" w:name="Bookmark_para_13"/>
      <w:bookmarkEnd w:id="57"/>
      <w:r>
        <w:rPr>
          <w:rFonts w:ascii="arial" w:eastAsia="arial" w:hAnsi="arial" w:cs="arial"/>
          <w:b w:val="0"/>
          <w:i w:val="0"/>
          <w:strike w:val="0"/>
          <w:noProof w:val="0"/>
          <w:color w:val="000000"/>
          <w:position w:val="0"/>
          <w:sz w:val="20"/>
          <w:u w:val="none"/>
          <w:vertAlign w:val="baseline"/>
        </w:rPr>
        <w:t>Moreover, the Court previously</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dismissed a similar dangerous conditions claim in Plaintiff's Original Complaint.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Order 7-8. In her Original Complaint, Plaintiff based her dangerous conditions claim on "Government Code Section 830(a)."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7 (citing Original Compl. ¶¶ 22-24). But the Court noted that no such section exists in the Texas Government Code.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7. And Plaintiff's Amended Complaint does not cite any other provision of Texas law that could give rise to a dangerous conditions claim separate and apart from her premises liability claim.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Am Compl. ¶¶ 19-29.</w:t>
      </w:r>
    </w:p>
    <w:p>
      <w:pPr>
        <w:keepNext w:val="0"/>
        <w:spacing w:before="200" w:after="0" w:line="260" w:lineRule="atLeast"/>
        <w:ind w:left="0" w:right="0" w:firstLine="0"/>
        <w:jc w:val="both"/>
      </w:pPr>
      <w:bookmarkStart w:id="58" w:name="Bookmark_para_14"/>
      <w:bookmarkEnd w:id="58"/>
      <w:r>
        <w:rPr>
          <w:rFonts w:ascii="arial" w:eastAsia="arial" w:hAnsi="arial" w:cs="arial"/>
          <w:b w:val="0"/>
          <w:i w:val="0"/>
          <w:strike w:val="0"/>
          <w:noProof w:val="0"/>
          <w:color w:val="000000"/>
          <w:position w:val="0"/>
          <w:sz w:val="20"/>
          <w:u w:val="none"/>
          <w:vertAlign w:val="baseline"/>
        </w:rPr>
        <w:t xml:space="preserve">Accordingly, the Court reiterates a conclusion from its previous order: "to the extent that this [dangerous conditions] claim can be construed as arising under Texas law, it is a question of Texas premises liability law."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8. Plaintiff's freestanding dangerous conditions claim has no basis in Texas tort law and is dismissed for lack of subject matter jurisdiction. </w:t>
      </w:r>
      <w:r>
        <w:rPr>
          <w:rFonts w:ascii="arial" w:eastAsia="arial" w:hAnsi="arial" w:cs="arial"/>
          <w:b w:val="0"/>
          <w:i/>
          <w:strike w:val="0"/>
          <w:noProof w:val="0"/>
          <w:color w:val="000000"/>
          <w:position w:val="0"/>
          <w:sz w:val="20"/>
          <w:u w:val="none"/>
          <w:vertAlign w:val="baseline"/>
        </w:rPr>
        <w:t>See id.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2. Premises Liability Claim</w:t>
      </w:r>
    </w:p>
    <w:p>
      <w:pPr>
        <w:keepNext w:val="0"/>
        <w:spacing w:before="200" w:after="0" w:line="260" w:lineRule="atLeast"/>
        <w:ind w:left="0" w:right="0" w:firstLine="0"/>
        <w:jc w:val="both"/>
      </w:pPr>
      <w:bookmarkStart w:id="59" w:name="Bookmark_para_15"/>
      <w:bookmarkEnd w:id="59"/>
      <w:r>
        <w:rPr>
          <w:rFonts w:ascii="arial" w:eastAsia="arial" w:hAnsi="arial" w:cs="arial"/>
          <w:b w:val="0"/>
          <w:i w:val="0"/>
          <w:strike w:val="0"/>
          <w:noProof w:val="0"/>
          <w:color w:val="000000"/>
          <w:position w:val="0"/>
          <w:sz w:val="20"/>
          <w:u w:val="none"/>
          <w:vertAlign w:val="baseline"/>
        </w:rPr>
        <w:t xml:space="preserve">As discussed above, Plaintiff alleges in her second cause of action that the Government negligently caused her injuries by allowing overcrowding near the automatic revolving door at the Port of Entry.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Am. Compl. ¶¶ 30-37. In its Motion, the Government argues that CBP</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officers conduct crowd control at the Port of Entry through a process called "active lane management." Mot. 5. According to the Government, active lane management involves the exercise of discretion by CBP officers and furthers CBP's policy goals.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at 11-13 Therefore, the Government contends, the conduct at issue falls within the discretionary function exception to liability under the FTCA.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13.</w:t>
      </w:r>
    </w:p>
    <w:p>
      <w:pPr>
        <w:keepNext w:val="0"/>
        <w:spacing w:before="200" w:after="0" w:line="260" w:lineRule="atLeast"/>
        <w:ind w:left="0" w:right="0" w:firstLine="0"/>
        <w:jc w:val="both"/>
      </w:pPr>
      <w:bookmarkStart w:id="60" w:name="Bookmark_para_16"/>
      <w:bookmarkEnd w:id="60"/>
      <w:r>
        <w:rPr>
          <w:rFonts w:ascii="arial" w:eastAsia="arial" w:hAnsi="arial" w:cs="arial"/>
          <w:b w:val="0"/>
          <w:i w:val="0"/>
          <w:strike w:val="0"/>
          <w:noProof w:val="0"/>
          <w:color w:val="000000"/>
          <w:position w:val="0"/>
          <w:sz w:val="20"/>
          <w:u w:val="none"/>
          <w:vertAlign w:val="baseline"/>
        </w:rPr>
        <w:t xml:space="preserve">The discretionary function exception states that the Government does not waive its sovereign immunity for any claim "based upon the exercise or performance . . . </w:t>
      </w:r>
      <w:bookmarkStart w:id="61" w:name="Bookmark_I6D6MVHN2SF8F40050000400"/>
      <w:bookmarkEnd w:id="61"/>
      <w:r>
        <w:rPr>
          <w:rFonts w:ascii="arial" w:eastAsia="arial" w:hAnsi="arial" w:cs="arial"/>
          <w:b w:val="0"/>
          <w:i w:val="0"/>
          <w:strike w:val="0"/>
          <w:noProof w:val="0"/>
          <w:color w:val="000000"/>
          <w:position w:val="0"/>
          <w:sz w:val="20"/>
          <w:u w:val="none"/>
          <w:vertAlign w:val="baseline"/>
        </w:rPr>
        <w:t xml:space="preserve">[of] a discretionary function or duty on the part of a federal agency or an employee of the Government, whether or not the discretion involved be abused." </w:t>
      </w:r>
      <w:hyperlink r:id="rId26" w:history="1">
        <w:r>
          <w:rPr>
            <w:rFonts w:ascii="arial" w:eastAsia="arial" w:hAnsi="arial" w:cs="arial"/>
            <w:b w:val="0"/>
            <w:i/>
            <w:strike w:val="0"/>
            <w:noProof w:val="0"/>
            <w:color w:val="0077CC"/>
            <w:position w:val="0"/>
            <w:sz w:val="20"/>
            <w:u w:val="single"/>
            <w:vertAlign w:val="baseline"/>
          </w:rPr>
          <w:t>28 U.S.C. § 2680</w:t>
        </w:r>
      </w:hyperlink>
      <w:r>
        <w:rPr>
          <w:rFonts w:ascii="arial" w:eastAsia="arial" w:hAnsi="arial" w:cs="arial"/>
          <w:b w:val="0"/>
          <w:i w:val="0"/>
          <w:strike w:val="0"/>
          <w:noProof w:val="0"/>
          <w:color w:val="000000"/>
          <w:position w:val="0"/>
          <w:sz w:val="20"/>
          <w:u w:val="none"/>
          <w:vertAlign w:val="baseline"/>
        </w:rPr>
        <w:t xml:space="preserve">. </w:t>
      </w:r>
      <w:bookmarkStart w:id="62" w:name="Bookmark_I6D6MVHP2D6NT00040000400"/>
      <w:bookmarkEnd w:id="62"/>
      <w:r>
        <w:rPr>
          <w:rFonts w:ascii="arial" w:eastAsia="arial" w:hAnsi="arial" w:cs="arial"/>
          <w:b w:val="0"/>
          <w:i w:val="0"/>
          <w:strike w:val="0"/>
          <w:noProof w:val="0"/>
          <w:color w:val="000000"/>
          <w:position w:val="0"/>
          <w:sz w:val="20"/>
          <w:u w:val="none"/>
          <w:vertAlign w:val="baseline"/>
        </w:rPr>
        <w:t xml:space="preserve">Courts apply a two-part test to determine whether the exception applies. First, a court assesses whether the challenged conduct was "discretionary in nature, [i.e.] an act that involve[d] an element of judgment or choice." </w:t>
      </w:r>
      <w:bookmarkStart w:id="63" w:name="Bookmark_I6D6MVHN2SF8F40040000400"/>
      <w:bookmarkEnd w:id="63"/>
      <w:hyperlink r:id="rId27" w:history="1">
        <w:r>
          <w:rPr>
            <w:rFonts w:ascii="arial" w:eastAsia="arial" w:hAnsi="arial" w:cs="arial"/>
            <w:b w:val="0"/>
            <w:i/>
            <w:strike w:val="0"/>
            <w:noProof w:val="0"/>
            <w:color w:val="0077CC"/>
            <w:position w:val="0"/>
            <w:sz w:val="20"/>
            <w:u w:val="single"/>
            <w:vertAlign w:val="baseline"/>
          </w:rPr>
          <w:t>Gibson v. United States</w:t>
        </w:r>
      </w:hyperlink>
      <w:hyperlink r:id="rId27" w:history="1">
        <w:r>
          <w:rPr>
            <w:rFonts w:ascii="arial" w:eastAsia="arial" w:hAnsi="arial" w:cs="arial"/>
            <w:b w:val="0"/>
            <w:i/>
            <w:strike w:val="0"/>
            <w:noProof w:val="0"/>
            <w:color w:val="0077CC"/>
            <w:position w:val="0"/>
            <w:sz w:val="20"/>
            <w:u w:val="single"/>
            <w:vertAlign w:val="baseline"/>
          </w:rPr>
          <w:t>, 809 F.3d 807, 812 (5th Cir. 2016)</w:t>
        </w:r>
      </w:hyperlink>
      <w:r>
        <w:rPr>
          <w:rFonts w:ascii="arial" w:eastAsia="arial" w:hAnsi="arial" w:cs="arial"/>
          <w:b w:val="0"/>
          <w:i w:val="0"/>
          <w:strike w:val="0"/>
          <w:noProof w:val="0"/>
          <w:color w:val="000000"/>
          <w:position w:val="0"/>
          <w:sz w:val="20"/>
          <w:u w:val="none"/>
          <w:vertAlign w:val="baseline"/>
        </w:rPr>
        <w:t xml:space="preserve"> (quoting </w:t>
      </w:r>
      <w:bookmarkStart w:id="64" w:name="Bookmark_I6D6MVHP2D6NT00010000400"/>
      <w:bookmarkEnd w:id="64"/>
      <w:hyperlink r:id="rId28" w:history="1">
        <w:r>
          <w:rPr>
            <w:rFonts w:ascii="arial" w:eastAsia="arial" w:hAnsi="arial" w:cs="arial"/>
            <w:b w:val="0"/>
            <w:i/>
            <w:strike w:val="0"/>
            <w:noProof w:val="0"/>
            <w:color w:val="0077CC"/>
            <w:position w:val="0"/>
            <w:sz w:val="20"/>
            <w:u w:val="single"/>
            <w:vertAlign w:val="baseline"/>
          </w:rPr>
          <w:t>United States v. Gaubert</w:t>
        </w:r>
      </w:hyperlink>
      <w:hyperlink r:id="rId28" w:history="1">
        <w:r>
          <w:rPr>
            <w:rFonts w:ascii="arial" w:eastAsia="arial" w:hAnsi="arial" w:cs="arial"/>
            <w:b w:val="0"/>
            <w:i/>
            <w:strike w:val="0"/>
            <w:noProof w:val="0"/>
            <w:color w:val="0077CC"/>
            <w:position w:val="0"/>
            <w:sz w:val="20"/>
            <w:u w:val="single"/>
            <w:vertAlign w:val="baseline"/>
          </w:rPr>
          <w:t>, 499 U.S. 315, 322, 111 S. Ct. 1267, 113 L. Ed. 2d 335 (1991)</w:t>
        </w:r>
      </w:hyperlink>
      <w:r>
        <w:rPr>
          <w:rFonts w:ascii="arial" w:eastAsia="arial" w:hAnsi="arial" w:cs="arial"/>
          <w:b w:val="0"/>
          <w:i w:val="0"/>
          <w:strike w:val="0"/>
          <w:noProof w:val="0"/>
          <w:color w:val="000000"/>
          <w:position w:val="0"/>
          <w:sz w:val="20"/>
          <w:u w:val="none"/>
          <w:vertAlign w:val="baseline"/>
        </w:rPr>
        <w:t xml:space="preserve"> (cleaned up)). </w:t>
      </w:r>
      <w:bookmarkStart w:id="65" w:name="Bookmark_I6D6MVHP2D6NT00040000400_2"/>
      <w:bookmarkEnd w:id="65"/>
      <w:r>
        <w:rPr>
          <w:rFonts w:ascii="arial" w:eastAsia="arial" w:hAnsi="arial" w:cs="arial"/>
          <w:b w:val="0"/>
          <w:i w:val="0"/>
          <w:strike w:val="0"/>
          <w:noProof w:val="0"/>
          <w:color w:val="000000"/>
          <w:position w:val="0"/>
          <w:sz w:val="20"/>
          <w:u w:val="none"/>
          <w:vertAlign w:val="baseline"/>
        </w:rPr>
        <w:t xml:space="preserve">If so, the court decides whether "the judgment is of the kind that the discretionary function exception was designed to shield." </w:t>
      </w:r>
      <w:bookmarkStart w:id="66" w:name="Bookmark_I6D6MVHP2D6NT00030000400"/>
      <w:bookmarkEnd w:id="66"/>
      <w:hyperlink r:id="rId27" w:history="1">
        <w:r>
          <w:rPr>
            <w:rFonts w:ascii="arial" w:eastAsia="arial" w:hAnsi="arial" w:cs="arial"/>
            <w:b w:val="0"/>
            <w:i/>
            <w:strike w:val="0"/>
            <w:noProof w:val="0"/>
            <w:color w:val="0077CC"/>
            <w:position w:val="0"/>
            <w:sz w:val="20"/>
            <w:u w:val="single"/>
            <w:vertAlign w:val="baseline"/>
          </w:rPr>
          <w:t>Id.</w:t>
        </w:r>
      </w:hyperlink>
      <w:hyperlink r:id="rId27" w:history="1">
        <w:r>
          <w:rPr>
            <w:rFonts w:ascii="arial" w:eastAsia="arial" w:hAnsi="arial" w:cs="arial"/>
            <w:b w:val="0"/>
            <w:i/>
            <w:strike w:val="0"/>
            <w:noProof w:val="0"/>
            <w:color w:val="0077CC"/>
            <w:position w:val="0"/>
            <w:sz w:val="20"/>
            <w:u w:val="single"/>
            <w:vertAlign w:val="baseline"/>
          </w:rPr>
          <w:t xml:space="preserve"> at 813</w:t>
        </w:r>
      </w:hyperlink>
      <w:r>
        <w:rPr>
          <w:rFonts w:ascii="arial" w:eastAsia="arial" w:hAnsi="arial" w:cs="arial"/>
          <w:b w:val="0"/>
          <w:i w:val="0"/>
          <w:strike w:val="0"/>
          <w:noProof w:val="0"/>
          <w:color w:val="000000"/>
          <w:position w:val="0"/>
          <w:sz w:val="20"/>
          <w:u w:val="none"/>
          <w:vertAlign w:val="baseline"/>
        </w:rPr>
        <w:t xml:space="preserve"> (quoting </w:t>
      </w:r>
      <w:bookmarkStart w:id="67" w:name="Bookmark_I6D6MVHP2D6NT00050000400"/>
      <w:bookmarkEnd w:id="67"/>
      <w:r>
        <w:rPr>
          <w:rFonts w:ascii="arial" w:eastAsia="arial" w:hAnsi="arial" w:cs="arial"/>
          <w:b w:val="0"/>
          <w:i/>
          <w:strike w:val="0"/>
          <w:noProof w:val="0"/>
          <w:color w:val="000000"/>
          <w:position w:val="0"/>
          <w:sz w:val="20"/>
          <w:u w:val="none"/>
          <w:vertAlign w:val="baseline"/>
        </w:rPr>
        <w:t>Spotts v. United States</w:t>
      </w:r>
      <w:r>
        <w:rPr>
          <w:rFonts w:ascii="arial" w:eastAsia="arial" w:hAnsi="arial" w:cs="arial"/>
          <w:b w:val="0"/>
          <w:i/>
          <w:strike w:val="0"/>
          <w:noProof w:val="0"/>
          <w:color w:val="000000"/>
          <w:position w:val="0"/>
          <w:sz w:val="20"/>
          <w:u w:val="none"/>
          <w:vertAlign w:val="baseline"/>
        </w:rPr>
        <w:t>, 613 F.3d 559, 568 (5th Cir. 2010)</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 Discretionary Conduct</w:t>
      </w:r>
    </w:p>
    <w:p>
      <w:pPr>
        <w:keepNext w:val="0"/>
        <w:spacing w:before="240" w:after="0" w:line="260" w:lineRule="atLeast"/>
        <w:ind w:left="0" w:right="0" w:firstLine="0"/>
        <w:jc w:val="both"/>
      </w:pPr>
      <w:bookmarkStart w:id="68" w:name="Bookmark_para_17"/>
      <w:bookmarkEnd w:id="68"/>
      <w:bookmarkStart w:id="69" w:name="Bookmark_I6D6MVHP2N1RHT0030000400"/>
      <w:bookmarkEnd w:id="69"/>
      <w:bookmarkStart w:id="70" w:name="Bookmark_I6D6MVHP2HM5S80020000400"/>
      <w:bookmarkEnd w:id="70"/>
      <w:r>
        <w:rPr>
          <w:rFonts w:ascii="arial" w:eastAsia="arial" w:hAnsi="arial" w:cs="arial"/>
          <w:b w:val="0"/>
          <w:i w:val="0"/>
          <w:strike w:val="0"/>
          <w:noProof w:val="0"/>
          <w:color w:val="000000"/>
          <w:position w:val="0"/>
          <w:sz w:val="20"/>
          <w:u w:val="none"/>
          <w:vertAlign w:val="baseline"/>
        </w:rPr>
        <w:t>At step one, the Court asks whether "a statute, regulation,</w:t>
      </w:r>
      <w:r>
        <w:rPr>
          <w:rFonts w:ascii="arial" w:eastAsia="arial" w:hAnsi="arial" w:cs="arial"/>
          <w:b/>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or policy leaves it to a federal agency to determine when and how to take action." </w:t>
      </w:r>
      <w:bookmarkStart w:id="71" w:name="Bookmark_I6D6MVHP2N1RHT0020000400"/>
      <w:bookmarkEnd w:id="71"/>
      <w:hyperlink r:id="rId27" w:history="1">
        <w:r>
          <w:rPr>
            <w:rFonts w:ascii="arial" w:eastAsia="arial" w:hAnsi="arial" w:cs="arial"/>
            <w:b w:val="0"/>
            <w:i/>
            <w:strike w:val="0"/>
            <w:noProof w:val="0"/>
            <w:color w:val="0077CC"/>
            <w:position w:val="0"/>
            <w:sz w:val="20"/>
            <w:u w:val="single"/>
            <w:vertAlign w:val="baseline"/>
          </w:rPr>
          <w:t>Id.</w:t>
        </w:r>
      </w:hyperlink>
      <w:hyperlink r:id="rId27" w:history="1">
        <w:r>
          <w:rPr>
            <w:rFonts w:ascii="arial" w:eastAsia="arial" w:hAnsi="arial" w:cs="arial"/>
            <w:b w:val="0"/>
            <w:i/>
            <w:strike w:val="0"/>
            <w:noProof w:val="0"/>
            <w:color w:val="0077CC"/>
            <w:position w:val="0"/>
            <w:sz w:val="20"/>
            <w:u w:val="single"/>
            <w:vertAlign w:val="baseline"/>
          </w:rPr>
          <w:t xml:space="preserve"> at 812</w:t>
        </w:r>
      </w:hyperlink>
      <w:r>
        <w:rPr>
          <w:rFonts w:ascii="arial" w:eastAsia="arial" w:hAnsi="arial" w:cs="arial"/>
          <w:b w:val="0"/>
          <w:i w:val="0"/>
          <w:strike w:val="0"/>
          <w:noProof w:val="0"/>
          <w:color w:val="000000"/>
          <w:position w:val="0"/>
          <w:sz w:val="20"/>
          <w:u w:val="none"/>
          <w:vertAlign w:val="baseline"/>
        </w:rPr>
        <w:t xml:space="preserve"> (quoting </w:t>
      </w:r>
      <w:bookmarkStart w:id="72" w:name="Bookmark_I6D6MVHP2N1RHT0040000400"/>
      <w:bookmarkEnd w:id="72"/>
      <w:r>
        <w:rPr>
          <w:rFonts w:ascii="arial" w:eastAsia="arial" w:hAnsi="arial" w:cs="arial"/>
          <w:b w:val="0"/>
          <w:i/>
          <w:strike w:val="0"/>
          <w:noProof w:val="0"/>
          <w:color w:val="000000"/>
          <w:position w:val="0"/>
          <w:sz w:val="20"/>
          <w:u w:val="none"/>
          <w:vertAlign w:val="baseline"/>
        </w:rPr>
        <w:t>Spotts</w:t>
      </w:r>
      <w:r>
        <w:rPr>
          <w:rFonts w:ascii="arial" w:eastAsia="arial" w:hAnsi="arial" w:cs="arial"/>
          <w:b w:val="0"/>
          <w:i w:val="0"/>
          <w:strike w:val="0"/>
          <w:noProof w:val="0"/>
          <w:color w:val="000000"/>
          <w:position w:val="0"/>
          <w:sz w:val="20"/>
          <w:u w:val="none"/>
          <w:vertAlign w:val="baseline"/>
        </w:rPr>
        <w:t xml:space="preserve">, 613 F.3d at 567). </w:t>
      </w:r>
      <w:bookmarkStart w:id="73" w:name="Bookmark_I6D6MVHP2HM5S80040000400"/>
      <w:bookmarkEnd w:id="73"/>
      <w:r>
        <w:rPr>
          <w:rFonts w:ascii="arial" w:eastAsia="arial" w:hAnsi="arial" w:cs="arial"/>
          <w:b w:val="0"/>
          <w:i w:val="0"/>
          <w:strike w:val="0"/>
          <w:noProof w:val="0"/>
          <w:color w:val="000000"/>
          <w:position w:val="0"/>
          <w:sz w:val="20"/>
          <w:u w:val="none"/>
          <w:vertAlign w:val="baseline"/>
        </w:rPr>
        <w:t xml:space="preserve">If so, "the exercise of its authority is discretionary," and the analysis proceeds to step two.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(quoting </w:t>
      </w:r>
      <w:bookmarkStart w:id="74" w:name="Bookmark_I6D6MVHP2HM5S80010000400"/>
      <w:bookmarkEnd w:id="74"/>
      <w:r>
        <w:rPr>
          <w:rFonts w:ascii="arial" w:eastAsia="arial" w:hAnsi="arial" w:cs="arial"/>
          <w:b w:val="0"/>
          <w:i/>
          <w:strike w:val="0"/>
          <w:noProof w:val="0"/>
          <w:color w:val="000000"/>
          <w:position w:val="0"/>
          <w:sz w:val="20"/>
          <w:u w:val="none"/>
          <w:vertAlign w:val="baseline"/>
        </w:rPr>
        <w:t>Spotts</w:t>
      </w:r>
      <w:r>
        <w:rPr>
          <w:rFonts w:ascii="arial" w:eastAsia="arial" w:hAnsi="arial" w:cs="arial"/>
          <w:b w:val="0"/>
          <w:i w:val="0"/>
          <w:strike w:val="0"/>
          <w:noProof w:val="0"/>
          <w:color w:val="000000"/>
          <w:position w:val="0"/>
          <w:sz w:val="20"/>
          <w:u w:val="none"/>
          <w:vertAlign w:val="baseline"/>
        </w:rPr>
        <w:t xml:space="preserve">, 613 F.3d at 567). But if "the challenged actions in fact violated a federal statute, regulation, or policy," then the discretionary function exception does not apply. </w:t>
      </w:r>
      <w:bookmarkStart w:id="75" w:name="Bookmark_I6D6MVHP2HM5S80040000400_2"/>
      <w:bookmarkEnd w:id="75"/>
      <w:bookmarkStart w:id="76" w:name="Bookmark_I6D6MVHP2D6NT70010000400"/>
      <w:bookmarkEnd w:id="76"/>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(quoting </w:t>
      </w:r>
      <w:bookmarkStart w:id="77" w:name="Bookmark_I6D6MVHP2HM5S80030000400"/>
      <w:bookmarkEnd w:id="77"/>
      <w:r>
        <w:rPr>
          <w:rFonts w:ascii="arial" w:eastAsia="arial" w:hAnsi="arial" w:cs="arial"/>
          <w:b w:val="0"/>
          <w:i/>
          <w:strike w:val="0"/>
          <w:noProof w:val="0"/>
          <w:color w:val="000000"/>
          <w:position w:val="0"/>
          <w:sz w:val="20"/>
          <w:u w:val="none"/>
          <w:vertAlign w:val="baseline"/>
        </w:rPr>
        <w:t>Spotts</w:t>
      </w:r>
      <w:r>
        <w:rPr>
          <w:rFonts w:ascii="arial" w:eastAsia="arial" w:hAnsi="arial" w:cs="arial"/>
          <w:b w:val="0"/>
          <w:i w:val="0"/>
          <w:strike w:val="0"/>
          <w:noProof w:val="0"/>
          <w:color w:val="000000"/>
          <w:position w:val="0"/>
          <w:sz w:val="20"/>
          <w:u w:val="none"/>
          <w:vertAlign w:val="baseline"/>
        </w:rPr>
        <w:t xml:space="preserve">, 613 F.3d at 567). </w:t>
      </w:r>
      <w:bookmarkStart w:id="78" w:name="Bookmark_I6D6MVHP2D6NT70010000400_2"/>
      <w:bookmarkEnd w:id="78"/>
      <w:r>
        <w:rPr>
          <w:rFonts w:ascii="arial" w:eastAsia="arial" w:hAnsi="arial" w:cs="arial"/>
          <w:b w:val="0"/>
          <w:i w:val="0"/>
          <w:strike w:val="0"/>
          <w:noProof w:val="0"/>
          <w:color w:val="000000"/>
          <w:position w:val="0"/>
          <w:sz w:val="20"/>
          <w:u w:val="none"/>
          <w:vertAlign w:val="baseline"/>
        </w:rPr>
        <w:t xml:space="preserve">The plaintiff bears the burden of showing that the agency's actions violated a specific directive. </w:t>
      </w:r>
      <w:bookmarkStart w:id="79" w:name="Bookmark_I6D6MVHP2HM5S80050000400"/>
      <w:bookmarkEnd w:id="79"/>
      <w:hyperlink r:id="rId11" w:history="1">
        <w:r>
          <w:rPr>
            <w:rFonts w:ascii="arial" w:eastAsia="arial" w:hAnsi="arial" w:cs="arial"/>
            <w:b w:val="0"/>
            <w:i/>
            <w:strike w:val="0"/>
            <w:noProof w:val="0"/>
            <w:color w:val="0077CC"/>
            <w:position w:val="0"/>
            <w:sz w:val="20"/>
            <w:u w:val="single"/>
            <w:vertAlign w:val="baseline"/>
          </w:rPr>
          <w:t>M.D.C.G.</w:t>
        </w:r>
      </w:hyperlink>
      <w:hyperlink r:id="rId11" w:history="1">
        <w:r>
          <w:rPr>
            <w:rFonts w:ascii="arial" w:eastAsia="arial" w:hAnsi="arial" w:cs="arial"/>
            <w:b w:val="0"/>
            <w:i/>
            <w:strike w:val="0"/>
            <w:noProof w:val="0"/>
            <w:color w:val="0077CC"/>
            <w:position w:val="0"/>
            <w:sz w:val="20"/>
            <w:u w:val="single"/>
            <w:vertAlign w:val="baseline"/>
          </w:rPr>
          <w:t>, 956 F.3d at 772</w:t>
        </w:r>
      </w:hyperlink>
      <w:r>
        <w:rPr>
          <w:rFonts w:ascii="arial" w:eastAsia="arial" w:hAnsi="arial" w:cs="arial"/>
          <w:b w:val="0"/>
          <w:i w:val="0"/>
          <w:strike w:val="0"/>
          <w:noProof w:val="0"/>
          <w:color w:val="000000"/>
          <w:position w:val="0"/>
          <w:sz w:val="20"/>
          <w:u w:val="none"/>
          <w:vertAlign w:val="baseline"/>
        </w:rPr>
        <w:t xml:space="preserve"> (citing </w:t>
      </w:r>
      <w:bookmarkStart w:id="80" w:name="Bookmark_I6D6MVHP2D6NT70020000400"/>
      <w:bookmarkEnd w:id="80"/>
      <w:hyperlink r:id="rId29" w:history="1">
        <w:r>
          <w:rPr>
            <w:rFonts w:ascii="arial" w:eastAsia="arial" w:hAnsi="arial" w:cs="arial"/>
            <w:b w:val="0"/>
            <w:i/>
            <w:strike w:val="0"/>
            <w:noProof w:val="0"/>
            <w:color w:val="0077CC"/>
            <w:position w:val="0"/>
            <w:sz w:val="20"/>
            <w:u w:val="single"/>
            <w:vertAlign w:val="baseline"/>
          </w:rPr>
          <w:t>Campos v. United States</w:t>
        </w:r>
      </w:hyperlink>
      <w:hyperlink r:id="rId29" w:history="1">
        <w:r>
          <w:rPr>
            <w:rFonts w:ascii="arial" w:eastAsia="arial" w:hAnsi="arial" w:cs="arial"/>
            <w:b w:val="0"/>
            <w:i/>
            <w:strike w:val="0"/>
            <w:noProof w:val="0"/>
            <w:color w:val="0077CC"/>
            <w:position w:val="0"/>
            <w:sz w:val="20"/>
            <w:u w:val="single"/>
            <w:vertAlign w:val="baseline"/>
          </w:rPr>
          <w:t>, 888 F.3d 724, 731 (5th Cir. 2018)</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81" w:name="Bookmark_para_18"/>
      <w:bookmarkEnd w:id="81"/>
      <w:r>
        <w:rPr>
          <w:rFonts w:ascii="arial" w:eastAsia="arial" w:hAnsi="arial" w:cs="arial"/>
          <w:b w:val="0"/>
          <w:i w:val="0"/>
          <w:strike w:val="0"/>
          <w:noProof w:val="0"/>
          <w:color w:val="000000"/>
          <w:position w:val="0"/>
          <w:sz w:val="20"/>
          <w:u w:val="none"/>
          <w:vertAlign w:val="baseline"/>
        </w:rPr>
        <w:t>Here, Plaintiff has not put forward any evidence—nor even alleged—that CBP has a specific regulation or policy regarding overcrowding at the Port of Entry.</w:t>
      </w:r>
      <w:r>
        <w:rPr>
          <w:rFonts w:ascii="arial" w:eastAsia="arial" w:hAnsi="arial" w:cs="arial"/>
          <w:vertAlign w:val="superscript"/>
        </w:rPr>
        <w:footnoteReference w:customMarkFollows="1" w:id="5"/>
        <w:t xml:space="preserve">4</w:t>
      </w:r>
      <w:r>
        <w:rPr>
          <w:rFonts w:ascii="arial" w:eastAsia="arial" w:hAnsi="arial" w:cs="arial"/>
          <w:b w:val="0"/>
          <w:i w:val="0"/>
          <w:strike w:val="0"/>
          <w:noProof w:val="0"/>
          <w:color w:val="000000"/>
          <w:position w:val="0"/>
          <w:sz w:val="20"/>
          <w:u w:val="none"/>
          <w:vertAlign w:val="baseline"/>
        </w:rPr>
        <w:t xml:space="preserve"> And the Government, through the sworn declaration of CBP's Assistant Director for Border Security at the El Paso Field Office, contends that no such policy exists. </w:t>
      </w:r>
      <w:bookmarkStart w:id="89" w:name="Bookmark_II08CCJ49H6F003S4RWX00PC8"/>
      <w:bookmarkEnd w:id="89"/>
      <w:bookmarkStart w:id="90" w:name="Bookmark_II08CCJ49H6F003S4RWX00PC9"/>
      <w:bookmarkEnd w:id="90"/>
      <w:bookmarkStart w:id="91" w:name="Bookmark_I6D6MVHP2D6NT70050000400"/>
      <w:bookmarkEnd w:id="91"/>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Mot. 11-12 (citing Cleaves Decl. ¶¶ 8-9). Because Plaintiff has provided neither evidence nor allegations to the contrary, she falls well short of carrying her burden to prove, by a preponderance of the evidence, that CBP violated a specific directive in its handling of crowd control at the port of entry. </w:t>
      </w:r>
      <w:r>
        <w:rPr>
          <w:rFonts w:ascii="arial" w:eastAsia="arial" w:hAnsi="arial" w:cs="arial"/>
          <w:b w:val="0"/>
          <w:i/>
          <w:strike w:val="0"/>
          <w:noProof w:val="0"/>
          <w:color w:val="000000"/>
          <w:position w:val="0"/>
          <w:sz w:val="20"/>
          <w:u w:val="none"/>
          <w:vertAlign w:val="baseline"/>
        </w:rPr>
        <w:t xml:space="preserve">See </w:t>
      </w:r>
      <w:bookmarkStart w:id="92" w:name="Bookmark_I6D6MVHP2D6NT70040000400"/>
      <w:bookmarkEnd w:id="92"/>
      <w:hyperlink r:id="rId11" w:history="1">
        <w:r>
          <w:rPr>
            <w:rFonts w:ascii="arial" w:eastAsia="arial" w:hAnsi="arial" w:cs="arial"/>
            <w:b w:val="0"/>
            <w:i/>
            <w:strike w:val="0"/>
            <w:noProof w:val="0"/>
            <w:color w:val="0077CC"/>
            <w:position w:val="0"/>
            <w:sz w:val="20"/>
            <w:u w:val="single"/>
            <w:vertAlign w:val="baseline"/>
          </w:rPr>
          <w:t>M.D.C.G.</w:t>
        </w:r>
      </w:hyperlink>
      <w:hyperlink r:id="rId11" w:history="1">
        <w:r>
          <w:rPr>
            <w:rFonts w:ascii="arial" w:eastAsia="arial" w:hAnsi="arial" w:cs="arial"/>
            <w:b w:val="0"/>
            <w:i/>
            <w:strike w:val="0"/>
            <w:noProof w:val="0"/>
            <w:color w:val="0077CC"/>
            <w:position w:val="0"/>
            <w:sz w:val="20"/>
            <w:u w:val="single"/>
            <w:vertAlign w:val="baseline"/>
          </w:rPr>
          <w:t>, 956 F.3d at 772</w:t>
        </w:r>
      </w:hyperlink>
      <w:r>
        <w:rPr>
          <w:rFonts w:ascii="arial" w:eastAsia="arial" w:hAnsi="arial" w:cs="arial"/>
          <w:b w:val="0"/>
          <w:i w:val="0"/>
          <w:strike w:val="0"/>
          <w:noProof w:val="0"/>
          <w:color w:val="000000"/>
          <w:position w:val="0"/>
          <w:sz w:val="20"/>
          <w:u w:val="none"/>
          <w:vertAlign w:val="baseline"/>
        </w:rPr>
        <w:t xml:space="preserve">; </w:t>
      </w:r>
      <w:bookmarkStart w:id="93" w:name="Bookmark_I6D6MVHP2HM5SC0010000400"/>
      <w:bookmarkEnd w:id="93"/>
      <w:hyperlink r:id="rId17" w:history="1">
        <w:r>
          <w:rPr>
            <w:rFonts w:ascii="arial" w:eastAsia="arial" w:hAnsi="arial" w:cs="arial"/>
            <w:b w:val="0"/>
            <w:i/>
            <w:strike w:val="0"/>
            <w:noProof w:val="0"/>
            <w:color w:val="0077CC"/>
            <w:position w:val="0"/>
            <w:sz w:val="20"/>
            <w:u w:val="single"/>
            <w:vertAlign w:val="baseline"/>
          </w:rPr>
          <w:t>Superior MRI Servs.</w:t>
        </w:r>
      </w:hyperlink>
      <w:hyperlink r:id="rId17" w:history="1">
        <w:r>
          <w:rPr>
            <w:rFonts w:ascii="arial" w:eastAsia="arial" w:hAnsi="arial" w:cs="arial"/>
            <w:b w:val="0"/>
            <w:i/>
            <w:strike w:val="0"/>
            <w:noProof w:val="0"/>
            <w:color w:val="0077CC"/>
            <w:position w:val="0"/>
            <w:sz w:val="20"/>
            <w:u w:val="single"/>
            <w:vertAlign w:val="baseline"/>
          </w:rPr>
          <w:t>, 778 F.3d at 504</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Therefore, the first element of the discretionary function exception is met.</w:t>
      </w:r>
      <w:r>
        <w:rPr>
          <w:rFonts w:ascii="arial" w:eastAsia="arial" w:hAnsi="arial" w:cs="arial"/>
          <w:b/>
          <w:i w:val="0"/>
          <w:strike w:val="0"/>
          <w:noProof w:val="0"/>
          <w:color w:val="000000"/>
          <w:position w:val="0"/>
          <w:sz w:val="20"/>
          <w:u w:val="none"/>
          <w:vertAlign w:val="baseline"/>
        </w:rPr>
        <w:t> [*10]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b. Policy Considerations</w:t>
      </w:r>
    </w:p>
    <w:p>
      <w:pPr>
        <w:keepNext w:val="0"/>
        <w:spacing w:before="240" w:after="0" w:line="260" w:lineRule="atLeast"/>
        <w:ind w:left="0" w:right="0" w:firstLine="0"/>
        <w:jc w:val="both"/>
      </w:pPr>
      <w:bookmarkStart w:id="94" w:name="Bookmark_para_19"/>
      <w:bookmarkEnd w:id="94"/>
      <w:bookmarkStart w:id="95" w:name="Bookmark_I6D6MVHP2D6NTB0050000400"/>
      <w:bookmarkEnd w:id="95"/>
      <w:bookmarkStart w:id="96" w:name="Bookmark_I6D6MVHP28T45G0020000400"/>
      <w:bookmarkEnd w:id="96"/>
      <w:r>
        <w:rPr>
          <w:rFonts w:ascii="arial" w:eastAsia="arial" w:hAnsi="arial" w:cs="arial"/>
          <w:b w:val="0"/>
          <w:i w:val="0"/>
          <w:strike w:val="0"/>
          <w:noProof w:val="0"/>
          <w:color w:val="000000"/>
          <w:position w:val="0"/>
          <w:sz w:val="20"/>
          <w:u w:val="none"/>
          <w:vertAlign w:val="baseline"/>
        </w:rPr>
        <w:t xml:space="preserve">At step two, the Court considers whether the discretionary function exception was designed to shield the discretionary action at issue. </w:t>
      </w:r>
      <w:bookmarkStart w:id="97" w:name="Bookmark_I6D6MVHP28T45G0040000400"/>
      <w:bookmarkEnd w:id="97"/>
      <w:r>
        <w:rPr>
          <w:rFonts w:ascii="arial" w:eastAsia="arial" w:hAnsi="arial" w:cs="arial"/>
          <w:b w:val="0"/>
          <w:i/>
          <w:strike w:val="0"/>
          <w:noProof w:val="0"/>
          <w:color w:val="000000"/>
          <w:position w:val="0"/>
          <w:sz w:val="20"/>
          <w:u w:val="none"/>
          <w:vertAlign w:val="baseline"/>
        </w:rPr>
        <w:t xml:space="preserve">See </w:t>
      </w:r>
      <w:bookmarkStart w:id="98" w:name="Bookmark_I6D6MVHP2D6NTB0040000400"/>
      <w:bookmarkEnd w:id="98"/>
      <w:hyperlink r:id="rId27" w:history="1">
        <w:r>
          <w:rPr>
            <w:rFonts w:ascii="arial" w:eastAsia="arial" w:hAnsi="arial" w:cs="arial"/>
            <w:b w:val="0"/>
            <w:i/>
            <w:strike w:val="0"/>
            <w:noProof w:val="0"/>
            <w:color w:val="0077CC"/>
            <w:position w:val="0"/>
            <w:sz w:val="20"/>
            <w:u w:val="single"/>
            <w:vertAlign w:val="baseline"/>
          </w:rPr>
          <w:t>Gibson</w:t>
        </w:r>
      </w:hyperlink>
      <w:hyperlink r:id="rId27" w:history="1">
        <w:r>
          <w:rPr>
            <w:rFonts w:ascii="arial" w:eastAsia="arial" w:hAnsi="arial" w:cs="arial"/>
            <w:b w:val="0"/>
            <w:i/>
            <w:strike w:val="0"/>
            <w:noProof w:val="0"/>
            <w:color w:val="0077CC"/>
            <w:position w:val="0"/>
            <w:sz w:val="20"/>
            <w:u w:val="single"/>
            <w:vertAlign w:val="baseline"/>
          </w:rPr>
          <w:t>, 809 F.3d at 813</w:t>
        </w:r>
      </w:hyperlink>
      <w:r>
        <w:rPr>
          <w:rFonts w:ascii="arial" w:eastAsia="arial" w:hAnsi="arial" w:cs="arial"/>
          <w:b w:val="0"/>
          <w:i w:val="0"/>
          <w:strike w:val="0"/>
          <w:noProof w:val="0"/>
          <w:color w:val="000000"/>
          <w:position w:val="0"/>
          <w:sz w:val="20"/>
          <w:u w:val="none"/>
          <w:vertAlign w:val="baseline"/>
        </w:rPr>
        <w:t xml:space="preserve">. </w:t>
      </w:r>
      <w:bookmarkStart w:id="99" w:name="Bookmark_I6D6MVHR2N1RJB0010000400"/>
      <w:bookmarkEnd w:id="99"/>
      <w:r>
        <w:rPr>
          <w:rFonts w:ascii="arial" w:eastAsia="arial" w:hAnsi="arial" w:cs="arial"/>
          <w:b w:val="0"/>
          <w:i w:val="0"/>
          <w:strike w:val="0"/>
          <w:noProof w:val="0"/>
          <w:color w:val="000000"/>
          <w:position w:val="0"/>
          <w:sz w:val="20"/>
          <w:u w:val="none"/>
          <w:vertAlign w:val="baseline"/>
        </w:rPr>
        <w:t xml:space="preserve">"[T]he exception was enacted to 'prevent judicial second-guessing of legislative and administrative decisions grounded in social, economic, and political policy.'"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(quoting </w:t>
      </w:r>
      <w:bookmarkStart w:id="100" w:name="Bookmark_I6D6MVHP28T45G0010000400"/>
      <w:bookmarkEnd w:id="100"/>
      <w:hyperlink r:id="rId30" w:history="1">
        <w:r>
          <w:rPr>
            <w:rFonts w:ascii="arial" w:eastAsia="arial" w:hAnsi="arial" w:cs="arial"/>
            <w:b w:val="0"/>
            <w:i/>
            <w:strike w:val="0"/>
            <w:noProof w:val="0"/>
            <w:color w:val="0077CC"/>
            <w:position w:val="0"/>
            <w:sz w:val="20"/>
            <w:u w:val="single"/>
            <w:vertAlign w:val="baseline"/>
          </w:rPr>
          <w:t>In re Katrina Canal Breaches Litig.</w:t>
        </w:r>
      </w:hyperlink>
      <w:hyperlink r:id="rId30" w:history="1">
        <w:r>
          <w:rPr>
            <w:rFonts w:ascii="arial" w:eastAsia="arial" w:hAnsi="arial" w:cs="arial"/>
            <w:b w:val="0"/>
            <w:i/>
            <w:strike w:val="0"/>
            <w:noProof w:val="0"/>
            <w:color w:val="0077CC"/>
            <w:position w:val="0"/>
            <w:sz w:val="20"/>
            <w:u w:val="single"/>
            <w:vertAlign w:val="baseline"/>
          </w:rPr>
          <w:t>, 696 F.3d 436, 449 (5th Cir. 2012)</w:t>
        </w:r>
      </w:hyperlink>
      <w:r>
        <w:rPr>
          <w:rFonts w:ascii="arial" w:eastAsia="arial" w:hAnsi="arial" w:cs="arial"/>
          <w:b w:val="0"/>
          <w:i w:val="0"/>
          <w:strike w:val="0"/>
          <w:noProof w:val="0"/>
          <w:color w:val="000000"/>
          <w:position w:val="0"/>
          <w:sz w:val="20"/>
          <w:u w:val="none"/>
          <w:vertAlign w:val="baseline"/>
        </w:rPr>
        <w:t xml:space="preserve">). </w:t>
      </w:r>
      <w:bookmarkStart w:id="101" w:name="Bookmark_I6D6MVHR2N1RJB0010000400_2"/>
      <w:bookmarkEnd w:id="101"/>
      <w:bookmarkStart w:id="102" w:name="Bookmark_I6D6MVHP28T45G0040000400_2"/>
      <w:bookmarkEnd w:id="102"/>
      <w:r>
        <w:rPr>
          <w:rFonts w:ascii="arial" w:eastAsia="arial" w:hAnsi="arial" w:cs="arial"/>
          <w:b w:val="0"/>
          <w:i w:val="0"/>
          <w:strike w:val="0"/>
          <w:noProof w:val="0"/>
          <w:color w:val="000000"/>
          <w:position w:val="0"/>
          <w:sz w:val="20"/>
          <w:u w:val="none"/>
          <w:vertAlign w:val="baseline"/>
        </w:rPr>
        <w:t xml:space="preserve">"The exception, properly construed, therefore protects only governmental actions and decisions based on considerations of public policy."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(quoting </w:t>
      </w:r>
      <w:bookmarkStart w:id="103" w:name="Bookmark_I6D6MVHP28T45G0030000400"/>
      <w:bookmarkEnd w:id="103"/>
      <w:hyperlink r:id="rId31" w:history="1">
        <w:r>
          <w:rPr>
            <w:rFonts w:ascii="arial" w:eastAsia="arial" w:hAnsi="arial" w:cs="arial"/>
            <w:b w:val="0"/>
            <w:i/>
            <w:strike w:val="0"/>
            <w:noProof w:val="0"/>
            <w:color w:val="0077CC"/>
            <w:position w:val="0"/>
            <w:sz w:val="20"/>
            <w:u w:val="single"/>
            <w:vertAlign w:val="baseline"/>
          </w:rPr>
          <w:t>Berkovitz by Berkovitz v. United States</w:t>
        </w:r>
      </w:hyperlink>
      <w:hyperlink r:id="rId31" w:history="1">
        <w:r>
          <w:rPr>
            <w:rFonts w:ascii="arial" w:eastAsia="arial" w:hAnsi="arial" w:cs="arial"/>
            <w:b w:val="0"/>
            <w:i/>
            <w:strike w:val="0"/>
            <w:noProof w:val="0"/>
            <w:color w:val="0077CC"/>
            <w:position w:val="0"/>
            <w:sz w:val="20"/>
            <w:u w:val="single"/>
            <w:vertAlign w:val="baseline"/>
          </w:rPr>
          <w:t>, 486 U.S. 531, 537, 108 S. Ct. 1954, 100 L. Ed. 2d 531 (1988)</w:t>
        </w:r>
      </w:hyperlink>
      <w:r>
        <w:rPr>
          <w:rFonts w:ascii="arial" w:eastAsia="arial" w:hAnsi="arial" w:cs="arial"/>
          <w:b w:val="0"/>
          <w:i w:val="0"/>
          <w:strike w:val="0"/>
          <w:noProof w:val="0"/>
          <w:color w:val="000000"/>
          <w:position w:val="0"/>
          <w:sz w:val="20"/>
          <w:u w:val="none"/>
          <w:vertAlign w:val="baseline"/>
        </w:rPr>
        <w:t xml:space="preserve">). Put differently, "[t]he exception only shields those acts that are 'based on the purposes that the regulatory regime seeks to accomplish.'"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(quoting </w:t>
      </w:r>
      <w:bookmarkStart w:id="104" w:name="Bookmark_I6D6MVHP28T45G0050000400"/>
      <w:bookmarkEnd w:id="104"/>
      <w:hyperlink r:id="rId28" w:history="1">
        <w:r>
          <w:rPr>
            <w:rFonts w:ascii="arial" w:eastAsia="arial" w:hAnsi="arial" w:cs="arial"/>
            <w:b w:val="0"/>
            <w:i/>
            <w:strike w:val="0"/>
            <w:noProof w:val="0"/>
            <w:color w:val="0077CC"/>
            <w:position w:val="0"/>
            <w:sz w:val="20"/>
            <w:u w:val="single"/>
            <w:vertAlign w:val="baseline"/>
          </w:rPr>
          <w:t>Gaubert</w:t>
        </w:r>
      </w:hyperlink>
      <w:hyperlink r:id="rId28" w:history="1">
        <w:r>
          <w:rPr>
            <w:rFonts w:ascii="arial" w:eastAsia="arial" w:hAnsi="arial" w:cs="arial"/>
            <w:b w:val="0"/>
            <w:i/>
            <w:strike w:val="0"/>
            <w:noProof w:val="0"/>
            <w:color w:val="0077CC"/>
            <w:position w:val="0"/>
            <w:sz w:val="20"/>
            <w:u w:val="single"/>
            <w:vertAlign w:val="baseline"/>
          </w:rPr>
          <w:t>, 499 U.S. at 325 n.7</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05" w:name="Bookmark_para_20"/>
      <w:bookmarkEnd w:id="105"/>
      <w:r>
        <w:rPr>
          <w:rFonts w:ascii="arial" w:eastAsia="arial" w:hAnsi="arial" w:cs="arial"/>
          <w:b w:val="0"/>
          <w:i w:val="0"/>
          <w:strike w:val="0"/>
          <w:noProof w:val="0"/>
          <w:color w:val="000000"/>
          <w:position w:val="0"/>
          <w:sz w:val="20"/>
          <w:u w:val="none"/>
          <w:vertAlign w:val="baseline"/>
        </w:rPr>
        <w:t xml:space="preserve">Here, Plaintiff alleges that the Government caused her injury by negligently allowing the area near the revolving door at the Port of Entry to become overcrowded.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Am. Compl. ¶¶ 32-37. But the Government has submitted undisputed evidence showing that it manages crowds at the Port of Entry through active lane management.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Cleaves Decl. ¶ 8. The active lane management conducted by CBP officers is meant to "(1) repel criminal threats from Mexico; (2) expel individuals at risk of transmitting COVID-19 or other highly communicable</w:t>
      </w:r>
      <w:r>
        <w:rPr>
          <w:rFonts w:ascii="arial" w:eastAsia="arial" w:hAnsi="arial" w:cs="arial"/>
          <w:b/>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diseases; (3) direct travelers toward the primary inspection area; and (4) [ ] ensure the bridge does not become overcrowded and unsafe," among other things.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 9. Active lane management thus furthers CBP's larger mission to "facilitat[e] lawful trade and travel, [while] interdicting drugs and proceeds of criminal enterprise."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7. Plaintiff has submitted no evidence refuting the Government's contention that active lane management is closely tied to this larger mission, and that larger mission is clearly grounded in policy considerations.</w:t>
      </w:r>
    </w:p>
    <w:p>
      <w:pPr>
        <w:keepNext w:val="0"/>
        <w:spacing w:before="200" w:after="0" w:line="260" w:lineRule="atLeast"/>
        <w:ind w:left="0" w:right="0" w:firstLine="0"/>
        <w:jc w:val="both"/>
      </w:pPr>
      <w:bookmarkStart w:id="106" w:name="Bookmark_para_21"/>
      <w:bookmarkEnd w:id="106"/>
      <w:bookmarkStart w:id="107" w:name="Bookmark_I6D6MVHR2N1RJB0030000400"/>
      <w:bookmarkEnd w:id="107"/>
      <w:r>
        <w:rPr>
          <w:rFonts w:ascii="arial" w:eastAsia="arial" w:hAnsi="arial" w:cs="arial"/>
          <w:b w:val="0"/>
          <w:i w:val="0"/>
          <w:strike w:val="0"/>
          <w:noProof w:val="0"/>
          <w:color w:val="000000"/>
          <w:position w:val="0"/>
          <w:sz w:val="20"/>
          <w:u w:val="none"/>
          <w:vertAlign w:val="baseline"/>
        </w:rPr>
        <w:t xml:space="preserve">Courts have applied the discretionary function exception in similar situations. </w:t>
      </w:r>
      <w:bookmarkStart w:id="108" w:name="Bookmark_I6D6MVHR2N1RJB0050000400"/>
      <w:bookmarkEnd w:id="108"/>
      <w:r>
        <w:rPr>
          <w:rFonts w:ascii="arial" w:eastAsia="arial" w:hAnsi="arial" w:cs="arial"/>
          <w:b w:val="0"/>
          <w:i w:val="0"/>
          <w:strike w:val="0"/>
          <w:noProof w:val="0"/>
          <w:color w:val="000000"/>
          <w:position w:val="0"/>
          <w:sz w:val="20"/>
          <w:u w:val="none"/>
          <w:vertAlign w:val="baseline"/>
        </w:rPr>
        <w:t xml:space="preserve">In </w:t>
      </w:r>
      <w:r>
        <w:rPr>
          <w:rFonts w:ascii="arial" w:eastAsia="arial" w:hAnsi="arial" w:cs="arial"/>
          <w:b w:val="0"/>
          <w:i/>
          <w:strike w:val="0"/>
          <w:noProof w:val="0"/>
          <w:color w:val="000000"/>
          <w:position w:val="0"/>
          <w:sz w:val="20"/>
          <w:u w:val="none"/>
          <w:vertAlign w:val="baseline"/>
        </w:rPr>
        <w:t>Pudeler v. United States</w:t>
      </w:r>
      <w:r>
        <w:rPr>
          <w:rFonts w:ascii="arial" w:eastAsia="arial" w:hAnsi="arial" w:cs="arial"/>
          <w:b w:val="0"/>
          <w:i w:val="0"/>
          <w:strike w:val="0"/>
          <w:noProof w:val="0"/>
          <w:color w:val="000000"/>
          <w:position w:val="0"/>
          <w:sz w:val="20"/>
          <w:u w:val="none"/>
          <w:vertAlign w:val="baseline"/>
        </w:rPr>
        <w:t xml:space="preserve">, for example, the plaintiff sustained an injury while passing through a Transportation Safety Administration ("TSA") checkpoint at an airport. </w:t>
      </w:r>
      <w:bookmarkStart w:id="109" w:name="Bookmark_I6D6MVHR28T45V0020000400"/>
      <w:bookmarkEnd w:id="109"/>
      <w:bookmarkStart w:id="110" w:name="Bookmark_I6D6MVHR2N1RJB0020000400"/>
      <w:bookmarkEnd w:id="110"/>
      <w:hyperlink r:id="rId32" w:history="1">
        <w:r>
          <w:rPr>
            <w:rFonts w:ascii="arial" w:eastAsia="arial" w:hAnsi="arial" w:cs="arial"/>
            <w:b w:val="0"/>
            <w:i/>
            <w:strike w:val="0"/>
            <w:noProof w:val="0"/>
            <w:color w:val="0077CC"/>
            <w:position w:val="0"/>
            <w:sz w:val="20"/>
            <w:u w:val="single"/>
            <w:vertAlign w:val="baseline"/>
          </w:rPr>
          <w:t>No. 3:09 CV 1543(JGM), 2013 U.S. Dist. LEXIS 174170, 2013 WL 6511937, at *2-3 (D. Conn. Dec. 12, 2013)</w:t>
        </w:r>
      </w:hyperlink>
      <w:r>
        <w:rPr>
          <w:rFonts w:ascii="arial" w:eastAsia="arial" w:hAnsi="arial" w:cs="arial"/>
          <w:b w:val="0"/>
          <w:i w:val="0"/>
          <w:strike w:val="0"/>
          <w:noProof w:val="0"/>
          <w:color w:val="000000"/>
          <w:position w:val="0"/>
          <w:sz w:val="20"/>
          <w:u w:val="none"/>
          <w:vertAlign w:val="baseline"/>
        </w:rPr>
        <w:t xml:space="preserve">. </w:t>
      </w:r>
      <w:bookmarkStart w:id="111" w:name="Bookmark_I6D6MVHR28T45V0020000400_2"/>
      <w:bookmarkEnd w:id="111"/>
      <w:bookmarkStart w:id="112" w:name="Bookmark_I6D6MVHR2N1RJB0050000400_2"/>
      <w:bookmarkEnd w:id="112"/>
      <w:bookmarkStart w:id="113" w:name="Bookmark_I6D6MVHR28T45V0040000400"/>
      <w:bookmarkEnd w:id="113"/>
      <w:r>
        <w:rPr>
          <w:rFonts w:ascii="arial" w:eastAsia="arial" w:hAnsi="arial" w:cs="arial"/>
          <w:b w:val="0"/>
          <w:i w:val="0"/>
          <w:strike w:val="0"/>
          <w:noProof w:val="0"/>
          <w:color w:val="000000"/>
          <w:position w:val="0"/>
          <w:sz w:val="20"/>
          <w:u w:val="none"/>
          <w:vertAlign w:val="baseline"/>
        </w:rPr>
        <w:t xml:space="preserve">The plaintiff alleged that her injury resulted from TSA's "failure to appropriately control the flow of individuals through the airport's security checkpoint." </w:t>
      </w:r>
      <w:bookmarkStart w:id="114" w:name="Bookmark_I6D6MVHR2N1RJB0040000400"/>
      <w:bookmarkEnd w:id="114"/>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*5. </w:t>
      </w:r>
      <w:bookmarkStart w:id="115" w:name="Bookmark_I6D6MVHR28T45V0040000400_2"/>
      <w:bookmarkEnd w:id="115"/>
      <w:r>
        <w:rPr>
          <w:rFonts w:ascii="arial" w:eastAsia="arial" w:hAnsi="arial" w:cs="arial"/>
          <w:b w:val="0"/>
          <w:i w:val="0"/>
          <w:strike w:val="0"/>
          <w:noProof w:val="0"/>
          <w:color w:val="000000"/>
          <w:position w:val="0"/>
          <w:sz w:val="20"/>
          <w:u w:val="none"/>
          <w:vertAlign w:val="baseline"/>
        </w:rPr>
        <w:t xml:space="preserve">But the district court found that the conduct at issue was "susceptible to policy related judgments." </w:t>
      </w:r>
      <w:bookmarkStart w:id="116" w:name="Bookmark_I6D6MVHR28T45V0010000400"/>
      <w:bookmarkEnd w:id="116"/>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*7. </w:t>
      </w:r>
      <w:bookmarkStart w:id="117" w:name="Bookmark_I6D6MVHR28T45V0040000400_3"/>
      <w:bookmarkEnd w:id="117"/>
      <w:r>
        <w:rPr>
          <w:rFonts w:ascii="arial" w:eastAsia="arial" w:hAnsi="arial" w:cs="arial"/>
          <w:b w:val="0"/>
          <w:i w:val="0"/>
          <w:strike w:val="0"/>
          <w:noProof w:val="0"/>
          <w:color w:val="000000"/>
          <w:position w:val="0"/>
          <w:sz w:val="20"/>
          <w:u w:val="none"/>
          <w:vertAlign w:val="baseline"/>
        </w:rPr>
        <w:t>The choices involved in moving individuals through the checkpoint, the court held, "require[d] a balancing . . . including specifically</w:t>
      </w:r>
      <w:r>
        <w:rPr>
          <w:rFonts w:ascii="arial" w:eastAsia="arial" w:hAnsi="arial" w:cs="arial"/>
          <w:b/>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the trade-off between greater safety and greater . . . effectiveness."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(quoting </w:t>
      </w:r>
      <w:bookmarkStart w:id="118" w:name="Bookmark_I6D6MVHR28T45V0030000400"/>
      <w:bookmarkEnd w:id="118"/>
      <w:hyperlink r:id="rId33" w:history="1">
        <w:r>
          <w:rPr>
            <w:rFonts w:ascii="arial" w:eastAsia="arial" w:hAnsi="arial" w:cs="arial"/>
            <w:b w:val="0"/>
            <w:i/>
            <w:strike w:val="0"/>
            <w:noProof w:val="0"/>
            <w:color w:val="0077CC"/>
            <w:position w:val="0"/>
            <w:sz w:val="20"/>
            <w:u w:val="single"/>
            <w:vertAlign w:val="baseline"/>
          </w:rPr>
          <w:t>Rao v. United States</w:t>
        </w:r>
      </w:hyperlink>
      <w:hyperlink r:id="rId33" w:history="1">
        <w:r>
          <w:rPr>
            <w:rFonts w:ascii="arial" w:eastAsia="arial" w:hAnsi="arial" w:cs="arial"/>
            <w:b w:val="0"/>
            <w:i/>
            <w:strike w:val="0"/>
            <w:noProof w:val="0"/>
            <w:color w:val="0077CC"/>
            <w:position w:val="0"/>
            <w:sz w:val="20"/>
            <w:u w:val="single"/>
            <w:vertAlign w:val="baseline"/>
          </w:rPr>
          <w:t>, Civil Action No. 08-12027-MBB, 2010 U.S. Dist. LEXIS 93999, 2010 WL 3607143, at *8 (D. Mass. Sept. 9, 2010)</w:t>
        </w:r>
      </w:hyperlink>
      <w:r>
        <w:rPr>
          <w:rFonts w:ascii="arial" w:eastAsia="arial" w:hAnsi="arial" w:cs="arial"/>
          <w:b w:val="0"/>
          <w:i w:val="0"/>
          <w:strike w:val="0"/>
          <w:noProof w:val="0"/>
          <w:color w:val="000000"/>
          <w:position w:val="0"/>
          <w:sz w:val="20"/>
          <w:u w:val="none"/>
          <w:vertAlign w:val="baseline"/>
        </w:rPr>
        <w:t xml:space="preserve">). Therefore, the </w:t>
      </w:r>
      <w:r>
        <w:rPr>
          <w:rFonts w:ascii="arial" w:eastAsia="arial" w:hAnsi="arial" w:cs="arial"/>
          <w:b w:val="0"/>
          <w:i/>
          <w:strike w:val="0"/>
          <w:noProof w:val="0"/>
          <w:color w:val="000000"/>
          <w:position w:val="0"/>
          <w:sz w:val="20"/>
          <w:u w:val="none"/>
          <w:vertAlign w:val="baseline"/>
        </w:rPr>
        <w:t>Pudeler</w:t>
      </w:r>
      <w:r>
        <w:rPr>
          <w:rFonts w:ascii="arial" w:eastAsia="arial" w:hAnsi="arial" w:cs="arial"/>
          <w:b w:val="0"/>
          <w:i w:val="0"/>
          <w:strike w:val="0"/>
          <w:noProof w:val="0"/>
          <w:color w:val="000000"/>
          <w:position w:val="0"/>
          <w:sz w:val="20"/>
          <w:u w:val="none"/>
          <w:vertAlign w:val="baseline"/>
        </w:rPr>
        <w:t xml:space="preserve"> court concluded that the discretionary function exception applied. </w:t>
      </w:r>
      <w:r>
        <w:rPr>
          <w:rFonts w:ascii="arial" w:eastAsia="arial" w:hAnsi="arial" w:cs="arial"/>
          <w:b w:val="0"/>
          <w:i/>
          <w:strike w:val="0"/>
          <w:noProof w:val="0"/>
          <w:color w:val="000000"/>
          <w:position w:val="0"/>
          <w:sz w:val="20"/>
          <w:u w:val="none"/>
          <w:vertAlign w:val="baseline"/>
        </w:rPr>
        <w:t>Id.</w:t>
      </w:r>
    </w:p>
    <w:p>
      <w:pPr>
        <w:keepNext w:val="0"/>
        <w:spacing w:before="240" w:after="0" w:line="260" w:lineRule="atLeast"/>
        <w:ind w:left="0" w:right="0" w:firstLine="0"/>
        <w:jc w:val="both"/>
      </w:pPr>
      <w:bookmarkStart w:id="119" w:name="Bookmark_para_22"/>
      <w:bookmarkEnd w:id="119"/>
      <w:r>
        <w:rPr>
          <w:rFonts w:ascii="arial" w:eastAsia="arial" w:hAnsi="arial" w:cs="arial"/>
          <w:b w:val="0"/>
          <w:i w:val="0"/>
          <w:strike w:val="0"/>
          <w:noProof w:val="0"/>
          <w:color w:val="000000"/>
          <w:position w:val="0"/>
          <w:sz w:val="20"/>
          <w:u w:val="none"/>
          <w:vertAlign w:val="baseline"/>
        </w:rPr>
        <w:t xml:space="preserve">The same reasoning applies here. Like crowd control at TSA checkpoints, active lane management at ports of entry involves a trade-off between competing goals that CBP seeks to promote. </w:t>
      </w:r>
      <w:bookmarkStart w:id="120" w:name="Bookmark_I6D6MVHR2SF8G20010000400"/>
      <w:bookmarkEnd w:id="120"/>
      <w:r>
        <w:rPr>
          <w:rFonts w:ascii="arial" w:eastAsia="arial" w:hAnsi="arial" w:cs="arial"/>
          <w:b w:val="0"/>
          <w:i w:val="0"/>
          <w:strike w:val="0"/>
          <w:noProof w:val="0"/>
          <w:color w:val="000000"/>
          <w:position w:val="0"/>
          <w:sz w:val="20"/>
          <w:u w:val="none"/>
          <w:vertAlign w:val="baseline"/>
        </w:rPr>
        <w:t>Increasing the rate at which people pass through the Port of Entry may facilitate "lawful trade and travel," while slowing the rate of entry may assist in "anti-terrorism, [ ] anti-</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trade compliance and agricultural protection" efforts.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Cleaves Decl. ¶ 5. CBP officers use their discretion to strike the proper balance between these competing considerations, and the Court may not second-guess that balancing "through the medium of an action in tort." </w:t>
      </w:r>
      <w:bookmarkStart w:id="121" w:name="Bookmark_I6D6MVHR28T45V0050000400"/>
      <w:bookmarkEnd w:id="121"/>
      <w:hyperlink r:id="rId27" w:history="1">
        <w:r>
          <w:rPr>
            <w:rFonts w:ascii="arial" w:eastAsia="arial" w:hAnsi="arial" w:cs="arial"/>
            <w:b w:val="0"/>
            <w:i/>
            <w:strike w:val="0"/>
            <w:noProof w:val="0"/>
            <w:color w:val="0077CC"/>
            <w:position w:val="0"/>
            <w:sz w:val="20"/>
            <w:u w:val="single"/>
            <w:vertAlign w:val="baseline"/>
          </w:rPr>
          <w:t>Gibson</w:t>
        </w:r>
      </w:hyperlink>
      <w:hyperlink r:id="rId27" w:history="1">
        <w:r>
          <w:rPr>
            <w:rFonts w:ascii="arial" w:eastAsia="arial" w:hAnsi="arial" w:cs="arial"/>
            <w:b w:val="0"/>
            <w:i/>
            <w:strike w:val="0"/>
            <w:noProof w:val="0"/>
            <w:color w:val="0077CC"/>
            <w:position w:val="0"/>
            <w:sz w:val="20"/>
            <w:u w:val="single"/>
            <w:vertAlign w:val="baseline"/>
          </w:rPr>
          <w:t>, 809 F.3d at 813</w:t>
        </w:r>
      </w:hyperlink>
      <w:r>
        <w:rPr>
          <w:rFonts w:ascii="arial" w:eastAsia="arial" w:hAnsi="arial" w:cs="arial"/>
          <w:b w:val="0"/>
          <w:i w:val="0"/>
          <w:strike w:val="0"/>
          <w:noProof w:val="0"/>
          <w:color w:val="000000"/>
          <w:position w:val="0"/>
          <w:sz w:val="20"/>
          <w:u w:val="none"/>
          <w:vertAlign w:val="baseline"/>
        </w:rPr>
        <w:t xml:space="preserve"> (quoting </w:t>
      </w:r>
      <w:bookmarkStart w:id="122" w:name="Bookmark_I6D6MVHR2SF8G20020000400"/>
      <w:bookmarkEnd w:id="122"/>
      <w:hyperlink r:id="rId30" w:history="1">
        <w:r>
          <w:rPr>
            <w:rFonts w:ascii="arial" w:eastAsia="arial" w:hAnsi="arial" w:cs="arial"/>
            <w:b w:val="0"/>
            <w:i/>
            <w:strike w:val="0"/>
            <w:noProof w:val="0"/>
            <w:color w:val="0077CC"/>
            <w:position w:val="0"/>
            <w:sz w:val="20"/>
            <w:u w:val="single"/>
            <w:vertAlign w:val="baseline"/>
          </w:rPr>
          <w:t>Katrina Canal Breaches</w:t>
        </w:r>
      </w:hyperlink>
      <w:hyperlink r:id="rId30" w:history="1">
        <w:r>
          <w:rPr>
            <w:rFonts w:ascii="arial" w:eastAsia="arial" w:hAnsi="arial" w:cs="arial"/>
            <w:b w:val="0"/>
            <w:i/>
            <w:strike w:val="0"/>
            <w:noProof w:val="0"/>
            <w:color w:val="0077CC"/>
            <w:position w:val="0"/>
            <w:sz w:val="20"/>
            <w:u w:val="single"/>
            <w:vertAlign w:val="baseline"/>
          </w:rPr>
          <w:t>, 696 F.3d at 449</w:t>
        </w:r>
      </w:hyperlink>
      <w:r>
        <w:rPr>
          <w:rFonts w:ascii="arial" w:eastAsia="arial" w:hAnsi="arial" w:cs="arial"/>
          <w:b w:val="0"/>
          <w:i w:val="0"/>
          <w:strike w:val="0"/>
          <w:noProof w:val="0"/>
          <w:color w:val="000000"/>
          <w:position w:val="0"/>
          <w:sz w:val="20"/>
          <w:u w:val="none"/>
          <w:vertAlign w:val="baseline"/>
        </w:rPr>
        <w:t>). Therefore, the discretionary function exception applies to the alleged conduct that gives rise to Plaintiff's premises liability claim, and the Court lacks subject matter jurisdiction over the case.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III. CONCLUSION</w:t>
      </w:r>
    </w:p>
    <w:p>
      <w:pPr>
        <w:keepNext w:val="0"/>
        <w:spacing w:before="200" w:after="0" w:line="260" w:lineRule="atLeast"/>
        <w:ind w:left="0" w:right="0" w:firstLine="0"/>
        <w:jc w:val="both"/>
      </w:pPr>
      <w:bookmarkStart w:id="123" w:name="Bookmark_para_23"/>
      <w:bookmarkEnd w:id="123"/>
      <w:r>
        <w:rPr>
          <w:rFonts w:ascii="arial" w:eastAsia="arial" w:hAnsi="arial" w:cs="arial"/>
          <w:b w:val="0"/>
          <w:i w:val="0"/>
          <w:strike w:val="0"/>
          <w:noProof w:val="0"/>
          <w:color w:val="000000"/>
          <w:position w:val="0"/>
          <w:sz w:val="20"/>
          <w:u w:val="none"/>
          <w:vertAlign w:val="baseline"/>
        </w:rPr>
        <w:t xml:space="preserve">For the foregoing reasons, the Government's Motion, ECF No. 81, is </w:t>
      </w:r>
      <w:r>
        <w:rPr>
          <w:rFonts w:ascii="arial" w:eastAsia="arial" w:hAnsi="arial" w:cs="arial"/>
          <w:b/>
          <w:i w:val="0"/>
          <w:strike w:val="0"/>
          <w:noProof w:val="0"/>
          <w:color w:val="000000"/>
          <w:position w:val="0"/>
          <w:sz w:val="20"/>
          <w:u w:val="none"/>
          <w:vertAlign w:val="baseline"/>
        </w:rPr>
        <w:t>GRANTED</w:t>
      </w:r>
      <w:r>
        <w:rPr>
          <w:rFonts w:ascii="arial" w:eastAsia="arial" w:hAnsi="arial" w:cs="arial"/>
          <w:b w:val="0"/>
          <w:i w:val="0"/>
          <w:strike w:val="0"/>
          <w:noProof w:val="0"/>
          <w:color w:val="000000"/>
          <w:position w:val="0"/>
          <w:sz w:val="20"/>
          <w:u w:val="none"/>
          <w:vertAlign w:val="baseline"/>
        </w:rPr>
        <w:t xml:space="preserve">. All claims in Plaintiff's Amended Complaint, ECF No. 38, are </w:t>
      </w:r>
      <w:r>
        <w:rPr>
          <w:rFonts w:ascii="arial" w:eastAsia="arial" w:hAnsi="arial" w:cs="arial"/>
          <w:b/>
          <w:i w:val="0"/>
          <w:strike w:val="0"/>
          <w:noProof w:val="0"/>
          <w:color w:val="000000"/>
          <w:position w:val="0"/>
          <w:sz w:val="20"/>
          <w:u w:val="none"/>
          <w:vertAlign w:val="baseline"/>
        </w:rPr>
        <w:t>DISMISSED</w:t>
      </w:r>
      <w:r>
        <w:rPr>
          <w:rFonts w:ascii="arial" w:eastAsia="arial" w:hAnsi="arial" w:cs="arial"/>
          <w:b/>
          <w:i w:val="0"/>
          <w:strike w:val="0"/>
          <w:noProof w:val="0"/>
          <w:color w:val="000000"/>
          <w:position w:val="0"/>
          <w:sz w:val="20"/>
          <w:u w:val="none"/>
          <w:vertAlign w:val="baseline"/>
        </w:rPr>
        <w:t> [*13] </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24" w:name="Bookmark_para_24"/>
      <w:bookmarkEnd w:id="124"/>
      <w:r>
        <w:rPr>
          <w:rFonts w:ascii="arial" w:eastAsia="arial" w:hAnsi="arial" w:cs="arial"/>
          <w:b w:val="0"/>
          <w:i w:val="0"/>
          <w:strike w:val="0"/>
          <w:noProof w:val="0"/>
          <w:color w:val="000000"/>
          <w:position w:val="0"/>
          <w:sz w:val="20"/>
          <w:u w:val="none"/>
          <w:vertAlign w:val="baseline"/>
        </w:rPr>
        <w:t>The Clerk shall close the case.</w:t>
      </w:r>
    </w:p>
    <w:p>
      <w:pPr>
        <w:keepNext w:val="0"/>
        <w:spacing w:before="200" w:after="0" w:line="260" w:lineRule="atLeast"/>
        <w:ind w:left="0" w:right="0" w:firstLine="0"/>
        <w:jc w:val="both"/>
      </w:pPr>
      <w:bookmarkStart w:id="125" w:name="Bookmark_para_25"/>
      <w:bookmarkEnd w:id="125"/>
      <w:r>
        <w:rPr>
          <w:rFonts w:ascii="arial" w:eastAsia="arial" w:hAnsi="arial" w:cs="arial"/>
          <w:b/>
          <w:i w:val="0"/>
          <w:strike w:val="0"/>
          <w:noProof w:val="0"/>
          <w:color w:val="000000"/>
          <w:position w:val="0"/>
          <w:sz w:val="20"/>
          <w:u w:val="none"/>
          <w:vertAlign w:val="baseline"/>
        </w:rPr>
        <w:t>SO ORDERED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26" w:name="Bookmark_para_26"/>
      <w:bookmarkEnd w:id="126"/>
      <w:r>
        <w:rPr>
          <w:rFonts w:ascii="arial" w:eastAsia="arial" w:hAnsi="arial" w:cs="arial"/>
          <w:b w:val="0"/>
          <w:i w:val="0"/>
          <w:strike w:val="0"/>
          <w:noProof w:val="0"/>
          <w:color w:val="000000"/>
          <w:position w:val="0"/>
          <w:sz w:val="20"/>
          <w:u w:val="none"/>
          <w:vertAlign w:val="baseline"/>
        </w:rPr>
        <w:t>SIGNED this 12th day of April, 2023.</w:t>
      </w:r>
    </w:p>
    <w:p>
      <w:pPr>
        <w:keepNext w:val="0"/>
        <w:spacing w:before="200" w:after="0" w:line="260" w:lineRule="atLeast"/>
        <w:ind w:left="0" w:right="0" w:firstLine="0"/>
        <w:jc w:val="both"/>
      </w:pPr>
      <w:bookmarkStart w:id="127" w:name="Bookmark_para_27"/>
      <w:bookmarkEnd w:id="127"/>
      <w:r>
        <w:rPr>
          <w:rFonts w:ascii="arial" w:eastAsia="arial" w:hAnsi="arial" w:cs="arial"/>
          <w:b w:val="0"/>
          <w:i w:val="0"/>
          <w:strike w:val="0"/>
          <w:noProof w:val="0"/>
          <w:color w:val="000000"/>
          <w:position w:val="0"/>
          <w:sz w:val="20"/>
          <w:u w:val="none"/>
          <w:vertAlign w:val="baseline"/>
        </w:rPr>
        <w:t>/s/ Kathleen Cardone</w:t>
      </w:r>
    </w:p>
    <w:p>
      <w:pPr>
        <w:keepNext w:val="0"/>
        <w:spacing w:before="200" w:after="0" w:line="260" w:lineRule="atLeast"/>
        <w:ind w:left="0" w:right="0" w:firstLine="0"/>
        <w:jc w:val="both"/>
      </w:pPr>
      <w:bookmarkStart w:id="128" w:name="Bookmark_para_28"/>
      <w:bookmarkEnd w:id="128"/>
      <w:r>
        <w:rPr>
          <w:rFonts w:ascii="arial" w:eastAsia="arial" w:hAnsi="arial" w:cs="arial"/>
          <w:b w:val="0"/>
          <w:i w:val="0"/>
          <w:strike w:val="0"/>
          <w:noProof w:val="0"/>
          <w:color w:val="000000"/>
          <w:position w:val="0"/>
          <w:sz w:val="20"/>
          <w:u w:val="none"/>
          <w:vertAlign w:val="baseline"/>
        </w:rPr>
        <w:t>KATHLEEN CARDONE</w:t>
      </w:r>
    </w:p>
    <w:p>
      <w:pPr>
        <w:keepNext w:val="0"/>
        <w:spacing w:before="200" w:after="0" w:line="260" w:lineRule="atLeast"/>
        <w:ind w:left="0" w:right="0" w:firstLine="0"/>
        <w:jc w:val="both"/>
      </w:pPr>
      <w:bookmarkStart w:id="129" w:name="Bookmark_para_29"/>
      <w:bookmarkEnd w:id="129"/>
      <w:r>
        <w:rPr>
          <w:rFonts w:ascii="arial" w:eastAsia="arial" w:hAnsi="arial" w:cs="arial"/>
          <w:b w:val="0"/>
          <w:i w:val="0"/>
          <w:strike w:val="0"/>
          <w:noProof w:val="0"/>
          <w:color w:val="000000"/>
          <w:position w:val="0"/>
          <w:sz w:val="20"/>
          <w:u w:val="none"/>
          <w:vertAlign w:val="baseline"/>
        </w:rPr>
        <w:t>UNITED STATES DISTRICT JUDGE</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14" w:name="Bookmark_fnpara_1"/>
      <w:bookmarkEnd w:id="14"/>
      <w:r>
        <w:rPr>
          <w:rFonts w:ascii="arial" w:eastAsia="arial" w:hAnsi="arial" w:cs="arial"/>
          <w:b w:val="0"/>
          <w:i w:val="0"/>
          <w:strike w:val="0"/>
          <w:noProof w:val="0"/>
          <w:color w:val="000000"/>
          <w:position w:val="0"/>
          <w:sz w:val="18"/>
          <w:u w:val="none"/>
          <w:vertAlign w:val="baseline"/>
        </w:rPr>
        <w:t xml:space="preserve">Pursuant to FTCA exhaustion requirements, Plaintiff filed an administrative claim with U.S. Customs and Border Protection before bringing suit. </w:t>
      </w:r>
      <w:r>
        <w:rPr>
          <w:rFonts w:ascii="arial" w:eastAsia="arial" w:hAnsi="arial" w:cs="arial"/>
          <w:b w:val="0"/>
          <w:i/>
          <w:strike w:val="0"/>
          <w:noProof w:val="0"/>
          <w:color w:val="000000"/>
          <w:position w:val="0"/>
          <w:sz w:val="18"/>
          <w:u w:val="none"/>
          <w:vertAlign w:val="baseline"/>
        </w:rPr>
        <w:t>Id.</w:t>
      </w:r>
      <w:r>
        <w:rPr>
          <w:rFonts w:ascii="arial" w:eastAsia="arial" w:hAnsi="arial" w:cs="arial"/>
          <w:b w:val="0"/>
          <w:i w:val="0"/>
          <w:strike w:val="0"/>
          <w:noProof w:val="0"/>
          <w:color w:val="000000"/>
          <w:position w:val="0"/>
          <w:sz w:val="18"/>
          <w:u w:val="none"/>
          <w:vertAlign w:val="baseline"/>
        </w:rPr>
        <w:t xml:space="preserve"> ¶ 5. Her claim was denied. </w:t>
      </w:r>
      <w:r>
        <w:rPr>
          <w:rFonts w:ascii="arial" w:eastAsia="arial" w:hAnsi="arial" w:cs="arial"/>
          <w:b w:val="0"/>
          <w:i/>
          <w:strike w:val="0"/>
          <w:noProof w:val="0"/>
          <w:color w:val="000000"/>
          <w:position w:val="0"/>
          <w:sz w:val="18"/>
          <w:u w:val="none"/>
          <w:vertAlign w:val="baseline"/>
        </w:rPr>
        <w:t>Id.</w:t>
      </w:r>
      <w:r>
        <w:rPr>
          <w:rFonts w:ascii="arial" w:eastAsia="arial" w:hAnsi="arial" w:cs="arial"/>
          <w:b w:val="0"/>
          <w:i w:val="0"/>
          <w:strike w:val="0"/>
          <w:noProof w:val="0"/>
          <w:color w:val="000000"/>
          <w:position w:val="0"/>
          <w:sz w:val="18"/>
          <w:u w:val="none"/>
          <w:vertAlign w:val="baseline"/>
        </w:rPr>
        <w:t xml:space="preserve"> ¶ 6.</w:t>
      </w:r>
    </w:p>
  </w:footnote>
  <w:footnote w:id="3">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2 </w:t>
      </w:r>
      <w:bookmarkStart w:id="17" w:name="Bookmark_fnpara_2"/>
      <w:bookmarkEnd w:id="17"/>
      <w:r>
        <w:rPr>
          <w:rFonts w:ascii="arial" w:eastAsia="arial" w:hAnsi="arial" w:cs="arial"/>
          <w:b w:val="0"/>
          <w:i w:val="0"/>
          <w:strike w:val="0"/>
          <w:noProof w:val="0"/>
          <w:color w:val="000000"/>
          <w:position w:val="0"/>
          <w:sz w:val="18"/>
          <w:u w:val="none"/>
          <w:vertAlign w:val="baseline"/>
        </w:rPr>
        <w:t xml:space="preserve">When a party fails to timely respond to a motion, the Local Rules allow a court to grant the motion as unopposed. </w:t>
      </w:r>
      <w:bookmarkStart w:id="18" w:name="Bookmark_I6D6MVHK28T4490010000400"/>
      <w:bookmarkEnd w:id="18"/>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Local Rule CV-7(D)(2). But the Fifth Circuit has cautioned against using local rules and filing deadlines to automatically grant dispositive motions. </w:t>
      </w:r>
      <w:r>
        <w:rPr>
          <w:rFonts w:ascii="arial" w:eastAsia="arial" w:hAnsi="arial" w:cs="arial"/>
          <w:b w:val="0"/>
          <w:i/>
          <w:strike w:val="0"/>
          <w:noProof w:val="0"/>
          <w:color w:val="000000"/>
          <w:position w:val="0"/>
          <w:sz w:val="18"/>
          <w:u w:val="none"/>
          <w:vertAlign w:val="baseline"/>
        </w:rPr>
        <w:t xml:space="preserve">See </w:t>
      </w:r>
      <w:bookmarkStart w:id="19" w:name="Bookmark_I6D6MVHK2N1RGS0050000400"/>
      <w:bookmarkEnd w:id="19"/>
      <w:hyperlink r:id="rId1" w:history="1">
        <w:r>
          <w:rPr>
            <w:rFonts w:ascii="arial" w:eastAsia="arial" w:hAnsi="arial" w:cs="arial"/>
            <w:b w:val="0"/>
            <w:i/>
            <w:strike w:val="0"/>
            <w:noProof w:val="0"/>
            <w:color w:val="0077CC"/>
            <w:position w:val="0"/>
            <w:sz w:val="18"/>
            <w:u w:val="single"/>
            <w:vertAlign w:val="baseline"/>
          </w:rPr>
          <w:t>Johnson v. Pettiford</w:t>
        </w:r>
      </w:hyperlink>
      <w:hyperlink r:id="rId1" w:history="1">
        <w:r>
          <w:rPr>
            <w:rFonts w:ascii="arial" w:eastAsia="arial" w:hAnsi="arial" w:cs="arial"/>
            <w:b w:val="0"/>
            <w:i/>
            <w:strike w:val="0"/>
            <w:noProof w:val="0"/>
            <w:color w:val="0077CC"/>
            <w:position w:val="0"/>
            <w:sz w:val="18"/>
            <w:u w:val="single"/>
            <w:vertAlign w:val="baseline"/>
          </w:rPr>
          <w:t>, 442 F.3d 917, 918-19 (5th Cir. 2006)</w:t>
        </w:r>
      </w:hyperlink>
      <w:r>
        <w:rPr>
          <w:rFonts w:ascii="arial" w:eastAsia="arial" w:hAnsi="arial" w:cs="arial"/>
          <w:b w:val="0"/>
          <w:i w:val="0"/>
          <w:strike w:val="0"/>
          <w:noProof w:val="0"/>
          <w:color w:val="000000"/>
          <w:position w:val="0"/>
          <w:sz w:val="18"/>
          <w:u w:val="none"/>
          <w:vertAlign w:val="baseline"/>
        </w:rPr>
        <w:t>. Accordingly, the Court considers the Motion on the merits.</w:t>
      </w:r>
    </w:p>
  </w:footnote>
  <w:footnote w:id="4">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3 </w:t>
      </w:r>
      <w:bookmarkStart w:id="43" w:name="Bookmark_fnpara_3"/>
      <w:bookmarkEnd w:id="43"/>
      <w:r>
        <w:rPr>
          <w:rFonts w:ascii="arial" w:eastAsia="arial" w:hAnsi="arial" w:cs="arial"/>
          <w:b w:val="0"/>
          <w:i w:val="0"/>
          <w:strike w:val="0"/>
          <w:noProof w:val="0"/>
          <w:color w:val="000000"/>
          <w:position w:val="0"/>
          <w:sz w:val="18"/>
          <w:u w:val="none"/>
          <w:vertAlign w:val="baseline"/>
        </w:rPr>
        <w:t xml:space="preserve">The Government also incorporated by reference four exhibits that it filed in support of its prior motion to dismiss and motion for summary judgment. </w:t>
      </w:r>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Mot. 2 n.1.</w:t>
      </w:r>
    </w:p>
  </w:footnote>
  <w:footnote w:id="5">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4 </w:t>
      </w:r>
      <w:bookmarkStart w:id="82" w:name="Bookmark_fnpara_4"/>
      <w:bookmarkEnd w:id="82"/>
      <w:bookmarkStart w:id="83" w:name="Bookmark_I6D6MVHP2HM5SC0040000400"/>
      <w:bookmarkEnd w:id="83"/>
      <w:r>
        <w:rPr>
          <w:rFonts w:ascii="arial" w:eastAsia="arial" w:hAnsi="arial" w:cs="arial"/>
          <w:b w:val="0"/>
          <w:i w:val="0"/>
          <w:strike w:val="0"/>
          <w:noProof w:val="0"/>
          <w:color w:val="000000"/>
          <w:position w:val="0"/>
          <w:sz w:val="18"/>
          <w:u w:val="none"/>
          <w:vertAlign w:val="baseline"/>
        </w:rPr>
        <w:t xml:space="preserve">The closest Plaintiff comes to alleging the existence of such a policy is when she asserts that the Government "failed to maintain and/or follow safety procedures in ensuring that the lobby area would not become overcrowded." Am. Compl. ¶ 23. </w:t>
      </w:r>
      <w:bookmarkStart w:id="84" w:name="Bookmark_I6D6MVHP2D6NTB0030000400"/>
      <w:bookmarkEnd w:id="84"/>
      <w:r>
        <w:rPr>
          <w:rFonts w:ascii="arial" w:eastAsia="arial" w:hAnsi="arial" w:cs="arial"/>
          <w:b w:val="0"/>
          <w:i w:val="0"/>
          <w:strike w:val="0"/>
          <w:noProof w:val="0"/>
          <w:color w:val="000000"/>
          <w:position w:val="0"/>
          <w:sz w:val="18"/>
          <w:u w:val="none"/>
          <w:vertAlign w:val="baseline"/>
        </w:rPr>
        <w:t xml:space="preserve">But this generalized assertion falls well short of alleging that the conduct at issue "violated a </w:t>
      </w:r>
      <w:r>
        <w:rPr>
          <w:rFonts w:ascii="arial" w:eastAsia="arial" w:hAnsi="arial" w:cs="arial"/>
          <w:b w:val="0"/>
          <w:i/>
          <w:strike w:val="0"/>
          <w:noProof w:val="0"/>
          <w:color w:val="000000"/>
          <w:position w:val="0"/>
          <w:sz w:val="18"/>
          <w:u w:val="none"/>
          <w:vertAlign w:val="baseline"/>
        </w:rPr>
        <w:t>specific</w:t>
      </w:r>
      <w:r>
        <w:rPr>
          <w:rFonts w:ascii="arial" w:eastAsia="arial" w:hAnsi="arial" w:cs="arial"/>
          <w:b w:val="0"/>
          <w:i w:val="0"/>
          <w:strike w:val="0"/>
          <w:noProof w:val="0"/>
          <w:color w:val="000000"/>
          <w:position w:val="0"/>
          <w:sz w:val="18"/>
          <w:u w:val="none"/>
          <w:vertAlign w:val="baseline"/>
        </w:rPr>
        <w:t xml:space="preserve"> directive in a federal statute, regulation, or policy." </w:t>
      </w:r>
      <w:r>
        <w:rPr>
          <w:rFonts w:ascii="arial" w:eastAsia="arial" w:hAnsi="arial" w:cs="arial"/>
          <w:b w:val="0"/>
          <w:i/>
          <w:strike w:val="0"/>
          <w:noProof w:val="0"/>
          <w:color w:val="000000"/>
          <w:position w:val="0"/>
          <w:sz w:val="18"/>
          <w:u w:val="none"/>
          <w:vertAlign w:val="baseline"/>
        </w:rPr>
        <w:t xml:space="preserve">See </w:t>
      </w:r>
      <w:bookmarkStart w:id="85" w:name="Bookmark_I6D6MVHP2HM5SC0030000400"/>
      <w:bookmarkEnd w:id="85"/>
      <w:hyperlink r:id="rId2" w:history="1">
        <w:r>
          <w:rPr>
            <w:rFonts w:ascii="arial" w:eastAsia="arial" w:hAnsi="arial" w:cs="arial"/>
            <w:b w:val="0"/>
            <w:i/>
            <w:strike w:val="0"/>
            <w:noProof w:val="0"/>
            <w:color w:val="0077CC"/>
            <w:position w:val="0"/>
            <w:sz w:val="18"/>
            <w:u w:val="single"/>
            <w:vertAlign w:val="baseline"/>
          </w:rPr>
          <w:t>M.D.C.G.</w:t>
        </w:r>
      </w:hyperlink>
      <w:hyperlink r:id="rId2" w:history="1">
        <w:r>
          <w:rPr>
            <w:rFonts w:ascii="arial" w:eastAsia="arial" w:hAnsi="arial" w:cs="arial"/>
            <w:b w:val="0"/>
            <w:i/>
            <w:strike w:val="0"/>
            <w:noProof w:val="0"/>
            <w:color w:val="0077CC"/>
            <w:position w:val="0"/>
            <w:sz w:val="18"/>
            <w:u w:val="single"/>
            <w:vertAlign w:val="baseline"/>
          </w:rPr>
          <w:t>, 956 F.3d at 772</w:t>
        </w:r>
      </w:hyperlink>
      <w:r>
        <w:rPr>
          <w:rFonts w:ascii="arial" w:eastAsia="arial" w:hAnsi="arial" w:cs="arial"/>
          <w:b w:val="0"/>
          <w:i w:val="0"/>
          <w:strike w:val="0"/>
          <w:noProof w:val="0"/>
          <w:color w:val="000000"/>
          <w:position w:val="0"/>
          <w:sz w:val="18"/>
          <w:u w:val="none"/>
          <w:vertAlign w:val="baseline"/>
        </w:rPr>
        <w:t xml:space="preserve"> (emphasis added) (citing </w:t>
      </w:r>
      <w:bookmarkStart w:id="86" w:name="Bookmark_I6D6MVHP2HM5SC0050000400"/>
      <w:bookmarkEnd w:id="86"/>
      <w:r>
        <w:rPr>
          <w:rFonts w:ascii="arial" w:eastAsia="arial" w:hAnsi="arial" w:cs="arial"/>
          <w:b w:val="0"/>
          <w:i/>
          <w:strike w:val="0"/>
          <w:noProof w:val="0"/>
          <w:color w:val="000000"/>
          <w:position w:val="0"/>
          <w:sz w:val="18"/>
          <w:u w:val="none"/>
          <w:vertAlign w:val="baseline"/>
        </w:rPr>
        <w:t>Spotts</w:t>
      </w:r>
      <w:r>
        <w:rPr>
          <w:rFonts w:ascii="arial" w:eastAsia="arial" w:hAnsi="arial" w:cs="arial"/>
          <w:b w:val="0"/>
          <w:i w:val="0"/>
          <w:strike w:val="0"/>
          <w:noProof w:val="0"/>
          <w:color w:val="000000"/>
          <w:position w:val="0"/>
          <w:sz w:val="18"/>
          <w:u w:val="none"/>
          <w:vertAlign w:val="baseline"/>
        </w:rPr>
        <w:t xml:space="preserve">, 613 F.3d at 567). More importantly, even assuming this allegation were sufficiently specific, it is unsubstantiated, and cannot overcome the Government's sworn testimony to the contrary. </w:t>
      </w:r>
      <w:bookmarkStart w:id="87" w:name="Bookmark_I6D6MVHP2D6NTB0030000400_2"/>
      <w:bookmarkEnd w:id="87"/>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Cleaves Decl. ¶ 8; </w:t>
      </w:r>
      <w:bookmarkStart w:id="88" w:name="Bookmark_I6D6MVHP2D6NTB0020000400"/>
      <w:bookmarkEnd w:id="88"/>
      <w:hyperlink r:id="rId3" w:history="1">
        <w:r>
          <w:rPr>
            <w:rFonts w:ascii="arial" w:eastAsia="arial" w:hAnsi="arial" w:cs="arial"/>
            <w:b w:val="0"/>
            <w:i/>
            <w:strike w:val="0"/>
            <w:noProof w:val="0"/>
            <w:color w:val="0077CC"/>
            <w:position w:val="0"/>
            <w:sz w:val="18"/>
            <w:u w:val="single"/>
            <w:vertAlign w:val="baseline"/>
          </w:rPr>
          <w:t>Superior MRI Servs.</w:t>
        </w:r>
      </w:hyperlink>
      <w:hyperlink r:id="rId3" w:history="1">
        <w:r>
          <w:rPr>
            <w:rFonts w:ascii="arial" w:eastAsia="arial" w:hAnsi="arial" w:cs="arial"/>
            <w:b w:val="0"/>
            <w:i/>
            <w:strike w:val="0"/>
            <w:noProof w:val="0"/>
            <w:color w:val="0077CC"/>
            <w:position w:val="0"/>
            <w:sz w:val="18"/>
            <w:u w:val="single"/>
            <w:vertAlign w:val="baseline"/>
          </w:rPr>
          <w:t>, 778 F.3d at 504</w:t>
        </w:r>
      </w:hyperlink>
      <w:r>
        <w:rPr>
          <w:rFonts w:ascii="arial" w:eastAsia="arial" w:hAnsi="arial" w:cs="arial"/>
          <w:b w:val="0"/>
          <w:i w:val="0"/>
          <w:strike w:val="0"/>
          <w:noProof w:val="0"/>
          <w:color w:val="000000"/>
          <w:position w:val="0"/>
          <w:sz w:val="18"/>
          <w:u w:val="none"/>
          <w:vertAlign w:val="baseline"/>
        </w:rPr>
        <w:t>.</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Carbajal v. United States, 2023 U.S. Dist. LEXIS 241557</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cases&amp;id=urn:contentItem:644N-93X1-JXNB-6212-00000-00&amp;context=1519360" TargetMode="External" /><Relationship Id="rId11" Type="http://schemas.openxmlformats.org/officeDocument/2006/relationships/hyperlink" Target="https://advance.lexis.com/api/document?collection=cases&amp;id=urn:contentItem:5YR1-1JN1-JX8W-M1BY-00000-00&amp;context=1519360" TargetMode="External" /><Relationship Id="rId12" Type="http://schemas.openxmlformats.org/officeDocument/2006/relationships/hyperlink" Target="https://advance.lexis.com/api/document?collection=cases&amp;id=urn:contentItem:5WXB-TRP1-JBT7-X268-00000-00&amp;context=1519360" TargetMode="External" /><Relationship Id="rId13" Type="http://schemas.openxmlformats.org/officeDocument/2006/relationships/hyperlink" Target="https://advance.lexis.com/api/document?collection=statutes-legislation&amp;id=urn:contentItem:8SG9-5HW2-D6RV-H109-00000-00&amp;context=1519360" TargetMode="External" /><Relationship Id="rId14" Type="http://schemas.openxmlformats.org/officeDocument/2006/relationships/hyperlink" Target="https://advance.lexis.com/api/document?collection=cases&amp;id=urn:contentItem:4GG1-N9X0-004B-Y027-00000-00&amp;context=1519360" TargetMode="External" /><Relationship Id="rId15" Type="http://schemas.openxmlformats.org/officeDocument/2006/relationships/hyperlink" Target="https://advance.lexis.com/api/document?collection=cases&amp;id=urn:contentItem:4BWM-84N0-0038-X13K-00000-00&amp;context=1519360" TargetMode="External" /><Relationship Id="rId16" Type="http://schemas.openxmlformats.org/officeDocument/2006/relationships/hyperlink" Target="https://advance.lexis.com/api/document?collection=cases&amp;id=urn:contentItem:3S4X-3YD0-003B-P4KD-00000-00&amp;context=1519360" TargetMode="External" /><Relationship Id="rId17" Type="http://schemas.openxmlformats.org/officeDocument/2006/relationships/hyperlink" Target="https://advance.lexis.com/api/document?collection=cases&amp;id=urn:contentItem:5FB6-7TB1-F04K-N03Y-00000-00&amp;context=1519360" TargetMode="External" /><Relationship Id="rId18" Type="http://schemas.openxmlformats.org/officeDocument/2006/relationships/hyperlink" Target="https://advance.lexis.com/api/document?collection=cases&amp;id=urn:contentItem:3S4X-2CR0-0039-W3B8-00000-00&amp;context=1519360" TargetMode="External" /><Relationship Id="rId19" Type="http://schemas.openxmlformats.org/officeDocument/2006/relationships/hyperlink" Target="https://advance.lexis.com/api/document?collection=cases&amp;id=urn:contentItem:3S4X-BH90-003B-527K-00000-00&amp;context=1519360" TargetMode="External" /><Relationship Id="rId2" Type="http://schemas.openxmlformats.org/officeDocument/2006/relationships/settings" Target="settings.xml" /><Relationship Id="rId20" Type="http://schemas.openxmlformats.org/officeDocument/2006/relationships/hyperlink" Target="https://advance.lexis.com/api/document?collection=cases&amp;id=urn:contentItem:3RJ6-F950-003B-4001-00000-00&amp;context=1519360" TargetMode="External" /><Relationship Id="rId21" Type="http://schemas.openxmlformats.org/officeDocument/2006/relationships/hyperlink" Target="https://advance.lexis.com/api/document?collection=cases&amp;id=urn:contentItem:3S41-BSK0-003B-R3N1-00000-00&amp;context=1519360" TargetMode="External" /><Relationship Id="rId22" Type="http://schemas.openxmlformats.org/officeDocument/2006/relationships/hyperlink" Target="https://advance.lexis.com/api/document?collection=cases&amp;id=urn:contentItem:3S4X-03F0-0039-X49X-00000-00&amp;context=1519360" TargetMode="External" /><Relationship Id="rId23" Type="http://schemas.openxmlformats.org/officeDocument/2006/relationships/hyperlink" Target="https://advance.lexis.com/api/document?collection=statutes-legislation&amp;id=urn:contentItem:8SG9-5HW2-D6RV-H10D-00000-00&amp;context=1519360" TargetMode="External" /><Relationship Id="rId24" Type="http://schemas.openxmlformats.org/officeDocument/2006/relationships/hyperlink" Target="https://advance.lexis.com/api/document?collection=cases&amp;id=urn:contentItem:3S4X-9WN0-003B-S2J2-00000-00&amp;context=1519360" TargetMode="External" /><Relationship Id="rId25" Type="http://schemas.openxmlformats.org/officeDocument/2006/relationships/hyperlink" Target="https://advance.lexis.com/api/document?collection=cases&amp;id=urn:contentItem:3S4X-8660-008H-V45D-00000-00&amp;context=1519360" TargetMode="External" /><Relationship Id="rId26" Type="http://schemas.openxmlformats.org/officeDocument/2006/relationships/hyperlink" Target="https://advance.lexis.com/api/document?collection=statutes-legislation&amp;id=urn:contentItem:8SG9-5HW2-D6RV-H10M-00000-00&amp;context=1519360" TargetMode="External" /><Relationship Id="rId27" Type="http://schemas.openxmlformats.org/officeDocument/2006/relationships/hyperlink" Target="https://advance.lexis.com/api/document?collection=cases&amp;id=urn:contentItem:5HSH-T4H1-F04K-N11R-00000-00&amp;context=1519360" TargetMode="External" /><Relationship Id="rId28" Type="http://schemas.openxmlformats.org/officeDocument/2006/relationships/hyperlink" Target="https://advance.lexis.com/api/document?collection=cases&amp;id=urn:contentItem:3S65-KV20-003B-R2J3-00000-00&amp;context=1519360" TargetMode="External" /><Relationship Id="rId29" Type="http://schemas.openxmlformats.org/officeDocument/2006/relationships/hyperlink" Target="https://advance.lexis.com/api/document?collection=cases&amp;id=urn:contentItem:5S5W-3C11-JWJ0-G4RF-00000-00&amp;context=1519360" TargetMode="External" /><Relationship Id="rId3" Type="http://schemas.openxmlformats.org/officeDocument/2006/relationships/webSettings" Target="webSettings.xml" /><Relationship Id="rId30" Type="http://schemas.openxmlformats.org/officeDocument/2006/relationships/hyperlink" Target="https://advance.lexis.com/api/document?collection=cases&amp;id=urn:contentItem:56NB-PMS1-F04K-N2C7-00000-00&amp;context=1519360" TargetMode="External" /><Relationship Id="rId31" Type="http://schemas.openxmlformats.org/officeDocument/2006/relationships/hyperlink" Target="https://advance.lexis.com/api/document?collection=cases&amp;id=urn:contentItem:3S4X-F1N0-003B-43DY-00000-00&amp;context=1519360" TargetMode="External" /><Relationship Id="rId32" Type="http://schemas.openxmlformats.org/officeDocument/2006/relationships/hyperlink" Target="https://advance.lexis.com/api/document?collection=cases&amp;id=urn:contentItem:5B1W-94D1-F04C-W0PK-00000-00&amp;context=1519360" TargetMode="External" /><Relationship Id="rId33" Type="http://schemas.openxmlformats.org/officeDocument/2006/relationships/hyperlink" Target="https://advance.lexis.com/api/document?collection=cases&amp;id=urn:contentItem:5107-YTR1-652H-V005-00000-00&amp;context=1519360" TargetMode="External" /><Relationship Id="rId34" Type="http://schemas.openxmlformats.org/officeDocument/2006/relationships/theme" Target="theme/theme1.xml" /><Relationship Id="rId35" Type="http://schemas.openxmlformats.org/officeDocument/2006/relationships/styles" Target="styles.xml" /><Relationship Id="rId4" Type="http://schemas.openxmlformats.org/officeDocument/2006/relationships/fontTable" Target="fontTable.xml"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image" Target="media/image1.png" /><Relationship Id="rId9" Type="http://schemas.openxmlformats.org/officeDocument/2006/relationships/hyperlink" Target="https://advance.lexis.com/api/document?collection=cases&amp;id=urn:contentItem:6CW8-WYF3-RSDG-1002-00000-00&amp;context=1519360" TargetMode="External" /></Relationships>
</file>

<file path=word/_rels/footnotes.xml.rels><?xml version="1.0" encoding="utf-8" standalone="yes"?><Relationships xmlns="http://schemas.openxmlformats.org/package/2006/relationships"><Relationship Id="rId1" Type="http://schemas.openxmlformats.org/officeDocument/2006/relationships/hyperlink" Target="https://advance.lexis.com/api/document?collection=cases&amp;id=urn:contentItem:4JGK-S770-0038-X193-00000-00&amp;context=1519360" TargetMode="External" /><Relationship Id="rId2" Type="http://schemas.openxmlformats.org/officeDocument/2006/relationships/hyperlink" Target="https://advance.lexis.com/api/document?collection=cases&amp;id=urn:contentItem:5YR1-1JN1-JX8W-M1BY-00000-00&amp;context=1519360" TargetMode="External" /><Relationship Id="rId3" Type="http://schemas.openxmlformats.org/officeDocument/2006/relationships/hyperlink" Target="https://advance.lexis.com/api/document?collection=cases&amp;id=urn:contentItem:5FB6-7TB1-F04K-N03Y-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Carbajal v. United States, 2023 U.S. Dist. LEXIS 241557</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100</vt:lpwstr>
  </property>
  <property fmtid="{D5CDD505-2E9C-101B-9397-08002B2CF9AE}" pid="3" name="LADocCount">
    <vt:lpwstr>1</vt:lpwstr>
  </property>
  <property fmtid="{D5CDD505-2E9C-101B-9397-08002B2CF9AE}" pid="4" name="LADocumentID:100">
    <vt:lpwstr>Doc::urn:hlct:5|contextualFeaturePermID::1519360</vt:lpwstr>
  </property>
  <property fmtid="{D5CDD505-2E9C-101B-9397-08002B2CF9AE}" pid="5" name="UserPermID">
    <vt:lpwstr>urn:user:PA186186283</vt:lpwstr>
  </property>
</Properties>
</file>