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Patel v. Warden, Fed. Corr. Facility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Virginia, Richmond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2023, Decided; August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3:23-cv-366 (DJN)</w:t>
      </w:r>
    </w:p>
    <w:p>
      <w:pPr>
        <w:keepNext w:val="0"/>
        <w:spacing w:after="0" w:line="240" w:lineRule="atLeast"/>
        <w:ind w:right="0"/>
        <w:jc w:val="both"/>
      </w:pPr>
      <w:bookmarkStart w:id="0" w:name="Bookmark_5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143073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5243383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FIROZ PATEL, Petitioner, v. WARDEN, FEDERAL CORRECTIONAL FACILITY DANBURY, CT., et al., Respondents.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10" w:history="1">
        <w:r>
          <w:rPr>
            <w:rFonts w:ascii="arial" w:eastAsia="arial" w:hAnsi="arial" w:cs="arial"/>
            <w:b w:val="0"/>
            <w:i/>
            <w:strike w:val="0"/>
            <w:noProof w:val="0"/>
            <w:color w:val="0077CC"/>
            <w:position w:val="0"/>
            <w:sz w:val="20"/>
            <w:u w:val="single"/>
            <w:vertAlign w:val="baseline"/>
          </w:rPr>
          <w:t>Patel v. Warden, 2023 U.S. Dist. LEXIS 186703 (E.D. Va., Oct. 17,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ineffective, collateral attack</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Firoz Patel, Petitioner, Pro se, Newark,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FEDERAL CORRECTIONAL FACILITY DANBURY CT;, Respondent: Elena Lalli Coronado, LEAD ATTORNEY, USAO, Bridgeport, CT.</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David J. Novak,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J. Novak</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Firoz Patel, a federal inmate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submitted a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Petition.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ECF No.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This matter was initially filed in the United States District Court for the District of Connecticut, was transferred to the District of Rhode Island, (ECF No. 25) and was subsequently transferred here. (ECF No. 28.) Prior to the transfers, the Government filed an Opposition. (ECF No. 14.) For the reasons set forth below, the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will be DISMISSED WITHOUT PREJUDICE for want of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HISTORY</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"In July 2020, Patel pleaded guilty in the D.C. District Court [("Sentencing Court")] to conspiracy to launder monetary instruments and conspiracy to commit crimes against the United States, arising out of a multi-year scheme in which he laundered over $250 million." (ECF No. 14, at 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Sentencing Court sentenced him to concurrent sentences of 36 months of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Patel did not appeal. </w:t>
      </w:r>
      <w:r>
        <w:rPr>
          <w:rFonts w:ascii="arial" w:eastAsia="arial" w:hAnsi="arial" w:cs="arial"/>
          <w:b w:val="0"/>
          <w:i/>
          <w:strike w:val="0"/>
          <w:noProof w:val="0"/>
          <w:color w:val="000000"/>
          <w:position w:val="0"/>
          <w:sz w:val="20"/>
          <w:u w:val="none"/>
          <w:vertAlign w:val="baseline"/>
        </w:rPr>
        <w:t>United States v. Patel</w:t>
      </w:r>
      <w:r>
        <w:rPr>
          <w:rFonts w:ascii="arial" w:eastAsia="arial" w:hAnsi="arial" w:cs="arial"/>
          <w:b w:val="0"/>
          <w:i w:val="0"/>
          <w:strike w:val="0"/>
          <w:noProof w:val="0"/>
          <w:color w:val="000000"/>
          <w:position w:val="0"/>
          <w:sz w:val="20"/>
          <w:u w:val="none"/>
          <w:vertAlign w:val="baseline"/>
        </w:rPr>
        <w:t xml:space="preserve">, No. 1:20CR00113—RDM—1 (D.D.C. 2020); </w:t>
      </w:r>
      <w:r>
        <w:rPr>
          <w:rFonts w:ascii="arial" w:eastAsia="arial" w:hAnsi="arial" w:cs="arial"/>
          <w:b w:val="0"/>
          <w:i/>
          <w:strike w:val="0"/>
          <w:noProof w:val="0"/>
          <w:color w:val="000000"/>
          <w:position w:val="0"/>
          <w:sz w:val="20"/>
          <w:u w:val="none"/>
          <w:vertAlign w:val="baseline"/>
        </w:rPr>
        <w:t>United States v. Patel</w:t>
      </w:r>
      <w:r>
        <w:rPr>
          <w:rFonts w:ascii="arial" w:eastAsia="arial" w:hAnsi="arial" w:cs="arial"/>
          <w:b w:val="0"/>
          <w:i w:val="0"/>
          <w:strike w:val="0"/>
          <w:noProof w:val="0"/>
          <w:color w:val="000000"/>
          <w:position w:val="0"/>
          <w:sz w:val="20"/>
          <w:u w:val="none"/>
          <w:vertAlign w:val="baseline"/>
        </w:rPr>
        <w:t xml:space="preserve">, No. 1:18CR00053—RDM-1 (D.D.C. Apr. 14, 2023). On April 14, 2023, Patel filed a motion to vacate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in the Sentencing Court. </w:t>
      </w:r>
      <w:r>
        <w:rPr>
          <w:rFonts w:ascii="arial" w:eastAsia="arial" w:hAnsi="arial" w:cs="arial"/>
          <w:b w:val="0"/>
          <w:i/>
          <w:strike w:val="0"/>
          <w:noProof w:val="0"/>
          <w:color w:val="000000"/>
          <w:position w:val="0"/>
          <w:sz w:val="20"/>
          <w:u w:val="none"/>
          <w:vertAlign w:val="baseline"/>
        </w:rPr>
        <w:t>Patel</w:t>
      </w:r>
      <w:r>
        <w:rPr>
          <w:rFonts w:ascii="arial" w:eastAsia="arial" w:hAnsi="arial" w:cs="arial"/>
          <w:b w:val="0"/>
          <w:i w:val="0"/>
          <w:strike w:val="0"/>
          <w:noProof w:val="0"/>
          <w:color w:val="000000"/>
          <w:position w:val="0"/>
          <w:sz w:val="20"/>
          <w:u w:val="none"/>
          <w:vertAlign w:val="baseline"/>
        </w:rPr>
        <w:t xml:space="preserve">, No. 1:18CR00053—RDM-1 (D.D.C. Apr. 14, 2023), ECF No. 161. It appears that the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remains pending.</w:t>
      </w:r>
    </w:p>
    <w:p>
      <w:pPr>
        <w:keepNext w:val="0"/>
        <w:spacing w:before="24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In his present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Patel contends that:</w:t>
      </w:r>
    </w:p>
    <w:p>
      <w:pPr>
        <w:keepNext w:val="0"/>
        <w:spacing w:after="0" w:line="260" w:lineRule="atLeast"/>
        <w:ind w:left="40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Claim One: "The Government has breached and broken the plea agreement." (ECF No. 1, at 6.)</w:t>
      </w:r>
    </w:p>
    <w:p>
      <w:pPr>
        <w:keepNext w:val="0"/>
        <w:spacing w:before="200" w:after="0" w:line="260" w:lineRule="atLeast"/>
        <w:ind w:left="40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Claim Two: "Petitioner is factually innocent as to the charges to which a guilty plea was entered which occurred only through the ineffective assistance of defense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Claim Three: "Petitioner is factually innocent as to the charges to which a guilty plea was entered and which occurred only through the ineffective assistance of defense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Petitioner's plea was not knowing and voluntary.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discussed below, this Court lacks jurisdiction to entertain these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Law Governing </w:t>
      </w:r>
      <w:hyperlink r:id="rId11" w:history="1">
        <w:r>
          <w:rPr>
            <w:rFonts w:ascii="arial" w:eastAsia="arial" w:hAnsi="arial" w:cs="arial"/>
            <w:b/>
            <w:i/>
            <w:strike w:val="0"/>
            <w:noProof w:val="0"/>
            <w:color w:val="0077CC"/>
            <w:position w:val="0"/>
            <w:sz w:val="20"/>
            <w:u w:val="single"/>
            <w:vertAlign w:val="baseline"/>
          </w:rPr>
          <w:t>§ 2241</w:t>
        </w:r>
      </w:hyperlink>
      <w:r>
        <w:rPr>
          <w:rFonts w:ascii="arial" w:eastAsia="arial" w:hAnsi="arial" w:cs="arial"/>
          <w:b/>
          <w:i w:val="0"/>
          <w:strike w:val="0"/>
          <w:noProof w:val="0"/>
          <w:color w:val="000000"/>
          <w:position w:val="0"/>
          <w:sz w:val="20"/>
          <w:u w:val="none"/>
          <w:vertAlign w:val="baseline"/>
        </w:rPr>
        <w:t xml:space="preserve"> Petitions</w:t>
      </w:r>
    </w:p>
    <w:p>
      <w:pPr>
        <w:keepNext w:val="0"/>
        <w:spacing w:before="240" w:after="0" w:line="260" w:lineRule="atLeast"/>
        <w:ind w:left="0" w:right="0" w:firstLine="0"/>
        <w:jc w:val="both"/>
      </w:pPr>
      <w:bookmarkStart w:id="23" w:name="Bookmark_para_13"/>
      <w:bookmarkEnd w:id="23"/>
      <w:bookmarkStart w:id="24" w:name="Bookmark_I690188W28T4PN0020000400"/>
      <w:bookmarkEnd w:id="24"/>
      <w:bookmarkStart w:id="25" w:name="Bookmark_I690188W28T4PP0010000400"/>
      <w:bookmarkEnd w:id="25"/>
      <w:bookmarkStart w:id="26" w:name="Bookmark_I690188X2SF8JR0040000400"/>
      <w:bookmarkEnd w:id="26"/>
      <w:r>
        <w:rPr>
          <w:rFonts w:ascii="arial" w:eastAsia="arial" w:hAnsi="arial" w:cs="arial"/>
          <w:b w:val="0"/>
          <w:i w:val="0"/>
          <w:strike w:val="0"/>
          <w:noProof w:val="0"/>
          <w:color w:val="000000"/>
          <w:position w:val="0"/>
          <w:sz w:val="20"/>
          <w:u w:val="none"/>
          <w:vertAlign w:val="baseline"/>
        </w:rPr>
        <w:t xml:space="preserve">A motion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"provides the primary means of collateral attack" on the imposition of a federal conviction and sentence, and such motion must be filed with the sentencing court. </w:t>
      </w:r>
      <w:bookmarkStart w:id="27" w:name="Bookmark_I690188X2SF8JR0020000400"/>
      <w:bookmarkEnd w:id="27"/>
      <w:bookmarkStart w:id="28" w:name="Bookmark_I690188W28T4PN0010000400"/>
      <w:bookmarkEnd w:id="28"/>
      <w:hyperlink r:id="rId13" w:history="1">
        <w:r>
          <w:rPr>
            <w:rFonts w:ascii="arial" w:eastAsia="arial" w:hAnsi="arial" w:cs="arial"/>
            <w:b w:val="0"/>
            <w:i/>
            <w:strike w:val="0"/>
            <w:noProof w:val="0"/>
            <w:color w:val="0077CC"/>
            <w:position w:val="0"/>
            <w:sz w:val="20"/>
            <w:u w:val="single"/>
            <w:vertAlign w:val="baseline"/>
          </w:rPr>
          <w:t>Pack v. Yusuff</w:t>
        </w:r>
      </w:hyperlink>
      <w:hyperlink r:id="rId13" w:history="1">
        <w:r>
          <w:rPr>
            <w:rFonts w:ascii="arial" w:eastAsia="arial" w:hAnsi="arial" w:cs="arial"/>
            <w:b w:val="0"/>
            <w:i/>
            <w:strike w:val="0"/>
            <w:noProof w:val="0"/>
            <w:color w:val="0077CC"/>
            <w:position w:val="0"/>
            <w:sz w:val="20"/>
            <w:u w:val="single"/>
            <w:vertAlign w:val="baseline"/>
          </w:rPr>
          <w:t>, 218 F.3d 448, 451 (5th Cir. 2000)</w:t>
        </w:r>
      </w:hyperlink>
      <w:r>
        <w:rPr>
          <w:rFonts w:ascii="arial" w:eastAsia="arial" w:hAnsi="arial" w:cs="arial"/>
          <w:b w:val="0"/>
          <w:i w:val="0"/>
          <w:strike w:val="0"/>
          <w:noProof w:val="0"/>
          <w:color w:val="000000"/>
          <w:position w:val="0"/>
          <w:sz w:val="20"/>
          <w:u w:val="none"/>
          <w:vertAlign w:val="baseline"/>
        </w:rPr>
        <w:t xml:space="preserve"> (quoting </w:t>
      </w:r>
      <w:bookmarkStart w:id="29" w:name="Bookmark_I690188W28T4PN0030000400"/>
      <w:bookmarkEnd w:id="29"/>
      <w:hyperlink r:id="rId14" w:history="1">
        <w:r>
          <w:rPr>
            <w:rFonts w:ascii="arial" w:eastAsia="arial" w:hAnsi="arial" w:cs="arial"/>
            <w:b w:val="0"/>
            <w:i/>
            <w:strike w:val="0"/>
            <w:noProof w:val="0"/>
            <w:color w:val="0077CC"/>
            <w:position w:val="0"/>
            <w:sz w:val="20"/>
            <w:u w:val="single"/>
            <w:vertAlign w:val="baseline"/>
          </w:rPr>
          <w:t>Cox v. Warden, Fed Det. Ctr.</w:t>
        </w:r>
      </w:hyperlink>
      <w:hyperlink r:id="rId14" w:history="1">
        <w:r>
          <w:rPr>
            <w:rFonts w:ascii="arial" w:eastAsia="arial" w:hAnsi="arial" w:cs="arial"/>
            <w:b w:val="0"/>
            <w:i/>
            <w:strike w:val="0"/>
            <w:noProof w:val="0"/>
            <w:color w:val="0077CC"/>
            <w:position w:val="0"/>
            <w:sz w:val="20"/>
            <w:u w:val="single"/>
            <w:vertAlign w:val="baseline"/>
          </w:rPr>
          <w:t>, 911 F.2d 1111, 1113 (5th Cir. 1990)</w:t>
        </w:r>
      </w:hyperlink>
      <w:r>
        <w:rPr>
          <w:rFonts w:ascii="arial" w:eastAsia="arial" w:hAnsi="arial" w:cs="arial"/>
          <w:b w:val="0"/>
          <w:i w:val="0"/>
          <w:strike w:val="0"/>
          <w:noProof w:val="0"/>
          <w:color w:val="000000"/>
          <w:position w:val="0"/>
          <w:sz w:val="20"/>
          <w:u w:val="none"/>
          <w:vertAlign w:val="baseline"/>
        </w:rPr>
        <w:t xml:space="preserve">). A federal inmate may not proceed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unless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 or she demonstrates that the remedy afforded by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inadequate or ineffective to test the legality of his detention." </w:t>
      </w:r>
      <w:hyperlink r:id="rId12" w:history="1">
        <w:r>
          <w:rPr>
            <w:rFonts w:ascii="arial" w:eastAsia="arial" w:hAnsi="arial" w:cs="arial"/>
            <w:b w:val="0"/>
            <w:i/>
            <w:strike w:val="0"/>
            <w:noProof w:val="0"/>
            <w:color w:val="0077CC"/>
            <w:position w:val="0"/>
            <w:sz w:val="20"/>
            <w:u w:val="single"/>
            <w:vertAlign w:val="baseline"/>
          </w:rPr>
          <w:t>28 U.S.C. § 2255(e)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"For example, attacks on the execution of a sentence are properly raised in a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w:t>
      </w:r>
      <w:bookmarkStart w:id="33" w:name="Bookmark_I690188W28T4PN0050000400"/>
      <w:bookmarkEnd w:id="33"/>
      <w:hyperlink r:id="rId15" w:history="1">
        <w:r>
          <w:rPr>
            <w:rFonts w:ascii="arial" w:eastAsia="arial" w:hAnsi="arial" w:cs="arial"/>
            <w:b w:val="0"/>
            <w:i/>
            <w:strike w:val="0"/>
            <w:noProof w:val="0"/>
            <w:color w:val="0077CC"/>
            <w:position w:val="0"/>
            <w:sz w:val="20"/>
            <w:u w:val="single"/>
            <w:vertAlign w:val="baseline"/>
          </w:rPr>
          <w:t>In re Vial</w:t>
        </w:r>
      </w:hyperlink>
      <w:hyperlink r:id="rId15" w:history="1">
        <w:r>
          <w:rPr>
            <w:rFonts w:ascii="arial" w:eastAsia="arial" w:hAnsi="arial" w:cs="arial"/>
            <w:b w:val="0"/>
            <w:i/>
            <w:strike w:val="0"/>
            <w:noProof w:val="0"/>
            <w:color w:val="0077CC"/>
            <w:position w:val="0"/>
            <w:sz w:val="20"/>
            <w:u w:val="single"/>
            <w:vertAlign w:val="baseline"/>
          </w:rPr>
          <w:t>, 115 F.3d 1192, 1194 n.5 (4th Cir. 1997)</w:t>
        </w:r>
      </w:hyperlink>
      <w:r>
        <w:rPr>
          <w:rFonts w:ascii="arial" w:eastAsia="arial" w:hAnsi="arial" w:cs="arial"/>
          <w:b w:val="0"/>
          <w:i w:val="0"/>
          <w:strike w:val="0"/>
          <w:noProof w:val="0"/>
          <w:color w:val="000000"/>
          <w:position w:val="0"/>
          <w:sz w:val="20"/>
          <w:u w:val="none"/>
          <w:vertAlign w:val="baseline"/>
        </w:rPr>
        <w:t xml:space="preserve"> (citing </w:t>
      </w:r>
      <w:bookmarkStart w:id="34" w:name="Bookmark_I690188W28T4PP0020000400"/>
      <w:bookmarkEnd w:id="34"/>
      <w:hyperlink r:id="rId16" w:history="1">
        <w:r>
          <w:rPr>
            <w:rFonts w:ascii="arial" w:eastAsia="arial" w:hAnsi="arial" w:cs="arial"/>
            <w:b w:val="0"/>
            <w:i/>
            <w:strike w:val="0"/>
            <w:noProof w:val="0"/>
            <w:color w:val="0077CC"/>
            <w:position w:val="0"/>
            <w:sz w:val="20"/>
            <w:u w:val="single"/>
            <w:vertAlign w:val="baseline"/>
          </w:rPr>
          <w:t>Bradshaw v. Story</w:t>
        </w:r>
      </w:hyperlink>
      <w:hyperlink r:id="rId16" w:history="1">
        <w:r>
          <w:rPr>
            <w:rFonts w:ascii="arial" w:eastAsia="arial" w:hAnsi="arial" w:cs="arial"/>
            <w:b w:val="0"/>
            <w:i/>
            <w:strike w:val="0"/>
            <w:noProof w:val="0"/>
            <w:color w:val="0077CC"/>
            <w:position w:val="0"/>
            <w:sz w:val="20"/>
            <w:u w:val="single"/>
            <w:vertAlign w:val="baseline"/>
          </w:rPr>
          <w:t>, 86 F.3d 164, 166 (10th Cir. 1996)</w:t>
        </w:r>
      </w:hyperlink>
      <w:r>
        <w:rPr>
          <w:rFonts w:ascii="arial" w:eastAsia="arial" w:hAnsi="arial" w:cs="arial"/>
          <w:b w:val="0"/>
          <w:i w:val="0"/>
          <w:strike w:val="0"/>
          <w:noProof w:val="0"/>
          <w:color w:val="000000"/>
          <w:position w:val="0"/>
          <w:sz w:val="20"/>
          <w:u w:val="none"/>
          <w:vertAlign w:val="baseline"/>
        </w:rPr>
        <w:t xml:space="preserve">; </w:t>
      </w:r>
      <w:bookmarkStart w:id="35" w:name="Bookmark_I690188W28T4PP0040000400"/>
      <w:bookmarkEnd w:id="35"/>
      <w:hyperlink r:id="rId17" w:history="1">
        <w:r>
          <w:rPr>
            <w:rFonts w:ascii="arial" w:eastAsia="arial" w:hAnsi="arial" w:cs="arial"/>
            <w:b w:val="0"/>
            <w:i/>
            <w:strike w:val="0"/>
            <w:noProof w:val="0"/>
            <w:color w:val="0077CC"/>
            <w:position w:val="0"/>
            <w:sz w:val="20"/>
            <w:u w:val="single"/>
            <w:vertAlign w:val="baseline"/>
          </w:rPr>
          <w:t>Hanahan v. Luther</w:t>
        </w:r>
      </w:hyperlink>
      <w:hyperlink r:id="rId17" w:history="1">
        <w:r>
          <w:rPr>
            <w:rFonts w:ascii="arial" w:eastAsia="arial" w:hAnsi="arial" w:cs="arial"/>
            <w:b w:val="0"/>
            <w:i/>
            <w:strike w:val="0"/>
            <w:noProof w:val="0"/>
            <w:color w:val="0077CC"/>
            <w:position w:val="0"/>
            <w:sz w:val="20"/>
            <w:u w:val="single"/>
            <w:vertAlign w:val="baseline"/>
          </w:rPr>
          <w:t>, 693 F.2d 629, 632 n.1 (7th Cir. 1982)</w:t>
        </w:r>
      </w:hyperlink>
      <w:r>
        <w:rPr>
          <w:rFonts w:ascii="arial" w:eastAsia="arial" w:hAnsi="arial" w:cs="arial"/>
          <w:b w:val="0"/>
          <w:i w:val="0"/>
          <w:strike w:val="0"/>
          <w:noProof w:val="0"/>
          <w:color w:val="000000"/>
          <w:position w:val="0"/>
          <w:sz w:val="20"/>
          <w:u w:val="none"/>
          <w:vertAlign w:val="baseline"/>
        </w:rPr>
        <w:t xml:space="preserve">). </w:t>
      </w:r>
      <w:bookmarkStart w:id="36" w:name="Bookmark_I690188X2SF8JR0020000400_2"/>
      <w:bookmarkEnd w:id="36"/>
      <w:r>
        <w:rPr>
          <w:rFonts w:ascii="arial" w:eastAsia="arial" w:hAnsi="arial" w:cs="arial"/>
          <w:b w:val="0"/>
          <w:i w:val="0"/>
          <w:strike w:val="0"/>
          <w:noProof w:val="0"/>
          <w:color w:val="000000"/>
          <w:position w:val="0"/>
          <w:sz w:val="20"/>
          <w:u w:val="none"/>
          <w:vertAlign w:val="baseline"/>
        </w:rPr>
        <w:t xml:space="preserve">The Fourth Circuit has emphasized that "the remedy afforded by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not rendered inadequate or ineffective merely because an individual has been unable to obtain relief under that provision or because an individual is procedurally barred from filing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t>
      </w:r>
      <w:bookmarkStart w:id="37" w:name="Bookmark_I690188X2SF8JR0010000400"/>
      <w:bookmarkEnd w:id="37"/>
      <w:hyperlink r:id="rId15" w:history="1">
        <w:r>
          <w:rPr>
            <w:rFonts w:ascii="arial" w:eastAsia="arial" w:hAnsi="arial" w:cs="arial"/>
            <w:b w:val="0"/>
            <w:i/>
            <w:strike w:val="0"/>
            <w:noProof w:val="0"/>
            <w:color w:val="0077CC"/>
            <w:position w:val="0"/>
            <w:sz w:val="20"/>
            <w:u w:val="single"/>
            <w:vertAlign w:val="baseline"/>
          </w:rPr>
          <w:t>In re Vial</w:t>
        </w:r>
      </w:hyperlink>
      <w:hyperlink r:id="rId15" w:history="1">
        <w:r>
          <w:rPr>
            <w:rFonts w:ascii="arial" w:eastAsia="arial" w:hAnsi="arial" w:cs="arial"/>
            <w:b w:val="0"/>
            <w:i/>
            <w:strike w:val="0"/>
            <w:noProof w:val="0"/>
            <w:color w:val="0077CC"/>
            <w:position w:val="0"/>
            <w:sz w:val="20"/>
            <w:u w:val="single"/>
            <w:vertAlign w:val="baseline"/>
          </w:rPr>
          <w:t>, 115 F.3d at 1194 n.5</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38" w:name="Bookmark_para_14"/>
      <w:bookmarkEnd w:id="38"/>
      <w:bookmarkStart w:id="39" w:name="Bookmark_I690188X2N1PRN0030000400"/>
      <w:bookmarkEnd w:id="39"/>
      <w:r>
        <w:rPr>
          <w:rFonts w:ascii="arial" w:eastAsia="arial" w:hAnsi="arial" w:cs="arial"/>
          <w:b w:val="0"/>
          <w:i w:val="0"/>
          <w:strike w:val="0"/>
          <w:noProof w:val="0"/>
          <w:color w:val="000000"/>
          <w:position w:val="0"/>
          <w:sz w:val="20"/>
          <w:u w:val="none"/>
          <w:vertAlign w:val="baseline"/>
        </w:rPr>
        <w:t xml:space="preserve">The Fourth Circuit has stressed that an inmate may proceed under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to challenge his or her conviction "in only very limited circumstances." </w:t>
      </w:r>
      <w:bookmarkStart w:id="40" w:name="Bookmark_I690188X2N1PRN0020000400"/>
      <w:bookmarkEnd w:id="40"/>
      <w:hyperlink r:id="rId18" w:history="1">
        <w:r>
          <w:rPr>
            <w:rFonts w:ascii="arial" w:eastAsia="arial" w:hAnsi="arial" w:cs="arial"/>
            <w:b w:val="0"/>
            <w:i/>
            <w:strike w:val="0"/>
            <w:noProof w:val="0"/>
            <w:color w:val="0077CC"/>
            <w:position w:val="0"/>
            <w:sz w:val="20"/>
            <w:u w:val="single"/>
            <w:vertAlign w:val="baseline"/>
          </w:rPr>
          <w:t>United States v. Poole</w:t>
        </w:r>
      </w:hyperlink>
      <w:hyperlink r:id="rId18" w:history="1">
        <w:r>
          <w:rPr>
            <w:rFonts w:ascii="arial" w:eastAsia="arial" w:hAnsi="arial" w:cs="arial"/>
            <w:b w:val="0"/>
            <w:i/>
            <w:strike w:val="0"/>
            <w:noProof w:val="0"/>
            <w:color w:val="0077CC"/>
            <w:position w:val="0"/>
            <w:sz w:val="20"/>
            <w:u w:val="single"/>
            <w:vertAlign w:val="baseline"/>
          </w:rPr>
          <w:t>, 531 F.3d 263, 269 (4th Cir. 2008)</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bookmarkStart w:id="41" w:name="Bookmark_I2DCBBS7FXB000057C800009"/>
      <w:bookmarkEnd w:id="41"/>
      <w:bookmarkStart w:id="42" w:name="Bookmark_I690188X2N1PRN0050000400"/>
      <w:bookmarkEnd w:id="42"/>
      <w:r>
        <w:rPr>
          <w:rFonts w:ascii="arial" w:eastAsia="arial" w:hAnsi="arial" w:cs="arial"/>
          <w:b w:val="0"/>
          <w:i w:val="0"/>
          <w:strike w:val="0"/>
          <w:noProof w:val="0"/>
          <w:color w:val="000000"/>
          <w:position w:val="0"/>
          <w:sz w:val="20"/>
          <w:u w:val="none"/>
          <w:vertAlign w:val="baseline"/>
        </w:rPr>
        <w:t>Until recently, the test in the Fourth Circuit was as follows:</w:t>
      </w:r>
    </w:p>
    <w:p>
      <w:pPr>
        <w:keepNext w:val="0"/>
        <w:spacing w:before="240" w:after="0" w:line="260" w:lineRule="atLeast"/>
        <w:ind w:left="400" w:right="0" w:firstLine="0"/>
        <w:jc w:val="both"/>
      </w:pPr>
      <w:bookmarkStart w:id="43" w:name="Bookmark_para_15"/>
      <w:bookmarkEnd w:id="43"/>
      <w:bookmarkStart w:id="44" w:name="Bookmark_I690188X2N1PRN0050000400_2"/>
      <w:bookmarkEnd w:id="44"/>
      <w:bookmarkStart w:id="45" w:name="Bookmark_I690188X2N1PRN0030000400_2"/>
      <w:bookmarkEnd w:id="45"/>
      <w:hyperlink r:id="rId12" w:history="1">
        <w:r>
          <w:rPr>
            <w:rFonts w:ascii="arial" w:eastAsia="arial" w:hAnsi="arial" w:cs="arial"/>
            <w:b w:val="0"/>
            <w:i/>
            <w:strike w:val="0"/>
            <w:color w:val="0077CC"/>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is inadequate and ineffective to test the legality of a conviction when: (1) at the time of conviction, settled law of this circuit or the Supreme Court established the legality of the conviction; (2) subsequent to the prisoner's direct appeal and first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the substantive law changed such that the conduct of which the prisoner </w:t>
      </w:r>
      <w:r>
        <w:rPr>
          <w:rFonts w:ascii="arial" w:eastAsia="arial" w:hAnsi="arial" w:cs="arial"/>
          <w:b w:val="0"/>
          <w:i/>
          <w:strike w:val="0"/>
          <w:noProof w:val="0"/>
          <w:color w:val="000000"/>
          <w:position w:val="0"/>
          <w:sz w:val="20"/>
          <w:u w:val="none"/>
          <w:vertAlign w:val="baseline"/>
        </w:rPr>
        <w:t>was convicted is deemed not to be criminal</w:t>
      </w:r>
      <w:r>
        <w:rPr>
          <w:rFonts w:ascii="arial" w:eastAsia="arial" w:hAnsi="arial" w:cs="arial"/>
          <w:b w:val="0"/>
          <w:i w:val="0"/>
          <w:strike w:val="0"/>
          <w:noProof w:val="0"/>
          <w:color w:val="000000"/>
          <w:position w:val="0"/>
          <w:sz w:val="20"/>
          <w:u w:val="none"/>
          <w:vertAlign w:val="baseline"/>
        </w:rPr>
        <w:t>; and (3) the prisoner cannot satisfy the gatekeeping provisions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because the new rule is not one of constitutional law.</w:t>
      </w:r>
    </w:p>
    <w:p>
      <w:pPr>
        <w:keepNext w:val="0"/>
        <w:spacing w:before="200" w:after="0" w:line="260" w:lineRule="atLeast"/>
        <w:ind w:left="0" w:right="0" w:firstLine="0"/>
        <w:jc w:val="both"/>
      </w:pPr>
      <w:bookmarkStart w:id="46" w:name="Bookmark_I690188X2N1PRN0050000400_3"/>
      <w:bookmarkEnd w:id="46"/>
      <w:bookmarkStart w:id="47" w:name="Bookmark_I690188X2N1PRN0040000400"/>
      <w:bookmarkEnd w:id="47"/>
      <w:hyperlink r:id="rId19" w:history="1">
        <w:r>
          <w:rPr>
            <w:rFonts w:ascii="arial" w:eastAsia="arial" w:hAnsi="arial" w:cs="arial"/>
            <w:b w:val="0"/>
            <w:i/>
            <w:strike w:val="0"/>
            <w:color w:val="0077CC"/>
            <w:sz w:val="20"/>
            <w:u w:val="single"/>
            <w:vertAlign w:val="baseline"/>
          </w:rPr>
          <w:t>In re Jones</w:t>
        </w:r>
      </w:hyperlink>
      <w:hyperlink r:id="rId19" w:history="1">
        <w:r>
          <w:rPr>
            <w:rFonts w:ascii="arial" w:eastAsia="arial" w:hAnsi="arial" w:cs="arial"/>
            <w:b w:val="0"/>
            <w:i/>
            <w:strike w:val="0"/>
            <w:color w:val="0077CC"/>
            <w:sz w:val="20"/>
            <w:u w:val="single"/>
            <w:vertAlign w:val="baseline"/>
          </w:rPr>
          <w:t>, 226 F.3d 328, 333-34 (4th Cir. 2000)</w:t>
        </w:r>
      </w:hyperlink>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However, on June 22, 2023, the United States Supreme Court held that the "limitation on second or successive motions [does not] make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'inadequate or ineffective' such that the prisoner may proceed with his statutory claim under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w:t>
      </w:r>
      <w:bookmarkStart w:id="59" w:name="Bookmark_I690188Y2HM5WN0010000400"/>
      <w:bookmarkEnd w:id="59"/>
      <w:hyperlink r:id="rId20" w:history="1">
        <w:r>
          <w:rPr>
            <w:rFonts w:ascii="arial" w:eastAsia="arial" w:hAnsi="arial" w:cs="arial"/>
            <w:b w:val="0"/>
            <w:i/>
            <w:strike w:val="0"/>
            <w:noProof w:val="0"/>
            <w:color w:val="0077CC"/>
            <w:position w:val="0"/>
            <w:sz w:val="20"/>
            <w:u w:val="single"/>
            <w:vertAlign w:val="baseline"/>
          </w:rPr>
          <w:t>Jones v. Hendrix</w:t>
        </w:r>
      </w:hyperlink>
      <w:hyperlink r:id="rId20" w:history="1">
        <w:r>
          <w:rPr>
            <w:rFonts w:ascii="arial" w:eastAsia="arial" w:hAnsi="arial" w:cs="arial"/>
            <w:b w:val="0"/>
            <w:i/>
            <w:strike w:val="0"/>
            <w:noProof w:val="0"/>
            <w:color w:val="0077CC"/>
            <w:position w:val="0"/>
            <w:sz w:val="20"/>
            <w:u w:val="single"/>
            <w:vertAlign w:val="baseline"/>
          </w:rPr>
          <w:t>, 599 U.S. 465, 143 S. Ct. 1857, 1863, 216 L. Ed. 2d 471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Thus, it appears that </w:t>
      </w:r>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Wheeler</w:t>
      </w:r>
      <w:r>
        <w:rPr>
          <w:rFonts w:ascii="arial" w:eastAsia="arial" w:hAnsi="arial" w:cs="arial"/>
          <w:b w:val="0"/>
          <w:i w:val="0"/>
          <w:strike w:val="0"/>
          <w:noProof w:val="0"/>
          <w:color w:val="000000"/>
          <w:position w:val="0"/>
          <w:sz w:val="20"/>
          <w:u w:val="none"/>
          <w:vertAlign w:val="baseline"/>
        </w:rPr>
        <w:t xml:space="preserve"> have been abrogated.</w:t>
      </w:r>
    </w:p>
    <w:p>
      <w:pPr>
        <w:keepNext w:val="0"/>
        <w:spacing w:before="200" w:after="0" w:line="260" w:lineRule="atLeast"/>
        <w:ind w:left="0" w:right="0" w:firstLine="0"/>
        <w:jc w:val="both"/>
      </w:pPr>
      <w:bookmarkStart w:id="60" w:name="Bookmark_para_16"/>
      <w:bookmarkEnd w:id="6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the Supreme Court explained:</w:t>
      </w:r>
    </w:p>
    <w:p>
      <w:pPr>
        <w:keepNext w:val="0"/>
        <w:spacing w:before="200" w:after="0" w:line="260" w:lineRule="atLeast"/>
        <w:ind w:left="400" w:right="0" w:firstLine="0"/>
        <w:jc w:val="both"/>
      </w:pPr>
      <w:bookmarkStart w:id="61" w:name="Bookmark_para_17"/>
      <w:bookmarkEnd w:id="61"/>
      <w:r>
        <w:rPr>
          <w:rFonts w:ascii="arial" w:eastAsia="arial" w:hAnsi="arial" w:cs="arial"/>
          <w:b w:val="0"/>
          <w:i w:val="0"/>
          <w:strike w:val="0"/>
          <w:noProof w:val="0"/>
          <w:color w:val="000000"/>
          <w:position w:val="0"/>
          <w:sz w:val="20"/>
          <w:u w:val="none"/>
          <w:vertAlign w:val="baseline"/>
        </w:rPr>
        <w:t xml:space="preserve">We now hold that the saving[s] clause does not authorize such an end-run around [the Antiterrorism and Effective Death Penalty Act ("AEDPA")]. In </w:t>
      </w:r>
      <w:hyperlink r:id="rId12" w:history="1">
        <w:r>
          <w:rPr>
            <w:rFonts w:ascii="arial" w:eastAsia="arial" w:hAnsi="arial" w:cs="arial"/>
            <w:b w:val="0"/>
            <w:i/>
            <w:strike w:val="0"/>
            <w:noProof w:val="0"/>
            <w:color w:val="0077CC"/>
            <w:position w:val="0"/>
            <w:sz w:val="20"/>
            <w:u w:val="single"/>
            <w:vertAlign w:val="baseline"/>
          </w:rPr>
          <w:t>§ 2255(h)</w:t>
        </w:r>
      </w:hyperlink>
      <w:r>
        <w:rPr>
          <w:rFonts w:ascii="arial" w:eastAsia="arial" w:hAnsi="arial" w:cs="arial"/>
          <w:b w:val="0"/>
          <w:i w:val="0"/>
          <w:strike w:val="0"/>
          <w:noProof w:val="0"/>
          <w:color w:val="000000"/>
          <w:position w:val="0"/>
          <w:sz w:val="20"/>
          <w:u w:val="none"/>
          <w:vertAlign w:val="baseline"/>
        </w:rPr>
        <w:t xml:space="preserve">, Congress enumerated two—and only two—conditions in which a second or successive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may proceed. Because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the ordinary vehicle for a collateral attack on a federal sentence, the straightforward negative inference from </w:t>
      </w:r>
      <w:hyperlink r:id="rId12" w:history="1">
        <w:r>
          <w:rPr>
            <w:rFonts w:ascii="arial" w:eastAsia="arial" w:hAnsi="arial" w:cs="arial"/>
            <w:b w:val="0"/>
            <w:i/>
            <w:strike w:val="0"/>
            <w:noProof w:val="0"/>
            <w:color w:val="0077CC"/>
            <w:position w:val="0"/>
            <w:sz w:val="20"/>
            <w:u w:val="single"/>
            <w:vertAlign w:val="baseline"/>
          </w:rPr>
          <w:t>§ 2255(h)</w:t>
        </w:r>
      </w:hyperlink>
      <w:r>
        <w:rPr>
          <w:rFonts w:ascii="arial" w:eastAsia="arial" w:hAnsi="arial" w:cs="arial"/>
          <w:b w:val="0"/>
          <w:i w:val="0"/>
          <w:strike w:val="0"/>
          <w:noProof w:val="0"/>
          <w:color w:val="000000"/>
          <w:position w:val="0"/>
          <w:sz w:val="20"/>
          <w:u w:val="none"/>
          <w:vertAlign w:val="baseline"/>
        </w:rPr>
        <w:t xml:space="preserve"> is that a second or successive collateral attack on a federal sentence is not authorized unless one of those two conditions is satisfied. Even more directly, </w:t>
      </w:r>
      <w:hyperlink r:id="rId12" w:history="1">
        <w:r>
          <w:rPr>
            <w:rFonts w:ascii="arial" w:eastAsia="arial" w:hAnsi="arial" w:cs="arial"/>
            <w:b w:val="0"/>
            <w:i/>
            <w:strike w:val="0"/>
            <w:noProof w:val="0"/>
            <w:color w:val="0077CC"/>
            <w:position w:val="0"/>
            <w:sz w:val="20"/>
            <w:u w:val="single"/>
            <w:vertAlign w:val="baseline"/>
          </w:rPr>
          <w:t>§ 2255(h)(2)</w:t>
        </w:r>
      </w:hyperlink>
      <w:r>
        <w:rPr>
          <w:rFonts w:ascii="arial" w:eastAsia="arial" w:hAnsi="arial" w:cs="arial"/>
          <w:b w:val="0"/>
          <w:i w:val="0"/>
          <w:strike w:val="0"/>
          <w:noProof w:val="0"/>
          <w:color w:val="000000"/>
          <w:position w:val="0"/>
          <w:sz w:val="20"/>
          <w:u w:val="none"/>
          <w:vertAlign w:val="baseline"/>
        </w:rPr>
        <w:t xml:space="preserve">'s authorization of a successive collateral attack based on new rules "of </w:t>
      </w:r>
      <w:r>
        <w:rPr>
          <w:rFonts w:ascii="arial" w:eastAsia="arial" w:hAnsi="arial" w:cs="arial"/>
          <w:b w:val="0"/>
          <w:i/>
          <w:strike w:val="0"/>
          <w:noProof w:val="0"/>
          <w:color w:val="000000"/>
          <w:position w:val="0"/>
          <w:sz w:val="20"/>
          <w:u w:val="none"/>
          <w:vertAlign w:val="baseline"/>
        </w:rPr>
        <w:t>constitutional</w:t>
      </w:r>
      <w:r>
        <w:rPr>
          <w:rFonts w:ascii="arial" w:eastAsia="arial" w:hAnsi="arial" w:cs="arial"/>
          <w:b w:val="0"/>
          <w:i w:val="0"/>
          <w:strike w:val="0"/>
          <w:noProof w:val="0"/>
          <w:color w:val="000000"/>
          <w:position w:val="0"/>
          <w:sz w:val="20"/>
          <w:u w:val="none"/>
          <w:vertAlign w:val="baseline"/>
        </w:rPr>
        <w:t xml:space="preserve"> law" implies that Congress did not authorize successive collateral attacks based on new rules of </w:t>
      </w:r>
      <w:r>
        <w:rPr>
          <w:rFonts w:ascii="arial" w:eastAsia="arial" w:hAnsi="arial" w:cs="arial"/>
          <w:b w:val="0"/>
          <w:i/>
          <w:strike w:val="0"/>
          <w:noProof w:val="0"/>
          <w:color w:val="000000"/>
          <w:position w:val="0"/>
          <w:sz w:val="20"/>
          <w:u w:val="none"/>
          <w:vertAlign w:val="baseline"/>
        </w:rPr>
        <w:t>nonconstitutional</w:t>
      </w:r>
      <w:r>
        <w:rPr>
          <w:rFonts w:ascii="arial" w:eastAsia="arial" w:hAnsi="arial" w:cs="arial"/>
          <w:b w:val="0"/>
          <w:i w:val="0"/>
          <w:strike w:val="0"/>
          <w:noProof w:val="0"/>
          <w:color w:val="000000"/>
          <w:position w:val="0"/>
          <w:sz w:val="20"/>
          <w:u w:val="none"/>
          <w:vertAlign w:val="baseline"/>
        </w:rPr>
        <w:t xml:space="preserve"> law. Had Congress wished to omit the word "constitutional,"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it easily could have done so. . . .</w:t>
      </w:r>
    </w:p>
    <w:p>
      <w:pPr>
        <w:keepNext w:val="0"/>
        <w:spacing w:after="0" w:line="260" w:lineRule="atLeast"/>
        <w:ind w:left="400" w:right="0" w:firstLine="0"/>
        <w:jc w:val="both"/>
      </w:pPr>
      <w:bookmarkStart w:id="62" w:name="Bookmark_para_18"/>
      <w:bookmarkEnd w:id="62"/>
      <w:r>
        <w:rPr>
          <w:rFonts w:ascii="arial" w:eastAsia="arial" w:hAnsi="arial" w:cs="arial"/>
          <w:b w:val="0"/>
          <w:i w:val="0"/>
          <w:strike w:val="0"/>
          <w:noProof w:val="0"/>
          <w:color w:val="000000"/>
          <w:position w:val="0"/>
          <w:sz w:val="20"/>
          <w:u w:val="none"/>
          <w:vertAlign w:val="baseline"/>
        </w:rPr>
        <w:t>. . . .</w:t>
      </w:r>
    </w:p>
    <w:p>
      <w:pPr>
        <w:keepNext w:val="0"/>
        <w:spacing w:before="240" w:after="0" w:line="260" w:lineRule="atLeast"/>
        <w:ind w:left="400" w:right="0" w:firstLine="0"/>
        <w:jc w:val="both"/>
      </w:pPr>
      <w:bookmarkStart w:id="63" w:name="Bookmark_para_19"/>
      <w:bookmarkEnd w:id="63"/>
      <w:r>
        <w:rPr>
          <w:rFonts w:ascii="arial" w:eastAsia="arial" w:hAnsi="arial" w:cs="arial"/>
          <w:b w:val="0"/>
          <w:i w:val="0"/>
          <w:strike w:val="0"/>
          <w:noProof w:val="0"/>
          <w:color w:val="000000"/>
          <w:position w:val="0"/>
          <w:sz w:val="20"/>
          <w:u w:val="none"/>
          <w:vertAlign w:val="baseline"/>
        </w:rPr>
        <w:t xml:space="preserve">Here, as often is the case, the best interpretation is the straightforward one. </w:t>
      </w:r>
      <w:hyperlink r:id="rId12" w:history="1">
        <w:r>
          <w:rPr>
            <w:rFonts w:ascii="arial" w:eastAsia="arial" w:hAnsi="arial" w:cs="arial"/>
            <w:b w:val="0"/>
            <w:i/>
            <w:strike w:val="0"/>
            <w:noProof w:val="0"/>
            <w:color w:val="0077CC"/>
            <w:position w:val="0"/>
            <w:sz w:val="20"/>
            <w:u w:val="single"/>
            <w:vertAlign w:val="baseline"/>
          </w:rPr>
          <w:t>Section 2255(h)</w:t>
        </w:r>
      </w:hyperlink>
      <w:r>
        <w:rPr>
          <w:rFonts w:ascii="arial" w:eastAsia="arial" w:hAnsi="arial" w:cs="arial"/>
          <w:b w:val="0"/>
          <w:i w:val="0"/>
          <w:strike w:val="0"/>
          <w:noProof w:val="0"/>
          <w:color w:val="000000"/>
          <w:position w:val="0"/>
          <w:sz w:val="20"/>
          <w:u w:val="none"/>
          <w:vertAlign w:val="baseline"/>
        </w:rPr>
        <w:t xml:space="preserve"> specifies the two limited conditions in which Congress has permitted federal prisoners to bring second or successive collateral attacks on their sentences. </w:t>
      </w:r>
      <w:bookmarkStart w:id="64" w:name="Bookmark_I690188Y2N1PRS0050000400"/>
      <w:bookmarkEnd w:id="64"/>
      <w:r>
        <w:rPr>
          <w:rFonts w:ascii="arial" w:eastAsia="arial" w:hAnsi="arial" w:cs="arial"/>
          <w:b w:val="0"/>
          <w:i w:val="0"/>
          <w:strike w:val="0"/>
          <w:noProof w:val="0"/>
          <w:color w:val="000000"/>
          <w:position w:val="0"/>
          <w:sz w:val="20"/>
          <w:u w:val="none"/>
          <w:vertAlign w:val="baseline"/>
        </w:rPr>
        <w:t>The inability of a prisoner with a statutory claim to satisfy those conditions does not mean that he can bring his claim in a habeas petition under the saving[s] clause. It means that he cannot bring it at all. Congress has chosen finality over error correction in his case.</w:t>
      </w:r>
    </w:p>
    <w:p>
      <w:pPr>
        <w:keepNext w:val="0"/>
        <w:spacing w:before="240" w:after="0" w:line="260" w:lineRule="atLeast"/>
        <w:ind w:left="0" w:right="0" w:firstLine="0"/>
        <w:jc w:val="both"/>
      </w:pPr>
      <w:bookmarkStart w:id="65" w:name="Bookmark_I690188Y2N1PRS0050000400_2"/>
      <w:bookmarkEnd w:id="65"/>
      <w:bookmarkStart w:id="66" w:name="Bookmark_I690188Y2N1PRS0040000400"/>
      <w:bookmarkEnd w:id="66"/>
      <w:hyperlink r:id="rId20" w:history="1">
        <w:r>
          <w:rPr>
            <w:rFonts w:ascii="arial" w:eastAsia="arial" w:hAnsi="arial" w:cs="arial"/>
            <w:b w:val="0"/>
            <w:i/>
            <w:strike w:val="0"/>
            <w:color w:val="0077CC"/>
            <w:sz w:val="20"/>
            <w:u w:val="single"/>
            <w:vertAlign w:val="baseline"/>
          </w:rPr>
          <w:t>Jones</w:t>
        </w:r>
      </w:hyperlink>
      <w:hyperlink r:id="rId20" w:history="1">
        <w:r>
          <w:rPr>
            <w:rFonts w:ascii="arial" w:eastAsia="arial" w:hAnsi="arial" w:cs="arial"/>
            <w:b w:val="0"/>
            <w:i/>
            <w:strike w:val="0"/>
            <w:color w:val="0077CC"/>
            <w:sz w:val="20"/>
            <w:u w:val="single"/>
            <w:vertAlign w:val="baseline"/>
          </w:rPr>
          <w:t>, 143 S.Ct. 1868-69</w:t>
        </w:r>
      </w:hyperlink>
      <w:r>
        <w:rPr>
          <w:rFonts w:ascii="arial" w:eastAsia="arial" w:hAnsi="arial" w:cs="arial"/>
          <w:b w:val="0"/>
          <w:i w:val="0"/>
          <w:strike w:val="0"/>
          <w:noProof w:val="0"/>
          <w:color w:val="000000"/>
          <w:position w:val="0"/>
          <w:sz w:val="20"/>
          <w:u w:val="none"/>
          <w:vertAlign w:val="baseline"/>
        </w:rPr>
        <w:t xml:space="preserve"> (citations omitted) (emphasis in original).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This Court Lacks Jurisdiction Over Patel's Claims</w:t>
      </w:r>
    </w:p>
    <w:p>
      <w:pPr>
        <w:keepNext w:val="0"/>
        <w:spacing w:before="240" w:after="0" w:line="260" w:lineRule="atLeast"/>
        <w:ind w:left="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 xml:space="preserve">Little discussion is needed here, because the Court lacks jurisdiction over Patel's claims. Patel contends that the Government breached his plea agreement, that he is "factually innocent" and that he entered his plea based on ineffective assistance of counsel. (ECF No. 1, at 6.) In essence, Patel argues that he was wrongfully convicted and that his conviction and plea should be vacated. Contrary to Patel's suggestion,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a perfectly adequate vehicle to bring his claims, and he fails to satisfy the savings clause.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Accordingly, Patel cannot proceed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69" w:name="Bookmark_para_21"/>
      <w:bookmarkEnd w:id="69"/>
      <w:r>
        <w:rPr>
          <w:rFonts w:ascii="arial" w:eastAsia="arial" w:hAnsi="arial" w:cs="arial"/>
          <w:b w:val="0"/>
          <w:i w:val="0"/>
          <w:strike w:val="0"/>
          <w:noProof w:val="0"/>
          <w:color w:val="000000"/>
          <w:position w:val="0"/>
          <w:sz w:val="20"/>
          <w:u w:val="none"/>
          <w:vertAlign w:val="baseline"/>
        </w:rPr>
        <w:t xml:space="preserve">Patel's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will be DISMISSED WITHOUT PREJUDICE for lack of jurisdiction. An appropriate Final Order will accompany this Memorandum Opinion.</w:t>
      </w:r>
    </w:p>
    <w:p>
      <w:pPr>
        <w:keepNext w:val="0"/>
        <w:spacing w:before="200" w:after="0" w:line="260" w:lineRule="atLeast"/>
        <w:ind w:left="0" w:right="0" w:firstLine="0"/>
        <w:jc w:val="both"/>
      </w:pPr>
      <w:bookmarkStart w:id="70" w:name="Bookmark_para_22"/>
      <w:bookmarkEnd w:id="70"/>
      <w:r>
        <w:rPr>
          <w:rFonts w:ascii="arial" w:eastAsia="arial" w:hAnsi="arial" w:cs="arial"/>
          <w:b w:val="0"/>
          <w:i w:val="0"/>
          <w:strike w:val="0"/>
          <w:noProof w:val="0"/>
          <w:color w:val="000000"/>
          <w:position w:val="0"/>
          <w:sz w:val="20"/>
          <w:u w:val="none"/>
          <w:vertAlign w:val="baseline"/>
        </w:rPr>
        <w:t>Let the Clerk file a copy of the Memorandum Opinion electronically and send a copy to Patel.</w:t>
      </w:r>
    </w:p>
    <w:p>
      <w:pPr>
        <w:keepNext w:val="0"/>
        <w:spacing w:before="200" w:after="0" w:line="260" w:lineRule="atLeast"/>
        <w:ind w:left="0" w:right="0" w:firstLine="0"/>
        <w:jc w:val="both"/>
      </w:pPr>
      <w:bookmarkStart w:id="71" w:name="Bookmark_para_23"/>
      <w:bookmarkEnd w:id="71"/>
      <w:r>
        <w:rPr>
          <w:rFonts w:ascii="arial" w:eastAsia="arial" w:hAnsi="arial" w:cs="arial"/>
          <w:b w:val="0"/>
          <w:i w:val="0"/>
          <w:strike w:val="0"/>
          <w:noProof w:val="0"/>
          <w:color w:val="000000"/>
          <w:position w:val="0"/>
          <w:sz w:val="20"/>
          <w:u w:val="none"/>
          <w:vertAlign w:val="baseline"/>
        </w:rPr>
        <w:t>/s/ David J. Novak</w:t>
      </w:r>
    </w:p>
    <w:p>
      <w:pPr>
        <w:keepNext w:val="0"/>
        <w:spacing w:before="200" w:after="0" w:line="260" w:lineRule="atLeast"/>
        <w:ind w:left="0" w:right="0" w:firstLine="0"/>
        <w:jc w:val="both"/>
      </w:pPr>
      <w:bookmarkStart w:id="72" w:name="Bookmark_para_24"/>
      <w:bookmarkEnd w:id="72"/>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73" w:name="Bookmark_para_25"/>
      <w:bookmarkEnd w:id="73"/>
      <w:r>
        <w:rPr>
          <w:rFonts w:ascii="arial" w:eastAsia="arial" w:hAnsi="arial" w:cs="arial"/>
          <w:b w:val="0"/>
          <w:i w:val="0"/>
          <w:strike w:val="0"/>
          <w:noProof w:val="0"/>
          <w:color w:val="000000"/>
          <w:position w:val="0"/>
          <w:sz w:val="20"/>
          <w:u w:val="none"/>
          <w:vertAlign w:val="baseline"/>
        </w:rPr>
        <w:t>Richmond, Virginia</w:t>
      </w:r>
    </w:p>
    <w:p>
      <w:pPr>
        <w:keepNext w:val="0"/>
        <w:spacing w:before="200" w:after="0" w:line="260" w:lineRule="atLeast"/>
        <w:ind w:left="0" w:right="0" w:firstLine="0"/>
        <w:jc w:val="both"/>
      </w:pPr>
      <w:bookmarkStart w:id="74" w:name="Bookmark_para_26"/>
      <w:bookmarkEnd w:id="74"/>
      <w:r>
        <w:rPr>
          <w:rFonts w:ascii="arial" w:eastAsia="arial" w:hAnsi="arial" w:cs="arial"/>
          <w:b w:val="0"/>
          <w:i w:val="0"/>
          <w:strike w:val="0"/>
          <w:noProof w:val="0"/>
          <w:color w:val="000000"/>
          <w:position w:val="0"/>
          <w:sz w:val="20"/>
          <w:u w:val="none"/>
          <w:vertAlign w:val="baseline"/>
        </w:rPr>
        <w:t>Dated: August 15,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FINAL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(Dismissing Action Without Prejudice)</w:t>
      </w:r>
    </w:p>
    <w:p>
      <w:pPr>
        <w:keepNext w:val="0"/>
        <w:spacing w:before="200" w:after="0" w:line="260" w:lineRule="atLeast"/>
        <w:ind w:left="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In accordance with the accompanying Memorandum Opinion, it is hereby ORDERED that:</w:t>
      </w:r>
    </w:p>
    <w:p>
      <w:pPr>
        <w:keepNext w:val="0"/>
        <w:spacing w:before="240" w:after="0" w:line="260" w:lineRule="atLeast"/>
        <w:ind w:left="400" w:right="0" w:firstLine="0"/>
        <w:jc w:val="both"/>
      </w:pPr>
      <w:bookmarkStart w:id="76" w:name="Bookmark_para_28"/>
      <w:bookmarkEnd w:id="76"/>
      <w:r>
        <w:rPr>
          <w:rFonts w:ascii="arial" w:eastAsia="arial" w:hAnsi="arial" w:cs="arial"/>
          <w:b w:val="0"/>
          <w:i w:val="0"/>
          <w:strike w:val="0"/>
          <w:noProof w:val="0"/>
          <w:color w:val="000000"/>
          <w:position w:val="0"/>
          <w:sz w:val="20"/>
          <w:u w:val="none"/>
          <w:vertAlign w:val="baseline"/>
        </w:rPr>
        <w:t xml:space="preserve">1. Patel's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(ECF No. 1) is DISMISSED WITHOUT PREJUDICE for want of jurisdiction; and,</w:t>
      </w:r>
    </w:p>
    <w:p>
      <w:pPr>
        <w:keepNext w:val="0"/>
        <w:spacing w:after="0" w:line="260" w:lineRule="atLeast"/>
        <w:ind w:left="400" w:right="0" w:firstLine="0"/>
        <w:jc w:val="both"/>
      </w:pPr>
      <w:bookmarkStart w:id="77" w:name="Bookmark_para_29"/>
      <w:bookmarkEnd w:id="77"/>
      <w:r>
        <w:rPr>
          <w:rFonts w:ascii="arial" w:eastAsia="arial" w:hAnsi="arial" w:cs="arial"/>
          <w:b w:val="0"/>
          <w:i w:val="0"/>
          <w:strike w:val="0"/>
          <w:noProof w:val="0"/>
          <w:color w:val="000000"/>
          <w:position w:val="0"/>
          <w:sz w:val="20"/>
          <w:u w:val="none"/>
          <w:vertAlign w:val="baseline"/>
        </w:rPr>
        <w:t>2. The Clerk is hereby DIRECTED to enter a final appealable Judgment in a Civil Case in favor of Respondents as a separate entry on the docket.</w:t>
      </w:r>
    </w:p>
    <w:p>
      <w:pPr>
        <w:keepNext w:val="0"/>
        <w:spacing w:before="240" w:after="0" w:line="260" w:lineRule="atLeast"/>
        <w:ind w:left="0" w:right="0" w:firstLine="0"/>
        <w:jc w:val="both"/>
      </w:pPr>
      <w:bookmarkStart w:id="78" w:name="Bookmark_para_30"/>
      <w:bookmarkEnd w:id="78"/>
      <w:bookmarkStart w:id="79" w:name="Bookmark_I690188Y2HM5WS0020000400"/>
      <w:bookmarkEnd w:id="79"/>
      <w:r>
        <w:rPr>
          <w:rFonts w:ascii="arial" w:eastAsia="arial" w:hAnsi="arial" w:cs="arial"/>
          <w:b w:val="0"/>
          <w:i w:val="0"/>
          <w:strike w:val="0"/>
          <w:noProof w:val="0"/>
          <w:color w:val="000000"/>
          <w:position w:val="0"/>
          <w:sz w:val="20"/>
          <w:u w:val="none"/>
          <w:vertAlign w:val="baseline"/>
        </w:rPr>
        <w:t xml:space="preserve">Patel does not request, and the Court does not grant, leave to amend, rendering this order final and appealable. </w:t>
      </w:r>
      <w:r>
        <w:rPr>
          <w:rFonts w:ascii="arial" w:eastAsia="arial" w:hAnsi="arial" w:cs="arial"/>
          <w:b w:val="0"/>
          <w:i/>
          <w:strike w:val="0"/>
          <w:noProof w:val="0"/>
          <w:color w:val="000000"/>
          <w:position w:val="0"/>
          <w:sz w:val="20"/>
          <w:u w:val="none"/>
          <w:vertAlign w:val="baseline"/>
        </w:rPr>
        <w:t xml:space="preserve">See </w:t>
      </w:r>
      <w:bookmarkStart w:id="80" w:name="Bookmark_I690188Y2HM5WS0010000400"/>
      <w:bookmarkEnd w:id="80"/>
      <w:hyperlink r:id="rId21" w:history="1">
        <w:r>
          <w:rPr>
            <w:rFonts w:ascii="arial" w:eastAsia="arial" w:hAnsi="arial" w:cs="arial"/>
            <w:b w:val="0"/>
            <w:i/>
            <w:strike w:val="0"/>
            <w:noProof w:val="0"/>
            <w:color w:val="0077CC"/>
            <w:position w:val="0"/>
            <w:sz w:val="20"/>
            <w:u w:val="single"/>
            <w:vertAlign w:val="baseline"/>
          </w:rPr>
          <w:t>Britt v. DeJoy</w:t>
        </w:r>
      </w:hyperlink>
      <w:hyperlink r:id="rId21" w:history="1">
        <w:r>
          <w:rPr>
            <w:rFonts w:ascii="arial" w:eastAsia="arial" w:hAnsi="arial" w:cs="arial"/>
            <w:b w:val="0"/>
            <w:i/>
            <w:strike w:val="0"/>
            <w:noProof w:val="0"/>
            <w:color w:val="0077CC"/>
            <w:position w:val="0"/>
            <w:sz w:val="20"/>
            <w:u w:val="single"/>
            <w:vertAlign w:val="baseline"/>
          </w:rPr>
          <w:t>, 45 F.4th 790, 796 (4th Cir. 2022)</w:t>
        </w:r>
      </w:hyperlink>
      <w:r>
        <w:rPr>
          <w:rFonts w:ascii="arial" w:eastAsia="arial" w:hAnsi="arial" w:cs="arial"/>
          <w:b w:val="0"/>
          <w:i w:val="0"/>
          <w:strike w:val="0"/>
          <w:noProof w:val="0"/>
          <w:color w:val="000000"/>
          <w:position w:val="0"/>
          <w:sz w:val="20"/>
          <w:u w:val="none"/>
          <w:vertAlign w:val="baseline"/>
        </w:rPr>
        <w:t xml:space="preserve"> (holding that an order dismissing a case without leave to amend is final and appealable). Should Patel desire to appeal, a written notice of appeal must be filed with the Clerk of the Court within sixty (60) days of the date of entry hereof. Failure to file a notice of appeal within that period may result in the loss of the ability to appeal.</w:t>
      </w:r>
    </w:p>
    <w:p>
      <w:pPr>
        <w:keepNext w:val="0"/>
        <w:spacing w:before="200" w:after="0" w:line="260" w:lineRule="atLeast"/>
        <w:ind w:left="0" w:right="0" w:firstLine="0"/>
        <w:jc w:val="both"/>
      </w:pPr>
      <w:bookmarkStart w:id="81" w:name="Bookmark_para_31"/>
      <w:bookmarkEnd w:id="81"/>
      <w:r>
        <w:rPr>
          <w:rFonts w:ascii="arial" w:eastAsia="arial" w:hAnsi="arial" w:cs="arial"/>
          <w:b w:val="0"/>
          <w:i w:val="0"/>
          <w:strike w:val="0"/>
          <w:noProof w:val="0"/>
          <w:color w:val="000000"/>
          <w:position w:val="0"/>
          <w:sz w:val="20"/>
          <w:u w:val="none"/>
          <w:vertAlign w:val="baseline"/>
        </w:rPr>
        <w:t>Let the Clerk file a copy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Order electronically and send a copy to Patel.</w:t>
      </w:r>
    </w:p>
    <w:p>
      <w:pPr>
        <w:keepNext w:val="0"/>
        <w:spacing w:before="200" w:after="0" w:line="260" w:lineRule="atLeast"/>
        <w:ind w:left="0" w:right="0" w:firstLine="0"/>
        <w:jc w:val="both"/>
      </w:pPr>
      <w:bookmarkStart w:id="82" w:name="Bookmark_para_32"/>
      <w:bookmarkEnd w:id="82"/>
      <w:r>
        <w:rPr>
          <w:rFonts w:ascii="arial" w:eastAsia="arial" w:hAnsi="arial" w:cs="arial"/>
          <w:b w:val="0"/>
          <w:i w:val="0"/>
          <w:strike w:val="0"/>
          <w:noProof w:val="0"/>
          <w:color w:val="000000"/>
          <w:position w:val="0"/>
          <w:sz w:val="20"/>
          <w:u w:val="none"/>
          <w:vertAlign w:val="baseline"/>
        </w:rPr>
        <w:t>And it is SO ORDERED.</w:t>
      </w:r>
    </w:p>
    <w:p>
      <w:pPr>
        <w:keepNext w:val="0"/>
        <w:spacing w:before="200" w:after="0" w:line="260" w:lineRule="atLeast"/>
        <w:ind w:left="0" w:right="0" w:firstLine="0"/>
        <w:jc w:val="both"/>
      </w:pPr>
      <w:bookmarkStart w:id="83" w:name="Bookmark_para_33"/>
      <w:bookmarkEnd w:id="83"/>
      <w:r>
        <w:rPr>
          <w:rFonts w:ascii="arial" w:eastAsia="arial" w:hAnsi="arial" w:cs="arial"/>
          <w:b w:val="0"/>
          <w:i w:val="0"/>
          <w:strike w:val="0"/>
          <w:noProof w:val="0"/>
          <w:color w:val="000000"/>
          <w:position w:val="0"/>
          <w:sz w:val="20"/>
          <w:u w:val="none"/>
          <w:vertAlign w:val="baseline"/>
        </w:rPr>
        <w:t>/s/ David J. Novak</w:t>
      </w:r>
    </w:p>
    <w:p>
      <w:pPr>
        <w:keepNext w:val="0"/>
        <w:spacing w:before="200" w:after="0" w:line="260" w:lineRule="atLeast"/>
        <w:ind w:left="0" w:right="0" w:firstLine="0"/>
        <w:jc w:val="both"/>
      </w:pPr>
      <w:bookmarkStart w:id="84" w:name="Bookmark_para_34"/>
      <w:bookmarkEnd w:id="84"/>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85" w:name="Bookmark_para_35"/>
      <w:bookmarkEnd w:id="85"/>
      <w:r>
        <w:rPr>
          <w:rFonts w:ascii="arial" w:eastAsia="arial" w:hAnsi="arial" w:cs="arial"/>
          <w:b w:val="0"/>
          <w:i w:val="0"/>
          <w:strike w:val="0"/>
          <w:noProof w:val="0"/>
          <w:color w:val="000000"/>
          <w:position w:val="0"/>
          <w:sz w:val="20"/>
          <w:u w:val="none"/>
          <w:vertAlign w:val="baseline"/>
        </w:rPr>
        <w:t>Richmond, Virginia</w:t>
      </w:r>
    </w:p>
    <w:p>
      <w:pPr>
        <w:keepNext w:val="0"/>
        <w:spacing w:before="200" w:after="0" w:line="260" w:lineRule="atLeast"/>
        <w:ind w:left="0" w:right="0" w:firstLine="0"/>
        <w:jc w:val="both"/>
      </w:pPr>
      <w:bookmarkStart w:id="86" w:name="Bookmark_para_36"/>
      <w:bookmarkEnd w:id="86"/>
      <w:r>
        <w:rPr>
          <w:rFonts w:ascii="arial" w:eastAsia="arial" w:hAnsi="arial" w:cs="arial"/>
          <w:b w:val="0"/>
          <w:i w:val="0"/>
          <w:strike w:val="0"/>
          <w:noProof w:val="0"/>
          <w:color w:val="000000"/>
          <w:position w:val="0"/>
          <w:sz w:val="20"/>
          <w:u w:val="none"/>
          <w:vertAlign w:val="baseline"/>
        </w:rPr>
        <w:t>Dated: August 15,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statute provides, in pertinent part:</w:t>
      </w:r>
    </w:p>
    <w:p>
      <w:pPr>
        <w:keepNext w:val="0"/>
        <w:spacing w:before="200" w:after="0" w:line="240" w:lineRule="atLeast"/>
        <w:ind w:left="400" w:right="0" w:firstLine="0"/>
        <w:jc w:val="both"/>
      </w:pPr>
      <w:bookmarkStart w:id="10" w:name="Bookmark_para_2"/>
      <w:bookmarkEnd w:id="10"/>
      <w:r>
        <w:rPr>
          <w:rFonts w:ascii="arial" w:eastAsia="arial" w:hAnsi="arial" w:cs="arial"/>
          <w:b/>
          <w:i w:val="0"/>
          <w:strike w:val="0"/>
          <w:noProof w:val="0"/>
          <w:color w:val="000000"/>
          <w:position w:val="0"/>
          <w:sz w:val="18"/>
          <w:u w:val="none"/>
          <w:vertAlign w:val="baseline"/>
        </w:rPr>
        <w:t>(c)</w:t>
      </w:r>
      <w:r>
        <w:rPr>
          <w:rFonts w:ascii="arial" w:eastAsia="arial" w:hAnsi="arial" w:cs="arial"/>
          <w:b w:val="0"/>
          <w:i w:val="0"/>
          <w:strike w:val="0"/>
          <w:noProof w:val="0"/>
          <w:color w:val="000000"/>
          <w:position w:val="0"/>
          <w:sz w:val="18"/>
          <w:u w:val="none"/>
          <w:vertAlign w:val="baseline"/>
        </w:rPr>
        <w:t xml:space="preserve"> The writ of habeas corpus shall not extend to a prisoner unless--</w:t>
      </w:r>
    </w:p>
    <w:p>
      <w:pPr>
        <w:keepNext w:val="0"/>
        <w:spacing w:before="200" w:after="0" w:line="240" w:lineRule="atLeast"/>
        <w:ind w:left="800" w:right="0" w:firstLine="0"/>
        <w:jc w:val="both"/>
      </w:pPr>
      <w:bookmarkStart w:id="11" w:name="Bookmark_para_3"/>
      <w:bookmarkEnd w:id="11"/>
      <w:r>
        <w:rPr>
          <w:rFonts w:ascii="arial" w:eastAsia="arial" w:hAnsi="arial" w:cs="arial"/>
          <w:b/>
          <w:i w:val="0"/>
          <w:strike w:val="0"/>
          <w:noProof w:val="0"/>
          <w:color w:val="000000"/>
          <w:position w:val="0"/>
          <w:sz w:val="18"/>
          <w:u w:val="none"/>
          <w:vertAlign w:val="baseline"/>
        </w:rPr>
        <w:t>(1)</w:t>
      </w:r>
      <w:r>
        <w:rPr>
          <w:rFonts w:ascii="arial" w:eastAsia="arial" w:hAnsi="arial" w:cs="arial"/>
          <w:b w:val="0"/>
          <w:i w:val="0"/>
          <w:strike w:val="0"/>
          <w:noProof w:val="0"/>
          <w:color w:val="000000"/>
          <w:position w:val="0"/>
          <w:sz w:val="18"/>
          <w:u w:val="none"/>
          <w:vertAlign w:val="baseline"/>
        </w:rPr>
        <w:t xml:space="preserve"> He is in custody under or by color of the authority of the United States or is committed for trial before some court thereof; or</w:t>
      </w:r>
    </w:p>
    <w:p>
      <w:pPr>
        <w:keepNext w:val="0"/>
        <w:spacing w:before="200" w:after="0" w:line="240" w:lineRule="atLeast"/>
        <w:ind w:left="800" w:right="0" w:firstLine="0"/>
        <w:jc w:val="both"/>
      </w:pPr>
      <w:bookmarkStart w:id="12" w:name="Bookmark_para_4"/>
      <w:bookmarkEnd w:id="12"/>
      <w:r>
        <w:rPr>
          <w:rFonts w:ascii="arial" w:eastAsia="arial" w:hAnsi="arial" w:cs="arial"/>
          <w:b/>
          <w:i w:val="0"/>
          <w:strike w:val="0"/>
          <w:noProof w:val="0"/>
          <w:color w:val="000000"/>
          <w:position w:val="0"/>
          <w:sz w:val="18"/>
          <w:u w:val="none"/>
          <w:vertAlign w:val="baseline"/>
        </w:rPr>
        <w:t>(2)</w:t>
      </w:r>
      <w:r>
        <w:rPr>
          <w:rFonts w:ascii="arial" w:eastAsia="arial" w:hAnsi="arial" w:cs="arial"/>
          <w:b w:val="0"/>
          <w:i w:val="0"/>
          <w:strike w:val="0"/>
          <w:noProof w:val="0"/>
          <w:color w:val="000000"/>
          <w:position w:val="0"/>
          <w:sz w:val="18"/>
          <w:u w:val="none"/>
          <w:vertAlign w:val="baseline"/>
        </w:rPr>
        <w:t xml:space="preserve"> He is in custody for an act done or omitted in pursuance of an Act of Congress, or an order, process, judgment or </w:t>
      </w:r>
      <w:r>
        <w:rPr>
          <w:rFonts w:ascii="arial" w:eastAsia="arial" w:hAnsi="arial" w:cs="arial"/>
          <w:b w:val="0"/>
          <w:i/>
          <w:strike w:val="0"/>
          <w:noProof w:val="0"/>
          <w:color w:val="000000"/>
          <w:position w:val="0"/>
          <w:sz w:val="18"/>
          <w:u w:val="none"/>
          <w:vertAlign w:val="baseline"/>
        </w:rPr>
        <w:t>decree</w:t>
      </w:r>
      <w:r>
        <w:rPr>
          <w:rFonts w:ascii="arial" w:eastAsia="arial" w:hAnsi="arial" w:cs="arial"/>
          <w:b w:val="0"/>
          <w:i w:val="0"/>
          <w:strike w:val="0"/>
          <w:noProof w:val="0"/>
          <w:color w:val="000000"/>
          <w:position w:val="0"/>
          <w:sz w:val="18"/>
          <w:u w:val="none"/>
          <w:vertAlign w:val="baseline"/>
        </w:rPr>
        <w:t xml:space="preserve"> of a court or judge of the United States; or</w:t>
      </w:r>
    </w:p>
    <w:p>
      <w:pPr>
        <w:keepNext w:val="0"/>
        <w:spacing w:before="200" w:after="0" w:line="240" w:lineRule="atLeast"/>
        <w:ind w:left="800" w:right="0" w:firstLine="0"/>
        <w:jc w:val="both"/>
      </w:pPr>
      <w:bookmarkStart w:id="13" w:name="Bookmark_para_5"/>
      <w:bookmarkEnd w:id="13"/>
      <w:r>
        <w:rPr>
          <w:rFonts w:ascii="arial" w:eastAsia="arial" w:hAnsi="arial" w:cs="arial"/>
          <w:b/>
          <w:i w:val="0"/>
          <w:strike w:val="0"/>
          <w:noProof w:val="0"/>
          <w:color w:val="000000"/>
          <w:position w:val="0"/>
          <w:sz w:val="18"/>
          <w:u w:val="none"/>
          <w:vertAlign w:val="baseline"/>
        </w:rPr>
        <w:t>(3)</w:t>
      </w:r>
      <w:r>
        <w:rPr>
          <w:rFonts w:ascii="arial" w:eastAsia="arial" w:hAnsi="arial" w:cs="arial"/>
          <w:b w:val="0"/>
          <w:i w:val="0"/>
          <w:strike w:val="0"/>
          <w:noProof w:val="0"/>
          <w:color w:val="000000"/>
          <w:position w:val="0"/>
          <w:sz w:val="18"/>
          <w:u w:val="none"/>
          <w:vertAlign w:val="baseline"/>
        </w:rPr>
        <w:t xml:space="preserve"> He is in custody in violation of the Constitution or laws or treaties of the United States</w:t>
      </w:r>
      <w:r>
        <w:rPr>
          <w:rFonts w:ascii="arial" w:eastAsia="arial" w:hAnsi="arial" w:cs="arial"/>
          <w:b/>
          <w:i w:val="0"/>
          <w:strike w:val="0"/>
          <w:noProof w:val="0"/>
          <w:color w:val="000000"/>
          <w:position w:val="0"/>
          <w:sz w:val="18"/>
          <w:u w:val="none"/>
          <w:vertAlign w:val="baseline"/>
        </w:rPr>
        <w:t> [*2] </w:t>
      </w:r>
      <w:r>
        <w:rPr>
          <w:rFonts w:ascii="arial" w:eastAsia="arial" w:hAnsi="arial" w:cs="arial"/>
          <w:b w:val="0"/>
          <w:i w:val="0"/>
          <w:strike w:val="0"/>
          <w:noProof w:val="0"/>
          <w:color w:val="000000"/>
          <w:position w:val="0"/>
          <w:sz w:val="18"/>
          <w:u w:val="none"/>
          <w:vertAlign w:val="baseline"/>
        </w:rPr>
        <w:t xml:space="preserve"> . . . .</w:t>
      </w:r>
    </w:p>
    <w:p>
      <w:pPr>
        <w:keepNext w:val="0"/>
        <w:spacing w:before="240" w:after="0" w:line="240" w:lineRule="atLeast"/>
        <w:ind w:left="0" w:right="0" w:firstLine="0"/>
        <w:jc w:val="both"/>
      </w:pPr>
      <w:hyperlink r:id="rId1" w:history="1">
        <w:r>
          <w:rPr>
            <w:rFonts w:ascii="arial" w:eastAsia="arial" w:hAnsi="arial" w:cs="arial"/>
            <w:b w:val="0"/>
            <w:i/>
            <w:strike w:val="0"/>
            <w:color w:val="0077CC"/>
            <w:sz w:val="18"/>
            <w:u w:val="single"/>
            <w:vertAlign w:val="baseline"/>
          </w:rPr>
          <w:t>28 U.S.C.A. § 2241(c)(1)-(3)</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The Court employs the pagination assigned by the CM/ECF docketing system for citations to the record. The Court corrects the capitalization and punctuation in Patel's submissions.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As the Government explains:</w:t>
      </w:r>
    </w:p>
    <w:p>
      <w:pPr>
        <w:keepNext w:val="0"/>
        <w:spacing w:before="240" w:after="0" w:line="240" w:lineRule="atLeast"/>
        <w:ind w:left="400" w:right="0" w:firstLine="0"/>
        <w:jc w:val="both"/>
      </w:pPr>
      <w:bookmarkStart w:id="17" w:name="Bookmark_para_7"/>
      <w:bookmarkEnd w:id="17"/>
      <w:r>
        <w:rPr>
          <w:rFonts w:ascii="arial" w:eastAsia="arial" w:hAnsi="arial" w:cs="arial"/>
          <w:b w:val="0"/>
          <w:i w:val="0"/>
          <w:strike w:val="0"/>
          <w:noProof w:val="0"/>
          <w:color w:val="000000"/>
          <w:position w:val="0"/>
          <w:sz w:val="18"/>
          <w:u w:val="none"/>
          <w:vertAlign w:val="baseline"/>
        </w:rPr>
        <w:t xml:space="preserve">Patel was initially charged in two separate indictments in two federal districts. On July 7, 2012, a federal grand jury in the Middle District of Tennessee charged Patel with drug crimes,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and money laundering. On March 8, 2018, a federal grand jury in the District of Columbia charged Patel with money laundering, conspiracy, and operating an unlicensed money transmitting business, among other things. Pursuant to </w:t>
      </w:r>
      <w:hyperlink r:id="rId2" w:history="1">
        <w:r>
          <w:rPr>
            <w:rFonts w:ascii="arial" w:eastAsia="arial" w:hAnsi="arial" w:cs="arial"/>
            <w:b w:val="0"/>
            <w:i/>
            <w:strike w:val="0"/>
            <w:noProof w:val="0"/>
            <w:color w:val="0077CC"/>
            <w:position w:val="0"/>
            <w:sz w:val="18"/>
            <w:u w:val="single"/>
            <w:vertAlign w:val="baseline"/>
          </w:rPr>
          <w:t>Federal Rule of Criminal Procedure 20</w:t>
        </w:r>
      </w:hyperlink>
      <w:r>
        <w:rPr>
          <w:rFonts w:ascii="arial" w:eastAsia="arial" w:hAnsi="arial" w:cs="arial"/>
          <w:b w:val="0"/>
          <w:i w:val="0"/>
          <w:strike w:val="0"/>
          <w:noProof w:val="0"/>
          <w:color w:val="000000"/>
          <w:position w:val="0"/>
          <w:sz w:val="18"/>
          <w:u w:val="none"/>
          <w:vertAlign w:val="baseline"/>
        </w:rPr>
        <w:t>, the Tennessee case was transferred to the District of Columbia District Court on July 15, 2020, with Patel's consent.</w:t>
      </w:r>
    </w:p>
    <w:p>
      <w:pPr>
        <w:keepNext w:val="0"/>
        <w:spacing w:before="240" w:after="0" w:line="240" w:lineRule="atLeast"/>
        <w:ind w:left="400" w:right="0" w:firstLine="0"/>
        <w:jc w:val="both"/>
      </w:pPr>
      <w:bookmarkStart w:id="18" w:name="Bookmark_para_8"/>
      <w:bookmarkEnd w:id="18"/>
      <w:r>
        <w:rPr>
          <w:rFonts w:ascii="arial" w:eastAsia="arial" w:hAnsi="arial" w:cs="arial"/>
          <w:b w:val="0"/>
          <w:i w:val="0"/>
          <w:strike w:val="0"/>
          <w:noProof w:val="0"/>
          <w:color w:val="000000"/>
          <w:position w:val="0"/>
          <w:sz w:val="18"/>
          <w:u w:val="none"/>
          <w:vertAlign w:val="baseline"/>
        </w:rPr>
        <w:t>On July 16, 2020, Patel pleaded guilty in [the] U.S. District Court for the District</w:t>
      </w: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of Columbia to an Information charging one count of conspiracy to commit crime against the United States in violation of </w:t>
      </w:r>
      <w:hyperlink r:id="rId3" w:history="1">
        <w:r>
          <w:rPr>
            <w:rFonts w:ascii="arial" w:eastAsia="arial" w:hAnsi="arial" w:cs="arial"/>
            <w:b w:val="0"/>
            <w:i/>
            <w:strike w:val="0"/>
            <w:noProof w:val="0"/>
            <w:color w:val="0077CC"/>
            <w:position w:val="0"/>
            <w:sz w:val="18"/>
            <w:u w:val="single"/>
            <w:vertAlign w:val="baseline"/>
          </w:rPr>
          <w:t>18 U.S.C. § 371</w:t>
        </w:r>
      </w:hyperlink>
      <w:r>
        <w:rPr>
          <w:rFonts w:ascii="arial" w:eastAsia="arial" w:hAnsi="arial" w:cs="arial"/>
          <w:b w:val="0"/>
          <w:i w:val="0"/>
          <w:strike w:val="0"/>
          <w:noProof w:val="0"/>
          <w:color w:val="000000"/>
          <w:position w:val="0"/>
          <w:sz w:val="18"/>
          <w:u w:val="none"/>
          <w:vertAlign w:val="baseline"/>
        </w:rPr>
        <w:t xml:space="preserve"> and one count of conspiracy to launder monetary instruments in violation of </w:t>
      </w:r>
      <w:hyperlink r:id="rId4" w:history="1">
        <w:r>
          <w:rPr>
            <w:rFonts w:ascii="arial" w:eastAsia="arial" w:hAnsi="arial" w:cs="arial"/>
            <w:b w:val="0"/>
            <w:i/>
            <w:strike w:val="0"/>
            <w:noProof w:val="0"/>
            <w:color w:val="0077CC"/>
            <w:position w:val="0"/>
            <w:sz w:val="18"/>
            <w:u w:val="single"/>
            <w:vertAlign w:val="baseline"/>
          </w:rPr>
          <w:t>18 U.S.C. § 1956(h)</w:t>
        </w:r>
      </w:hyperlink>
      <w:r>
        <w:rPr>
          <w:rFonts w:ascii="arial" w:eastAsia="arial" w:hAnsi="arial" w:cs="arial"/>
          <w:b w:val="0"/>
          <w:i w:val="0"/>
          <w:strike w:val="0"/>
          <w:noProof w:val="0"/>
          <w:color w:val="000000"/>
          <w:position w:val="0"/>
          <w:sz w:val="18"/>
          <w:u w:val="none"/>
          <w:vertAlign w:val="baseline"/>
        </w:rPr>
        <w:t>, thereby satisfying his criminal liability in both the D.C. and Tennessee cases.</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(ECF No. 14, at 5.)</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0" w:name="Bookmark_fnpara_4"/>
      <w:bookmarkEnd w:id="30"/>
      <w:r>
        <w:rPr>
          <w:rFonts w:ascii="arial" w:eastAsia="arial" w:hAnsi="arial" w:cs="arial"/>
          <w:b w:val="0"/>
          <w:i w:val="0"/>
          <w:strike w:val="0"/>
          <w:noProof w:val="0"/>
          <w:color w:val="000000"/>
          <w:position w:val="0"/>
          <w:sz w:val="18"/>
          <w:u w:val="none"/>
          <w:vertAlign w:val="baseline"/>
        </w:rPr>
        <w:t xml:space="preserve">"This 'inadequate and ineffective' exception is known as the 'savings clause' to [the] limitations imposed by </w:t>
      </w:r>
      <w:hyperlink r:id="rId5"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w:t>
      </w:r>
      <w:bookmarkStart w:id="31" w:name="Bookmark_I690188X2SF8JR0030000400"/>
      <w:bookmarkEnd w:id="31"/>
      <w:hyperlink r:id="rId6" w:history="1">
        <w:r>
          <w:rPr>
            <w:rFonts w:ascii="arial" w:eastAsia="arial" w:hAnsi="arial" w:cs="arial"/>
            <w:b w:val="0"/>
            <w:i/>
            <w:strike w:val="0"/>
            <w:noProof w:val="0"/>
            <w:color w:val="0077CC"/>
            <w:position w:val="0"/>
            <w:sz w:val="18"/>
            <w:u w:val="single"/>
            <w:vertAlign w:val="baseline"/>
          </w:rPr>
          <w:t>Wilson v. Wilson</w:t>
        </w:r>
      </w:hyperlink>
      <w:hyperlink r:id="rId6" w:history="1">
        <w:r>
          <w:rPr>
            <w:rFonts w:ascii="arial" w:eastAsia="arial" w:hAnsi="arial" w:cs="arial"/>
            <w:b w:val="0"/>
            <w:i/>
            <w:strike w:val="0"/>
            <w:noProof w:val="0"/>
            <w:color w:val="0077CC"/>
            <w:position w:val="0"/>
            <w:sz w:val="18"/>
            <w:u w:val="single"/>
            <w:vertAlign w:val="baseline"/>
          </w:rPr>
          <w:t>, No. 1:11cv645 (TSE/TCB), 2012 U.S. Dist. LEXIS 51901, 2012 WL 1245671, at *3 (RD. Va. Apr. 12, 2012)</w:t>
        </w:r>
      </w:hyperlink>
      <w:r>
        <w:rPr>
          <w:rFonts w:ascii="arial" w:eastAsia="arial" w:hAnsi="arial" w:cs="arial"/>
          <w:b w:val="0"/>
          <w:i w:val="0"/>
          <w:strike w:val="0"/>
          <w:noProof w:val="0"/>
          <w:color w:val="000000"/>
          <w:position w:val="0"/>
          <w:sz w:val="18"/>
          <w:u w:val="none"/>
          <w:vertAlign w:val="baseline"/>
        </w:rPr>
        <w:t xml:space="preserve"> (quoting </w:t>
      </w:r>
      <w:bookmarkStart w:id="32" w:name="Bookmark_I690188X2SF8JR0050000400"/>
      <w:bookmarkEnd w:id="32"/>
      <w:hyperlink r:id="rId7" w:history="1">
        <w:r>
          <w:rPr>
            <w:rFonts w:ascii="arial" w:eastAsia="arial" w:hAnsi="arial" w:cs="arial"/>
            <w:b w:val="0"/>
            <w:i/>
            <w:strike w:val="0"/>
            <w:noProof w:val="0"/>
            <w:color w:val="0077CC"/>
            <w:position w:val="0"/>
            <w:sz w:val="18"/>
            <w:u w:val="single"/>
            <w:vertAlign w:val="baseline"/>
          </w:rPr>
          <w:t>In re Jones</w:t>
        </w:r>
      </w:hyperlink>
      <w:hyperlink r:id="rId7" w:history="1">
        <w:r>
          <w:rPr>
            <w:rFonts w:ascii="arial" w:eastAsia="arial" w:hAnsi="arial" w:cs="arial"/>
            <w:b w:val="0"/>
            <w:i/>
            <w:strike w:val="0"/>
            <w:noProof w:val="0"/>
            <w:color w:val="0077CC"/>
            <w:position w:val="0"/>
            <w:sz w:val="18"/>
            <w:u w:val="single"/>
            <w:vertAlign w:val="baseline"/>
          </w:rPr>
          <w:t>, 226 F.3d 328, 333 (4th Cir. 2000)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8" w:name="Bookmark_fnpara_5"/>
      <w:bookmarkEnd w:id="48"/>
      <w:bookmarkStart w:id="49" w:name="Bookmark_I690188Y2HM5WN0040000400"/>
      <w:bookmarkEnd w:id="49"/>
      <w:bookmarkStart w:id="50" w:name="Bookmark_I690188Y2N1PRS0010000400"/>
      <w:bookmarkEnd w:id="50"/>
      <w:r>
        <w:rPr>
          <w:rFonts w:ascii="arial" w:eastAsia="arial" w:hAnsi="arial" w:cs="arial"/>
          <w:b w:val="0"/>
          <w:i w:val="0"/>
          <w:strike w:val="0"/>
          <w:noProof w:val="0"/>
          <w:color w:val="000000"/>
          <w:position w:val="0"/>
          <w:sz w:val="18"/>
          <w:u w:val="none"/>
          <w:vertAlign w:val="baseline"/>
        </w:rPr>
        <w:t xml:space="preserve">With respect to inmates challenging their sentence, the Fourth Circuit had expanded the test in </w:t>
      </w:r>
      <w:bookmarkStart w:id="51" w:name="Bookmark_I690188Y2HM5WN0030000400"/>
      <w:bookmarkEnd w:id="51"/>
      <w:hyperlink r:id="rId8" w:history="1">
        <w:r>
          <w:rPr>
            <w:rFonts w:ascii="arial" w:eastAsia="arial" w:hAnsi="arial" w:cs="arial"/>
            <w:b w:val="0"/>
            <w:i/>
            <w:strike w:val="0"/>
            <w:noProof w:val="0"/>
            <w:color w:val="0077CC"/>
            <w:position w:val="0"/>
            <w:sz w:val="18"/>
            <w:u w:val="single"/>
            <w:vertAlign w:val="baseline"/>
          </w:rPr>
          <w:t>United States v. Wheeler</w:t>
        </w:r>
      </w:hyperlink>
      <w:hyperlink r:id="rId8" w:history="1">
        <w:r>
          <w:rPr>
            <w:rFonts w:ascii="arial" w:eastAsia="arial" w:hAnsi="arial" w:cs="arial"/>
            <w:b w:val="0"/>
            <w:i/>
            <w:strike w:val="0"/>
            <w:noProof w:val="0"/>
            <w:color w:val="0077CC"/>
            <w:position w:val="0"/>
            <w:sz w:val="18"/>
            <w:u w:val="single"/>
            <w:vertAlign w:val="baseline"/>
          </w:rPr>
          <w:t>, 886 F.3d 415, 429 (4th Cir. 2018)</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52" w:name="Bookmark_fnpara_6"/>
      <w:bookmarkEnd w:id="52"/>
      <w:bookmarkStart w:id="53" w:name="Bookmark_I690188Y2N1PRS0030000400"/>
      <w:bookmarkEnd w:id="53"/>
      <w:bookmarkStart w:id="54" w:name="Bookmark_I690188Y2N1PRS0010000400_2"/>
      <w:bookmarkEnd w:id="54"/>
      <w:bookmarkStart w:id="55" w:name="Bookmark_I690188Y2HM5WN0040000400_2"/>
      <w:bookmarkEnd w:id="55"/>
      <w:r>
        <w:rPr>
          <w:rFonts w:ascii="arial" w:eastAsia="arial" w:hAnsi="arial" w:cs="arial"/>
          <w:b w:val="0"/>
          <w:i w:val="0"/>
          <w:strike w:val="0"/>
          <w:noProof w:val="0"/>
          <w:color w:val="000000"/>
          <w:position w:val="0"/>
          <w:sz w:val="18"/>
          <w:u w:val="none"/>
          <w:vertAlign w:val="baseline"/>
        </w:rPr>
        <w:t xml:space="preserve">On June 22, 2023, the United States Supreme Court also held that the "limitation on second or successive motions [does not] make </w:t>
      </w:r>
      <w:hyperlink r:id="rId5"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'inadequate or ineffective' such that the prisoner may proceed with his statutory claim under </w:t>
      </w:r>
      <w:hyperlink r:id="rId1" w:history="1">
        <w:r>
          <w:rPr>
            <w:rFonts w:ascii="arial" w:eastAsia="arial" w:hAnsi="arial" w:cs="arial"/>
            <w:b w:val="0"/>
            <w:i/>
            <w:strike w:val="0"/>
            <w:noProof w:val="0"/>
            <w:color w:val="0077CC"/>
            <w:position w:val="0"/>
            <w:sz w:val="18"/>
            <w:u w:val="single"/>
            <w:vertAlign w:val="baseline"/>
          </w:rPr>
          <w:t>§ 2241</w:t>
        </w:r>
      </w:hyperlink>
      <w:r>
        <w:rPr>
          <w:rFonts w:ascii="arial" w:eastAsia="arial" w:hAnsi="arial" w:cs="arial"/>
          <w:b w:val="0"/>
          <w:i w:val="0"/>
          <w:strike w:val="0"/>
          <w:noProof w:val="0"/>
          <w:color w:val="000000"/>
          <w:position w:val="0"/>
          <w:sz w:val="18"/>
          <w:u w:val="none"/>
          <w:vertAlign w:val="baseline"/>
        </w:rPr>
        <w:t xml:space="preserve">." </w:t>
      </w:r>
      <w:bookmarkStart w:id="56" w:name="Bookmark_I690188Y2HM5WN0050000400"/>
      <w:bookmarkEnd w:id="56"/>
      <w:hyperlink r:id="rId9" w:history="1">
        <w:r>
          <w:rPr>
            <w:rFonts w:ascii="arial" w:eastAsia="arial" w:hAnsi="arial" w:cs="arial"/>
            <w:b w:val="0"/>
            <w:i/>
            <w:strike w:val="0"/>
            <w:noProof w:val="0"/>
            <w:color w:val="0077CC"/>
            <w:position w:val="0"/>
            <w:sz w:val="18"/>
            <w:u w:val="single"/>
            <w:vertAlign w:val="baseline"/>
          </w:rPr>
          <w:t>Jones v. Hendrix</w:t>
        </w:r>
      </w:hyperlink>
      <w:hyperlink r:id="rId9" w:history="1">
        <w:r>
          <w:rPr>
            <w:rFonts w:ascii="arial" w:eastAsia="arial" w:hAnsi="arial" w:cs="arial"/>
            <w:b w:val="0"/>
            <w:i/>
            <w:strike w:val="0"/>
            <w:noProof w:val="0"/>
            <w:color w:val="0077CC"/>
            <w:position w:val="0"/>
            <w:sz w:val="18"/>
            <w:u w:val="single"/>
            <w:vertAlign w:val="baseline"/>
          </w:rPr>
          <w:t>, 599 U.S. 465, 143 S.Ct. 1857, 1863, 216 L. Ed. 2d 471 (2023)</w:t>
        </w:r>
      </w:hyperlink>
      <w:r>
        <w:rPr>
          <w:rFonts w:ascii="arial" w:eastAsia="arial" w:hAnsi="arial" w:cs="arial"/>
          <w:b w:val="0"/>
          <w:i w:val="0"/>
          <w:strike w:val="0"/>
          <w:noProof w:val="0"/>
          <w:color w:val="000000"/>
          <w:position w:val="0"/>
          <w:sz w:val="18"/>
          <w:u w:val="none"/>
          <w:vertAlign w:val="baseline"/>
        </w:rPr>
        <w:t xml:space="preserve">. Thus, it would appear that </w:t>
      </w:r>
      <w:bookmarkStart w:id="57" w:name="Bookmark_I690188Y2N1PRS0030000400_2"/>
      <w:bookmarkEnd w:id="57"/>
      <w:bookmarkStart w:id="58" w:name="Bookmark_I690188Y2N1PRS0020000400"/>
      <w:bookmarkEnd w:id="58"/>
      <w:hyperlink r:id="rId8" w:history="1">
        <w:r>
          <w:rPr>
            <w:rFonts w:ascii="arial" w:eastAsia="arial" w:hAnsi="arial" w:cs="arial"/>
            <w:b w:val="0"/>
            <w:i/>
            <w:strike w:val="0"/>
            <w:noProof w:val="0"/>
            <w:color w:val="0077CC"/>
            <w:position w:val="0"/>
            <w:sz w:val="18"/>
            <w:u w:val="single"/>
            <w:vertAlign w:val="baseline"/>
          </w:rPr>
          <w:t>Wheeler</w:t>
        </w:r>
      </w:hyperlink>
      <w:r>
        <w:rPr>
          <w:rFonts w:ascii="arial" w:eastAsia="arial" w:hAnsi="arial" w:cs="arial"/>
          <w:b w:val="0"/>
          <w:i w:val="0"/>
          <w:strike w:val="0"/>
          <w:noProof w:val="0"/>
          <w:color w:val="000000"/>
          <w:position w:val="0"/>
          <w:sz w:val="18"/>
          <w:u w:val="none"/>
          <w:vertAlign w:val="baseline"/>
        </w:rPr>
        <w:t xml:space="preserve"> has been abrogated.</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8" w:name="Bookmark_fnpara_7"/>
      <w:bookmarkEnd w:id="68"/>
      <w:r>
        <w:rPr>
          <w:rFonts w:ascii="arial" w:eastAsia="arial" w:hAnsi="arial" w:cs="arial"/>
          <w:b w:val="0"/>
          <w:i w:val="0"/>
          <w:strike w:val="0"/>
          <w:noProof w:val="0"/>
          <w:color w:val="000000"/>
          <w:position w:val="0"/>
          <w:sz w:val="18"/>
          <w:u w:val="none"/>
          <w:vertAlign w:val="baseline"/>
        </w:rPr>
        <w:t xml:space="preserve">It appears that Patel is raising similar claims in his </w:t>
      </w:r>
      <w:hyperlink r:id="rId5"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motion pending in the Sentencing Court. </w:t>
      </w:r>
      <w:r>
        <w:rPr>
          <w:rFonts w:ascii="arial" w:eastAsia="arial" w:hAnsi="arial" w:cs="arial"/>
          <w:b w:val="0"/>
          <w:i/>
          <w:strike w:val="0"/>
          <w:noProof w:val="0"/>
          <w:color w:val="000000"/>
          <w:position w:val="0"/>
          <w:sz w:val="18"/>
          <w:u w:val="none"/>
          <w:vertAlign w:val="baseline"/>
        </w:rPr>
        <w:t>Patel</w:t>
      </w:r>
      <w:r>
        <w:rPr>
          <w:rFonts w:ascii="arial" w:eastAsia="arial" w:hAnsi="arial" w:cs="arial"/>
          <w:b w:val="0"/>
          <w:i w:val="0"/>
          <w:strike w:val="0"/>
          <w:noProof w:val="0"/>
          <w:color w:val="000000"/>
          <w:position w:val="0"/>
          <w:sz w:val="18"/>
          <w:u w:val="none"/>
          <w:vertAlign w:val="baseline"/>
        </w:rPr>
        <w:t>, No. 1:18CR00053—RDM—1 (D.D.C. Apr. 14, 2023), ECF No. 161.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v. Warden, Fed. Corr. Facility, 2023 U.S. Dist. LEXIS 143073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DT-2MW1-JW5H-X26K-00000-00&amp;context=1519360" TargetMode="External" /><Relationship Id="rId11" Type="http://schemas.openxmlformats.org/officeDocument/2006/relationships/hyperlink" Target="https://advance.lexis.com/api/document?collection=statutes-legislation&amp;id=urn:contentItem:8SG9-5HW2-D6RV-H0V2-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cases&amp;id=urn:contentItem:40PH-9HF0-0038-X263-00000-00&amp;context=1519360" TargetMode="External" /><Relationship Id="rId14" Type="http://schemas.openxmlformats.org/officeDocument/2006/relationships/hyperlink" Target="https://advance.lexis.com/api/document?collection=cases&amp;id=urn:contentItem:3S4X-2G40-003B-50JC-00000-00&amp;context=1519360" TargetMode="External" /><Relationship Id="rId15" Type="http://schemas.openxmlformats.org/officeDocument/2006/relationships/hyperlink" Target="https://advance.lexis.com/api/document?collection=cases&amp;id=urn:contentItem:3S4X-G2W0-00B1-D419-00000-00&amp;context=1519360" TargetMode="External" /><Relationship Id="rId16" Type="http://schemas.openxmlformats.org/officeDocument/2006/relationships/hyperlink" Target="https://advance.lexis.com/api/document?collection=cases&amp;id=urn:contentItem:3S4X-2430-006F-M43B-00000-00&amp;context=1519360" TargetMode="External" /><Relationship Id="rId17" Type="http://schemas.openxmlformats.org/officeDocument/2006/relationships/hyperlink" Target="https://advance.lexis.com/api/document?collection=cases&amp;id=urn:contentItem:3S4X-24C0-003B-G4D4-00000-00&amp;context=1519360" TargetMode="External" /><Relationship Id="rId18" Type="http://schemas.openxmlformats.org/officeDocument/2006/relationships/hyperlink" Target="https://advance.lexis.com/api/document?collection=cases&amp;id=urn:contentItem:4ST8-57W0-TXFX-6277-00000-00&amp;context=1519360" TargetMode="External" /><Relationship Id="rId19" Type="http://schemas.openxmlformats.org/officeDocument/2006/relationships/hyperlink" Target="https://advance.lexis.com/api/document?collection=cases&amp;id=urn:contentItem:40SD-7HP0-0038-X42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HP-FB51-JG02-S3S8-00000-00&amp;context=1519360" TargetMode="External" /><Relationship Id="rId21" Type="http://schemas.openxmlformats.org/officeDocument/2006/relationships/hyperlink" Target="https://advance.lexis.com/api/document?collection=cases&amp;id=urn:contentItem:665V-J8K1-F7ND-G31V-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YB-WWH1-F2MB-S19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2-00000-00&amp;context=1519360" TargetMode="External" /><Relationship Id="rId2" Type="http://schemas.openxmlformats.org/officeDocument/2006/relationships/hyperlink" Target="https://advance.lexis.com/api/document?collection=statutes-legislation&amp;id=urn:contentItem:5GYC-2731-FG36-13VG-00000-00&amp;context=1519360" TargetMode="External" /><Relationship Id="rId3" Type="http://schemas.openxmlformats.org/officeDocument/2006/relationships/hyperlink" Target="https://advance.lexis.com/api/document?collection=statutes-legislation&amp;id=urn:contentItem:8SG9-5032-D6RV-H544-00000-00&amp;context=1519360" TargetMode="External" /><Relationship Id="rId4" Type="http://schemas.openxmlformats.org/officeDocument/2006/relationships/hyperlink" Target="https://advance.lexis.com/api/document?collection=statutes-legislation&amp;id=urn:contentItem:677P-FND3-CGX8-048C-00000-00&amp;context=1519360" TargetMode="External" /><Relationship Id="rId5" Type="http://schemas.openxmlformats.org/officeDocument/2006/relationships/hyperlink" Target="https://advance.lexis.com/api/document?collection=statutes-legislation&amp;id=urn:contentItem:8SG9-5HW2-D6RV-H0VJ-00000-00&amp;context=1519360" TargetMode="External" /><Relationship Id="rId6" Type="http://schemas.openxmlformats.org/officeDocument/2006/relationships/hyperlink" Target="https://advance.lexis.com/api/document?collection=cases&amp;id=urn:contentItem:55D4-PDF1-F04F-F03F-00000-00&amp;context=1519360" TargetMode="External" /><Relationship Id="rId7" Type="http://schemas.openxmlformats.org/officeDocument/2006/relationships/hyperlink" Target="https://advance.lexis.com/api/document?collection=cases&amp;id=urn:contentItem:40SD-7HP0-0038-X428-00000-00&amp;context=1519360" TargetMode="External" /><Relationship Id="rId8" Type="http://schemas.openxmlformats.org/officeDocument/2006/relationships/hyperlink" Target="https://advance.lexis.com/api/document?collection=cases&amp;id=urn:contentItem:5S00-W7X1-JXNB-61DY-00000-00&amp;context=1519360" TargetMode="External" /><Relationship Id="rId9" Type="http://schemas.openxmlformats.org/officeDocument/2006/relationships/hyperlink" Target="https://advance.lexis.com/api/document?collection=cases&amp;id=urn:contentItem:68HP-FB51-JG02-S3S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v. Warden, Fed. Corr. Facility, 2023 U.S. Dist. LEXIS 143073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Doc::urn:hlct:5|contextualFeaturePermID::1519360</vt:lpwstr>
  </property>
  <property fmtid="{D5CDD505-2E9C-101B-9397-08002B2CF9AE}" pid="5" name="UserPermID">
    <vt:lpwstr>urn:user:PA186186283</vt:lpwstr>
  </property>
</Properties>
</file>