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Bojorquez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Arizona, Division One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 CA-CR 22-0338</w:t>
      </w:r>
    </w:p>
    <w:p>
      <w:pPr>
        <w:keepNext w:val="0"/>
        <w:spacing w:after="0" w:line="240" w:lineRule="atLeast"/>
        <w:ind w:right="0"/>
        <w:jc w:val="both"/>
      </w:pPr>
      <w:bookmarkStart w:id="0" w:name="Bookmark_1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Ariz. App. Unpub. LEXIS 526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3721134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ARIZONA, Appellee, v. EDDIE BOJORQUEZ,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THIS DECISION IS SUBJECT TO FURTHER APPELLATE REVIEW. MOTIONS FOR RECONSIDERATION OR PETITIONS FOR REVIEW TO THE ARIZONA SUPREME COURT MAY BE PENDING. COUNSEL IS CAUTIONED TO MAKE AN INDEPENDENT DETERMINATION OF THE STATUS OF THIS CASE.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bookmarkStart w:id="4" w:name="Bookmark_para_2"/>
      <w:bookmarkEnd w:id="4"/>
      <w:r>
        <w:rPr>
          <w:rFonts w:ascii="arial" w:eastAsia="arial" w:hAnsi="arial" w:cs="arial"/>
          <w:b w:val="0"/>
          <w:i w:val="0"/>
          <w:strike w:val="0"/>
          <w:noProof w:val="0"/>
          <w:color w:val="000000"/>
          <w:position w:val="0"/>
          <w:sz w:val="20"/>
          <w:u w:val="none"/>
          <w:vertAlign w:val="baseline"/>
        </w:rPr>
        <w:t>NOT FOR OFFICIAL PUBLICATION.</w:t>
      </w:r>
    </w:p>
    <w:p>
      <w:pPr>
        <w:keepNext w:val="0"/>
        <w:spacing w:before="240" w:after="0" w:line="260" w:lineRule="atLeast"/>
        <w:ind w:left="0" w:right="0" w:firstLine="0"/>
        <w:jc w:val="both"/>
      </w:pPr>
      <w:bookmarkStart w:id="5" w:name="Bookmark_para_3"/>
      <w:bookmarkEnd w:id="5"/>
      <w:r>
        <w:rPr>
          <w:rFonts w:ascii="arial" w:eastAsia="arial" w:hAnsi="arial" w:cs="arial"/>
          <w:b w:val="0"/>
          <w:i w:val="0"/>
          <w:strike w:val="0"/>
          <w:noProof w:val="0"/>
          <w:color w:val="000000"/>
          <w:position w:val="0"/>
          <w:sz w:val="20"/>
          <w:u w:val="none"/>
          <w:vertAlign w:val="baseline"/>
        </w:rPr>
        <w:t xml:space="preserve">UNDER </w:t>
      </w:r>
      <w:hyperlink r:id="rId10" w:history="1">
        <w:r>
          <w:rPr>
            <w:rFonts w:ascii="arial" w:eastAsia="arial" w:hAnsi="arial" w:cs="arial"/>
            <w:b w:val="0"/>
            <w:i/>
            <w:strike w:val="0"/>
            <w:noProof w:val="0"/>
            <w:color w:val="0077CC"/>
            <w:position w:val="0"/>
            <w:sz w:val="20"/>
            <w:u w:val="single"/>
            <w:vertAlign w:val="baseline"/>
          </w:rPr>
          <w:t>ARIZONA RULE OF THE SUPREME COURT 111(c)</w:t>
        </w:r>
      </w:hyperlink>
      <w:r>
        <w:rPr>
          <w:rFonts w:ascii="arial" w:eastAsia="arial" w:hAnsi="arial" w:cs="arial"/>
          <w:b w:val="0"/>
          <w:i w:val="0"/>
          <w:strike w:val="0"/>
          <w:noProof w:val="0"/>
          <w:color w:val="000000"/>
          <w:position w:val="0"/>
          <w:sz w:val="20"/>
          <w:u w:val="none"/>
          <w:vertAlign w:val="baseline"/>
        </w:rPr>
        <w:t>, THIS DECISION IS NOT PRECEDENTIAL AND MAY BE CITED ONLY AS AUTHORIZED BY RULE.</w:t>
      </w:r>
    </w:p>
    <w:p>
      <w:pPr>
        <w:keepNext w:val="0"/>
        <w:spacing w:before="240" w:after="0" w:line="260" w:lineRule="atLeast"/>
        <w:ind w:left="0" w:right="0" w:firstLine="0"/>
        <w:jc w:val="both"/>
      </w:pPr>
      <w:bookmarkStart w:id="6" w:name="Prior History"/>
      <w:bookmarkEnd w:id="6"/>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7" w:name="Bookmark_para_4"/>
      <w:bookmarkEnd w:id="7"/>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Superior Court in Yavapai County. No. V1300CR201180048. The Honorable Michael R. Bluff, Judge.</w:t>
      </w:r>
    </w:p>
    <w:p>
      <w:pPr>
        <w:keepNext w:val="0"/>
        <w:spacing w:before="240" w:after="0" w:line="260" w:lineRule="atLeast"/>
        <w:ind w:left="0" w:right="0" w:firstLine="0"/>
        <w:jc w:val="both"/>
      </w:pPr>
      <w:bookmarkStart w:id="8" w:name="Disposition"/>
      <w:bookmarkEnd w:id="8"/>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9" w:name="Bookmark_clspara_1"/>
      <w:bookmarkEnd w:id="9"/>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10" w:name="Core Terms"/>
      <w:bookmarkEnd w:id="10"/>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probation, revocation, sentence, reasons, superior court, continuance</w:t>
      </w:r>
    </w:p>
    <w:p>
      <w:pPr>
        <w:keepNext w:val="0"/>
        <w:spacing w:before="240" w:after="0" w:line="260" w:lineRule="atLeast"/>
        <w:ind w:left="0" w:right="0" w:firstLine="0"/>
        <w:jc w:val="left"/>
      </w:pPr>
      <w:bookmarkStart w:id="11" w:name="Counsel"/>
      <w:bookmarkEnd w:id="1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Arizona Attorney General's Office, Phoenix, By Ashley Torkelson Levine, Counsel for 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Zickerman Law Office, Flagstaff, By Adam Zickerman, Counsel for Appellant.</w:t>
      </w:r>
    </w:p>
    <w:p>
      <w:pPr>
        <w:keepNext w:val="0"/>
        <w:spacing w:before="240" w:after="0" w:line="260" w:lineRule="atLeast"/>
        <w:ind w:left="0" w:right="0" w:firstLine="0"/>
        <w:jc w:val="left"/>
      </w:pPr>
      <w:bookmarkStart w:id="12" w:name="Judges"/>
      <w:bookmarkEnd w:id="1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Presiding Judge Paul J. McMurdie delivered the Court's decision, in which Judge Michael J. Brown and Judge Michael S. Catlett joined.</w:t>
      </w:r>
    </w:p>
    <w:p>
      <w:pPr>
        <w:keepNext w:val="0"/>
        <w:spacing w:before="240" w:after="0" w:line="260" w:lineRule="atLeast"/>
        <w:ind w:left="0" w:right="0" w:firstLine="0"/>
        <w:jc w:val="left"/>
      </w:pPr>
      <w:bookmarkStart w:id="13" w:name="Opinion by"/>
      <w:bookmarkEnd w:id="1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Paul J. McMurdie</w:t>
      </w:r>
    </w:p>
    <w:p>
      <w:pPr>
        <w:keepNext/>
        <w:spacing w:before="240" w:after="0" w:line="340" w:lineRule="atLeast"/>
        <w:ind w:left="0" w:right="0" w:firstLine="0"/>
        <w:jc w:val="left"/>
      </w:pPr>
      <w:bookmarkStart w:id="14" w:name="Opinion"/>
      <w:bookmarkEnd w:id="1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DECISION</w:t>
      </w:r>
    </w:p>
    <w:p>
      <w:pPr>
        <w:keepNext w:val="0"/>
        <w:spacing w:before="200" w:after="0" w:line="260" w:lineRule="atLeast"/>
        <w:ind w:left="0" w:right="0" w:firstLine="0"/>
        <w:jc w:val="both"/>
      </w:pPr>
      <w:bookmarkStart w:id="15" w:name="Bookmark_para_5"/>
      <w:bookmarkEnd w:id="15"/>
      <w:r>
        <w:rPr>
          <w:rFonts w:ascii="arial" w:eastAsia="arial" w:hAnsi="arial" w:cs="arial"/>
          <w:b/>
          <w:i w:val="0"/>
          <w:strike w:val="0"/>
          <w:noProof w:val="0"/>
          <w:color w:val="000000"/>
          <w:position w:val="0"/>
          <w:sz w:val="20"/>
          <w:u w:val="none"/>
          <w:vertAlign w:val="baseline"/>
        </w:rPr>
        <w:t>McMURDIE</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P1 Eddie Bojorquez appeals from the revocation of his probation and the resulting prison sentence, arguing there was an unreasonable delay between the revocation petition and the later hearing.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w:t>
      </w:r>
      <w:r>
        <w:rPr>
          <w:rFonts w:ascii="arial" w:eastAsia="arial" w:hAnsi="arial" w:cs="arial"/>
          <w:vertAlign w:val="superscript"/>
        </w:rPr>
        <w:footnoteReference w:customMarkFollows="1" w:id="2"/>
        <w:t xml:space="preserve">1</w:t>
      </w:r>
      <w:r>
        <w:rPr>
          <w:rFonts w:ascii="arial" w:eastAsia="arial" w:hAnsi="arial" w:cs="arial"/>
          <w:b/>
          <w:i w:val="0"/>
          <w:strike w:val="0"/>
          <w:noProof w:val="0"/>
          <w:color w:val="000000"/>
          <w:position w:val="0"/>
          <w:sz w:val="20"/>
          <w:u w:val="none"/>
          <w:vertAlign w:val="baseline"/>
        </w:rPr>
        <w:t xml:space="preserve"> AND PROCEDURAL BACKGROUND</w:t>
      </w:r>
    </w:p>
    <w:p>
      <w:pPr>
        <w:keepNext w:val="0"/>
        <w:spacing w:before="200" w:after="0" w:line="260" w:lineRule="atLeast"/>
        <w:ind w:left="0" w:right="0" w:firstLine="0"/>
        <w:jc w:val="both"/>
      </w:pPr>
      <w:bookmarkStart w:id="20" w:name="Bookmark_para_7"/>
      <w:bookmarkEnd w:id="20"/>
      <w:r>
        <w:rPr>
          <w:rFonts w:ascii="arial" w:eastAsia="arial" w:hAnsi="arial" w:cs="arial"/>
          <w:b w:val="0"/>
          <w:i w:val="0"/>
          <w:strike w:val="0"/>
          <w:noProof w:val="0"/>
          <w:color w:val="000000"/>
          <w:position w:val="0"/>
          <w:sz w:val="20"/>
          <w:u w:val="none"/>
          <w:vertAlign w:val="baseline"/>
        </w:rPr>
        <w:t>P2 In June 2011, Bojorquez pled guilty to several criminal offenses, including burglary, theft, and criminal damage. As a result, he was sentenced to concurrent terms of imprisonment, the longest of which was six years. The court also suspended his sentence and placed him on a five-year probation term upon his release from prison. One of the conditions of his probation was that he "maintain a crime-free lifestyle by obeying all laws, and not engag[e] or participat[e] in any criminal activity."</w:t>
      </w:r>
      <w:r>
        <w:rPr>
          <w:rFonts w:ascii="arial" w:eastAsia="arial" w:hAnsi="arial" w:cs="arial"/>
          <w:b/>
          <w:i w:val="0"/>
          <w:strike w:val="0"/>
          <w:noProof w:val="0"/>
          <w:color w:val="000000"/>
          <w:position w:val="0"/>
          <w:sz w:val="20"/>
          <w:u w:val="none"/>
          <w:vertAlign w:val="baseline"/>
        </w:rPr>
        <w:t> [*2] </w:t>
      </w:r>
    </w:p>
    <w:p>
      <w:pPr>
        <w:keepNext w:val="0"/>
        <w:spacing w:before="200" w:after="0" w:line="260" w:lineRule="atLeast"/>
        <w:ind w:left="0" w:right="0" w:firstLine="0"/>
        <w:jc w:val="both"/>
      </w:pPr>
      <w:bookmarkStart w:id="21" w:name="Bookmark_para_8"/>
      <w:bookmarkEnd w:id="21"/>
      <w:r>
        <w:rPr>
          <w:rFonts w:ascii="arial" w:eastAsia="arial" w:hAnsi="arial" w:cs="arial"/>
          <w:b w:val="0"/>
          <w:i w:val="0"/>
          <w:strike w:val="0"/>
          <w:noProof w:val="0"/>
          <w:color w:val="000000"/>
          <w:position w:val="0"/>
          <w:sz w:val="20"/>
          <w:u w:val="none"/>
          <w:vertAlign w:val="baseline"/>
        </w:rPr>
        <w:t xml:space="preserve">P3 While on probation in 2019, Bojorquez was arrested following an incident where he trespassed onto the property of his ex-girlfriend and refused to leave. Then, in August 2020, Bojorquez was arrested under federal authority and charged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undocumented immigrants into the United States. Following these incidents, the State petitioned to revoke Bojorquez's probation on September 1, and he was arraigned on September 8. A probation violation management conference was set for December.</w:t>
      </w:r>
    </w:p>
    <w:p>
      <w:pPr>
        <w:keepNext w:val="0"/>
        <w:spacing w:before="200" w:after="0" w:line="260" w:lineRule="atLeast"/>
        <w:ind w:left="0" w:right="0" w:firstLine="0"/>
        <w:jc w:val="both"/>
      </w:pPr>
      <w:bookmarkStart w:id="22" w:name="Bookmark_para_9"/>
      <w:bookmarkEnd w:id="22"/>
      <w:r>
        <w:rPr>
          <w:rFonts w:ascii="arial" w:eastAsia="arial" w:hAnsi="arial" w:cs="arial"/>
          <w:b w:val="0"/>
          <w:i w:val="0"/>
          <w:strike w:val="0"/>
          <w:noProof w:val="0"/>
          <w:color w:val="000000"/>
          <w:position w:val="0"/>
          <w:sz w:val="20"/>
          <w:u w:val="none"/>
          <w:vertAlign w:val="baseline"/>
        </w:rPr>
        <w:t>P4 But the defense requested and was granted a continuance at the management conference, and nearly two years of postponements followed until Bojorquez's violation hearing, which did not occur until June 2022. During that time, the defense requested a continuance at least five times. On other occasions, Bojorquez failed to appear for COVID-related reasons or errors in the defense counsel's calendar. The State, by contrast, alleges that it "was ready to proceed at every hearing, telephonically or otherwise."</w:t>
      </w:r>
    </w:p>
    <w:p>
      <w:pPr>
        <w:keepNext w:val="0"/>
        <w:spacing w:before="200" w:after="0" w:line="260" w:lineRule="atLeast"/>
        <w:ind w:left="0" w:right="0" w:firstLine="0"/>
        <w:jc w:val="both"/>
      </w:pPr>
      <w:bookmarkStart w:id="23" w:name="Bookmark_para_10"/>
      <w:bookmarkEnd w:id="23"/>
      <w:r>
        <w:rPr>
          <w:rFonts w:ascii="arial" w:eastAsia="arial" w:hAnsi="arial" w:cs="arial"/>
          <w:b w:val="0"/>
          <w:i w:val="0"/>
          <w:strike w:val="0"/>
          <w:noProof w:val="0"/>
          <w:color w:val="000000"/>
          <w:position w:val="0"/>
          <w:sz w:val="20"/>
          <w:u w:val="none"/>
          <w:vertAlign w:val="baseline"/>
        </w:rPr>
        <w:t>P5 At the violation hearing, Bojorquez moved to dismiss the revocation petition, noting that the petition "has been hanging over his head for nearly two years." And Bojorquez argued that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delay in the proceedings denied him "expeditious disposition" and deprived him of the opportunity for the sentence to run concurrently with his federal sentence, which he had now served. The superior court denied the motion, explaining:</w:t>
      </w:r>
    </w:p>
    <w:p>
      <w:pPr>
        <w:keepNext w:val="0"/>
        <w:spacing w:after="0" w:line="260" w:lineRule="atLeast"/>
        <w:ind w:left="400" w:right="0" w:firstLine="0"/>
        <w:jc w:val="both"/>
      </w:pPr>
      <w:bookmarkStart w:id="24" w:name="Bookmark_para_11"/>
      <w:bookmarkEnd w:id="24"/>
      <w:r>
        <w:rPr>
          <w:rFonts w:ascii="arial" w:eastAsia="arial" w:hAnsi="arial" w:cs="arial"/>
          <w:b w:val="0"/>
          <w:i w:val="0"/>
          <w:strike w:val="0"/>
          <w:noProof w:val="0"/>
          <w:color w:val="000000"/>
          <w:position w:val="0"/>
          <w:sz w:val="20"/>
          <w:u w:val="none"/>
          <w:vertAlign w:val="baseline"/>
        </w:rPr>
        <w:t>We've been trying to get Mr. Bojorquez before this Court for years and he has been represented by counsel each time. The Court has been extremely frustrated with defense counsel . . . because he did not get Mr. Bojorquez here. I took him at his word that he could not make Mr. Bojorquez available and continued to waive his presence. . . . I see no prejudice at all to the defendant, so I am going to deny the motion.</w:t>
      </w:r>
    </w:p>
    <w:p>
      <w:pPr>
        <w:keepNext w:val="0"/>
        <w:spacing w:before="240" w:after="0" w:line="260" w:lineRule="atLeast"/>
        <w:ind w:left="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 xml:space="preserve">P6 The court found that Bojorquez violated the conditions of his probation, revoked his probation, and sentenced him to concurrent prison terms, the longest of which was three and a half years. Bojorquez appealed, and we have jurisdiction under </w:t>
      </w:r>
      <w:hyperlink r:id="rId11" w:history="1">
        <w:r>
          <w:rPr>
            <w:rFonts w:ascii="arial" w:eastAsia="arial" w:hAnsi="arial" w:cs="arial"/>
            <w:b w:val="0"/>
            <w:i/>
            <w:strike w:val="0"/>
            <w:noProof w:val="0"/>
            <w:color w:val="0077CC"/>
            <w:position w:val="0"/>
            <w:sz w:val="20"/>
            <w:u w:val="single"/>
            <w:vertAlign w:val="baseline"/>
          </w:rPr>
          <w:t>Article 6, Section 9 of the Arizona Constitution</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A.R.S. §§ 12-120.21(A)(1)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13-4031</w:t>
        </w:r>
      </w:hyperlink>
      <w:r>
        <w:rPr>
          <w:rFonts w:ascii="arial" w:eastAsia="arial" w:hAnsi="arial" w:cs="arial"/>
          <w:b w:val="0"/>
          <w:i w:val="0"/>
          <w:strike w:val="0"/>
          <w:noProof w:val="0"/>
          <w:color w:val="000000"/>
          <w:position w:val="0"/>
          <w:sz w:val="20"/>
          <w:u w:val="none"/>
          <w:vertAlign w:val="baseline"/>
        </w:rPr>
        <w:t>, and 13-4033(4).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26" w:name="Bookmark_para_13"/>
      <w:bookmarkEnd w:id="26"/>
      <w:bookmarkStart w:id="27" w:name="Bookmark_I68CCHP32N1RBB0040000400"/>
      <w:bookmarkEnd w:id="27"/>
      <w:r>
        <w:rPr>
          <w:rFonts w:ascii="arial" w:eastAsia="arial" w:hAnsi="arial" w:cs="arial"/>
          <w:b w:val="0"/>
          <w:i w:val="0"/>
          <w:strike w:val="0"/>
          <w:noProof w:val="0"/>
          <w:color w:val="000000"/>
          <w:position w:val="0"/>
          <w:sz w:val="20"/>
          <w:u w:val="none"/>
          <w:vertAlign w:val="baseline"/>
        </w:rPr>
        <w:t xml:space="preserve">P7 We review the superior court's denial of a motion to dismiss a probation revocation petition for an abuse of discretion. </w:t>
      </w:r>
      <w:bookmarkStart w:id="28" w:name="Bookmark_I68CCHP32SF8JW0010000400"/>
      <w:bookmarkEnd w:id="28"/>
      <w:r>
        <w:rPr>
          <w:rFonts w:ascii="arial" w:eastAsia="arial" w:hAnsi="arial" w:cs="arial"/>
          <w:b w:val="0"/>
          <w:i/>
          <w:strike w:val="0"/>
          <w:noProof w:val="0"/>
          <w:color w:val="000000"/>
          <w:position w:val="0"/>
          <w:sz w:val="20"/>
          <w:u w:val="none"/>
          <w:vertAlign w:val="baseline"/>
        </w:rPr>
        <w:t xml:space="preserve">See </w:t>
      </w:r>
      <w:bookmarkStart w:id="29" w:name="Bookmark_I68CCHP32N1RBB0030000400"/>
      <w:bookmarkEnd w:id="29"/>
      <w:hyperlink r:id="rId14" w:history="1">
        <w:r>
          <w:rPr>
            <w:rFonts w:ascii="arial" w:eastAsia="arial" w:hAnsi="arial" w:cs="arial"/>
            <w:b w:val="0"/>
            <w:i/>
            <w:strike w:val="0"/>
            <w:noProof w:val="0"/>
            <w:color w:val="0077CC"/>
            <w:position w:val="0"/>
            <w:sz w:val="20"/>
            <w:u w:val="single"/>
            <w:vertAlign w:val="baseline"/>
          </w:rPr>
          <w:t>State v. Adler</w:t>
        </w:r>
      </w:hyperlink>
      <w:hyperlink r:id="rId14" w:history="1">
        <w:r>
          <w:rPr>
            <w:rFonts w:ascii="arial" w:eastAsia="arial" w:hAnsi="arial" w:cs="arial"/>
            <w:b w:val="0"/>
            <w:i/>
            <w:strike w:val="0"/>
            <w:noProof w:val="0"/>
            <w:color w:val="0077CC"/>
            <w:position w:val="0"/>
            <w:sz w:val="20"/>
            <w:u w:val="single"/>
            <w:vertAlign w:val="baseline"/>
          </w:rPr>
          <w:t>, 189 Ariz. 280, 282, 942 P.2d 439 (1997)</w:t>
        </w:r>
      </w:hyperlink>
      <w:r>
        <w:rPr>
          <w:rFonts w:ascii="arial" w:eastAsia="arial" w:hAnsi="arial" w:cs="arial"/>
          <w:b w:val="0"/>
          <w:i w:val="0"/>
          <w:strike w:val="0"/>
          <w:noProof w:val="0"/>
          <w:color w:val="000000"/>
          <w:position w:val="0"/>
          <w:sz w:val="20"/>
          <w:u w:val="none"/>
          <w:vertAlign w:val="baseline"/>
        </w:rPr>
        <w:t xml:space="preserve">. </w:t>
      </w:r>
      <w:bookmarkStart w:id="30" w:name="Bookmark_I68CCHP32SF8JW0030000400"/>
      <w:bookmarkEnd w:id="30"/>
      <w:r>
        <w:rPr>
          <w:rFonts w:ascii="arial" w:eastAsia="arial" w:hAnsi="arial" w:cs="arial"/>
          <w:b w:val="0"/>
          <w:i w:val="0"/>
          <w:strike w:val="0"/>
          <w:noProof w:val="0"/>
          <w:color w:val="000000"/>
          <w:position w:val="0"/>
          <w:sz w:val="20"/>
          <w:u w:val="none"/>
          <w:vertAlign w:val="baseline"/>
        </w:rPr>
        <w:t xml:space="preserve">An unreasonable delay in the proceedings may be grounds to bar the State from revoking probation. </w:t>
      </w:r>
      <w:bookmarkStart w:id="31" w:name="Bookmark_I68CCHP32SF8JW0030000400_2"/>
      <w:bookmarkEnd w:id="31"/>
      <w:bookmarkStart w:id="32" w:name="Bookmark_I68CCHP32SF8JW0010000400_2"/>
      <w:bookmarkEnd w:id="32"/>
      <w:r>
        <w:rPr>
          <w:rFonts w:ascii="arial" w:eastAsia="arial" w:hAnsi="arial" w:cs="arial"/>
          <w:b w:val="0"/>
          <w:i/>
          <w:strike w:val="0"/>
          <w:noProof w:val="0"/>
          <w:color w:val="000000"/>
          <w:position w:val="0"/>
          <w:sz w:val="20"/>
          <w:u w:val="none"/>
          <w:vertAlign w:val="baseline"/>
        </w:rPr>
        <w:t xml:space="preserve">See, e.g., </w:t>
      </w:r>
      <w:bookmarkStart w:id="33" w:name="Bookmark_I68CCHP32N1RBB0050000400"/>
      <w:bookmarkEnd w:id="33"/>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285</w:t>
        </w:r>
      </w:hyperlink>
      <w:r>
        <w:rPr>
          <w:rFonts w:ascii="arial" w:eastAsia="arial" w:hAnsi="arial" w:cs="arial"/>
          <w:b w:val="0"/>
          <w:i w:val="0"/>
          <w:strike w:val="0"/>
          <w:noProof w:val="0"/>
          <w:color w:val="000000"/>
          <w:position w:val="0"/>
          <w:sz w:val="20"/>
          <w:u w:val="none"/>
          <w:vertAlign w:val="baseline"/>
        </w:rPr>
        <w:t xml:space="preserve">. </w:t>
      </w:r>
      <w:bookmarkStart w:id="34" w:name="Bookmark_I68CCHP32SF8JW0050000400"/>
      <w:bookmarkEnd w:id="34"/>
      <w:r>
        <w:rPr>
          <w:rFonts w:ascii="arial" w:eastAsia="arial" w:hAnsi="arial" w:cs="arial"/>
          <w:b w:val="0"/>
          <w:i w:val="0"/>
          <w:strike w:val="0"/>
          <w:noProof w:val="0"/>
          <w:color w:val="000000"/>
          <w:position w:val="0"/>
          <w:sz w:val="20"/>
          <w:u w:val="none"/>
          <w:vertAlign w:val="baseline"/>
        </w:rPr>
        <w:t>We determine reasonableness by assessing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"length of the delay, reasons for the delay, and prejudice to the defendant." </w:t>
      </w:r>
      <w:bookmarkStart w:id="35" w:name="Bookmark_I68CCHP32SF8JW0020000400"/>
      <w:bookmarkEnd w:id="35"/>
      <w:hyperlink r:id="rId15" w:history="1">
        <w:r>
          <w:rPr>
            <w:rFonts w:ascii="arial" w:eastAsia="arial" w:hAnsi="arial" w:cs="arial"/>
            <w:b w:val="0"/>
            <w:i/>
            <w:strike w:val="0"/>
            <w:noProof w:val="0"/>
            <w:color w:val="0077CC"/>
            <w:position w:val="0"/>
            <w:sz w:val="20"/>
            <w:u w:val="single"/>
            <w:vertAlign w:val="baseline"/>
          </w:rPr>
          <w:t>State v. Flemming</w:t>
        </w:r>
      </w:hyperlink>
      <w:hyperlink r:id="rId15" w:history="1">
        <w:r>
          <w:rPr>
            <w:rFonts w:ascii="arial" w:eastAsia="arial" w:hAnsi="arial" w:cs="arial"/>
            <w:b w:val="0"/>
            <w:i/>
            <w:strike w:val="0"/>
            <w:noProof w:val="0"/>
            <w:color w:val="0077CC"/>
            <w:position w:val="0"/>
            <w:sz w:val="20"/>
            <w:u w:val="single"/>
            <w:vertAlign w:val="baseline"/>
          </w:rPr>
          <w:t>, 184 Ariz. 110, 115, 907 P.2d 496 (1995)</w:t>
        </w:r>
      </w:hyperlink>
      <w:r>
        <w:rPr>
          <w:rFonts w:ascii="arial" w:eastAsia="arial" w:hAnsi="arial" w:cs="arial"/>
          <w:b w:val="0"/>
          <w:i w:val="0"/>
          <w:strike w:val="0"/>
          <w:noProof w:val="0"/>
          <w:color w:val="000000"/>
          <w:position w:val="0"/>
          <w:sz w:val="20"/>
          <w:u w:val="none"/>
          <w:vertAlign w:val="baseline"/>
        </w:rPr>
        <w:t xml:space="preserve">. </w:t>
      </w:r>
      <w:bookmarkStart w:id="36" w:name="Bookmark_I68CCHP32SF8JW0050000400_2"/>
      <w:bookmarkEnd w:id="36"/>
      <w:r>
        <w:rPr>
          <w:rFonts w:ascii="arial" w:eastAsia="arial" w:hAnsi="arial" w:cs="arial"/>
          <w:b w:val="0"/>
          <w:i w:val="0"/>
          <w:strike w:val="0"/>
          <w:noProof w:val="0"/>
          <w:color w:val="000000"/>
          <w:position w:val="0"/>
          <w:sz w:val="20"/>
          <w:u w:val="none"/>
          <w:vertAlign w:val="baseline"/>
        </w:rPr>
        <w:t xml:space="preserve">We will not set aside a probation revocation for unreasonable delay unless the delay prejudiced the defendant. </w:t>
      </w:r>
      <w:bookmarkStart w:id="37" w:name="Bookmark_I68CCHP32SF8JW0040000400"/>
      <w:bookmarkEnd w:id="37"/>
      <w:hyperlink r:id="rId14" w:history="1">
        <w:r>
          <w:rPr>
            <w:rFonts w:ascii="arial" w:eastAsia="arial" w:hAnsi="arial" w:cs="arial"/>
            <w:b w:val="0"/>
            <w:i/>
            <w:strike w:val="0"/>
            <w:noProof w:val="0"/>
            <w:color w:val="0077CC"/>
            <w:position w:val="0"/>
            <w:sz w:val="20"/>
            <w:u w:val="single"/>
            <w:vertAlign w:val="baseline"/>
          </w:rPr>
          <w:t>Adler</w:t>
        </w:r>
      </w:hyperlink>
      <w:hyperlink r:id="rId14" w:history="1">
        <w:r>
          <w:rPr>
            <w:rFonts w:ascii="arial" w:eastAsia="arial" w:hAnsi="arial" w:cs="arial"/>
            <w:b w:val="0"/>
            <w:i/>
            <w:strike w:val="0"/>
            <w:noProof w:val="0"/>
            <w:color w:val="0077CC"/>
            <w:position w:val="0"/>
            <w:sz w:val="20"/>
            <w:u w:val="single"/>
            <w:vertAlign w:val="baseline"/>
          </w:rPr>
          <w:t>, 189 Ariz. at 284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14"/>
      <w:bookmarkEnd w:id="38"/>
      <w:bookmarkStart w:id="39" w:name="Bookmark_I68CCHP32HM6TG0020000400"/>
      <w:bookmarkEnd w:id="39"/>
      <w:r>
        <w:rPr>
          <w:rFonts w:ascii="arial" w:eastAsia="arial" w:hAnsi="arial" w:cs="arial"/>
          <w:b w:val="0"/>
          <w:i w:val="0"/>
          <w:strike w:val="0"/>
          <w:noProof w:val="0"/>
          <w:color w:val="000000"/>
          <w:position w:val="0"/>
          <w:sz w:val="20"/>
          <w:u w:val="none"/>
          <w:vertAlign w:val="baseline"/>
        </w:rPr>
        <w:t xml:space="preserve">P8 First, Bojorquez asserts "[w]aiting two years for a Probation Revocation Hearing is unreasonable." But reasonableness is determined not only by the duration of the delay but also by the reasons for the delay and the prejudice to the defendant. </w:t>
      </w:r>
      <w:bookmarkStart w:id="40" w:name="Bookmark_I68CCHP32HM6TG0010000400"/>
      <w:bookmarkEnd w:id="40"/>
      <w:hyperlink r:id="rId15" w:history="1">
        <w:r>
          <w:rPr>
            <w:rFonts w:ascii="arial" w:eastAsia="arial" w:hAnsi="arial" w:cs="arial"/>
            <w:b w:val="0"/>
            <w:i/>
            <w:strike w:val="0"/>
            <w:noProof w:val="0"/>
            <w:color w:val="0077CC"/>
            <w:position w:val="0"/>
            <w:sz w:val="20"/>
            <w:u w:val="single"/>
            <w:vertAlign w:val="baseline"/>
          </w:rPr>
          <w:t>Flemming</w:t>
        </w:r>
      </w:hyperlink>
      <w:hyperlink r:id="rId15" w:history="1">
        <w:r>
          <w:rPr>
            <w:rFonts w:ascii="arial" w:eastAsia="arial" w:hAnsi="arial" w:cs="arial"/>
            <w:b w:val="0"/>
            <w:i/>
            <w:strike w:val="0"/>
            <w:noProof w:val="0"/>
            <w:color w:val="0077CC"/>
            <w:position w:val="0"/>
            <w:sz w:val="20"/>
            <w:u w:val="single"/>
            <w:vertAlign w:val="baseline"/>
          </w:rPr>
          <w:t>, 184 Ariz. at 115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1" w:name="Bookmark_I68CCHP32HM6TG0030000400"/>
      <w:bookmarkEnd w:id="41"/>
      <w:hyperlink r:id="rId16" w:history="1">
        <w:r>
          <w:rPr>
            <w:rFonts w:ascii="arial" w:eastAsia="arial" w:hAnsi="arial" w:cs="arial"/>
            <w:b w:val="0"/>
            <w:i/>
            <w:strike w:val="0"/>
            <w:noProof w:val="0"/>
            <w:color w:val="0077CC"/>
            <w:position w:val="0"/>
            <w:sz w:val="20"/>
            <w:u w:val="single"/>
            <w:vertAlign w:val="baseline"/>
          </w:rPr>
          <w:t>Commonwealth v. Young</w:t>
        </w:r>
      </w:hyperlink>
      <w:hyperlink r:id="rId16" w:history="1">
        <w:r>
          <w:rPr>
            <w:rFonts w:ascii="arial" w:eastAsia="arial" w:hAnsi="arial" w:cs="arial"/>
            <w:b w:val="0"/>
            <w:i/>
            <w:strike w:val="0"/>
            <w:noProof w:val="0"/>
            <w:color w:val="0077CC"/>
            <w:position w:val="0"/>
            <w:sz w:val="20"/>
            <w:u w:val="single"/>
            <w:vertAlign w:val="baseline"/>
          </w:rPr>
          <w:t>, 262 Pa. Super. 253, 396 A.2d 741, 742 (Pa. Super. 1978)</w:t>
        </w:r>
      </w:hyperlink>
      <w:r>
        <w:rPr>
          <w:rFonts w:ascii="arial" w:eastAsia="arial" w:hAnsi="arial" w:cs="arial"/>
          <w:b w:val="0"/>
          <w:i w:val="0"/>
          <w:strike w:val="0"/>
          <w:noProof w:val="0"/>
          <w:color w:val="000000"/>
          <w:position w:val="0"/>
          <w:sz w:val="20"/>
          <w:u w:val="none"/>
          <w:vertAlign w:val="baseline"/>
        </w:rPr>
        <w:t xml:space="preserve"> (cited in </w:t>
      </w:r>
      <w:bookmarkStart w:id="42" w:name="Bookmark_I68CCHP32HM6TG0050000400"/>
      <w:bookmarkEnd w:id="42"/>
      <w:hyperlink r:id="rId15" w:history="1">
        <w:r>
          <w:rPr>
            <w:rFonts w:ascii="arial" w:eastAsia="arial" w:hAnsi="arial" w:cs="arial"/>
            <w:b w:val="0"/>
            <w:i/>
            <w:strike w:val="0"/>
            <w:noProof w:val="0"/>
            <w:color w:val="0077CC"/>
            <w:position w:val="0"/>
            <w:sz w:val="20"/>
            <w:u w:val="single"/>
            <w:vertAlign w:val="baseline"/>
          </w:rPr>
          <w:t>Flemming</w:t>
        </w:r>
      </w:hyperlink>
      <w:hyperlink r:id="rId15" w:history="1">
        <w:r>
          <w:rPr>
            <w:rFonts w:ascii="arial" w:eastAsia="arial" w:hAnsi="arial" w:cs="arial"/>
            <w:b w:val="0"/>
            <w:i/>
            <w:strike w:val="0"/>
            <w:noProof w:val="0"/>
            <w:color w:val="0077CC"/>
            <w:position w:val="0"/>
            <w:sz w:val="20"/>
            <w:u w:val="single"/>
            <w:vertAlign w:val="baseline"/>
          </w:rPr>
          <w:t>, 184 Ariz. at 115</w:t>
        </w:r>
      </w:hyperlink>
      <w:r>
        <w:rPr>
          <w:rFonts w:ascii="arial" w:eastAsia="arial" w:hAnsi="arial" w:cs="arial"/>
          <w:b w:val="0"/>
          <w:i w:val="0"/>
          <w:strike w:val="0"/>
          <w:noProof w:val="0"/>
          <w:color w:val="000000"/>
          <w:position w:val="0"/>
          <w:sz w:val="20"/>
          <w:u w:val="none"/>
          <w:vertAlign w:val="baseline"/>
        </w:rPr>
        <w:t>) ("The requirement of reasonable promptness is not a prophylactic rule, violation of which is determined solely by the length of time between the conviction and the hearing. . . . Instead, the question is whether the delay was reasonable under the circumstances of the specific case.").</w:t>
      </w:r>
    </w:p>
    <w:p>
      <w:pPr>
        <w:keepNext w:val="0"/>
        <w:spacing w:before="240" w:after="0" w:line="260" w:lineRule="atLeast"/>
        <w:ind w:left="0" w:right="0" w:firstLine="0"/>
        <w:jc w:val="both"/>
      </w:pPr>
      <w:bookmarkStart w:id="43" w:name="Bookmark_para_15"/>
      <w:bookmarkEnd w:id="43"/>
      <w:bookmarkStart w:id="44" w:name="Bookmark_I68CCHP42D6MXY0030000400"/>
      <w:bookmarkEnd w:id="44"/>
      <w:r>
        <w:rPr>
          <w:rFonts w:ascii="arial" w:eastAsia="arial" w:hAnsi="arial" w:cs="arial"/>
          <w:b w:val="0"/>
          <w:i w:val="0"/>
          <w:strike w:val="0"/>
          <w:noProof w:val="0"/>
          <w:color w:val="000000"/>
          <w:position w:val="0"/>
          <w:sz w:val="20"/>
          <w:u w:val="none"/>
          <w:vertAlign w:val="baseline"/>
        </w:rPr>
        <w:t xml:space="preserve">P9 In claiming unreasonableness, Bojorquez asserts the superior court failed to abide by the timing requirement of </w:t>
      </w:r>
      <w:hyperlink r:id="rId17" w:history="1">
        <w:r>
          <w:rPr>
            <w:rFonts w:ascii="arial" w:eastAsia="arial" w:hAnsi="arial" w:cs="arial"/>
            <w:b w:val="0"/>
            <w:i/>
            <w:strike w:val="0"/>
            <w:noProof w:val="0"/>
            <w:color w:val="0077CC"/>
            <w:position w:val="0"/>
            <w:sz w:val="20"/>
            <w:u w:val="single"/>
            <w:vertAlign w:val="baseline"/>
          </w:rPr>
          <w:t>Arizona Rule of Criminal Procedure 27.8(b)(1)</w:t>
        </w:r>
      </w:hyperlink>
      <w:r>
        <w:rPr>
          <w:rFonts w:ascii="arial" w:eastAsia="arial" w:hAnsi="arial" w:cs="arial"/>
          <w:b w:val="0"/>
          <w:i w:val="0"/>
          <w:strike w:val="0"/>
          <w:noProof w:val="0"/>
          <w:color w:val="000000"/>
          <w:position w:val="0"/>
          <w:sz w:val="20"/>
          <w:u w:val="none"/>
          <w:vertAlign w:val="baseline"/>
        </w:rPr>
        <w:t xml:space="preserve">. But the Rule directs that "[t]he court must hold a hearing . . . no more than 20 days after the revocation arraignment, </w:t>
      </w:r>
      <w:r>
        <w:rPr>
          <w:rFonts w:ascii="arial" w:eastAsia="arial" w:hAnsi="arial" w:cs="arial"/>
          <w:b w:val="0"/>
          <w:i/>
          <w:strike w:val="0"/>
          <w:noProof w:val="0"/>
          <w:color w:val="000000"/>
          <w:position w:val="0"/>
          <w:sz w:val="20"/>
          <w:u w:val="none"/>
          <w:vertAlign w:val="baseline"/>
        </w:rPr>
        <w:t>unless the probationer in writing or on the record requests, and the court agrees, to set the hearing for another date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Ariz. R. Crim. P. 27.8(b)(1)</w:t>
        </w:r>
      </w:hyperlink>
      <w:r>
        <w:rPr>
          <w:rFonts w:ascii="arial" w:eastAsia="arial" w:hAnsi="arial" w:cs="arial"/>
          <w:b w:val="0"/>
          <w:i w:val="0"/>
          <w:strike w:val="0"/>
          <w:noProof w:val="0"/>
          <w:color w:val="000000"/>
          <w:position w:val="0"/>
          <w:sz w:val="20"/>
          <w:u w:val="none"/>
          <w:vertAlign w:val="baseline"/>
        </w:rPr>
        <w:t xml:space="preserve"> (emphasis added). Thus, the Rule itself provides an exception to the timing requirement if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there are "reasons for the delay." </w:t>
      </w:r>
      <w:r>
        <w:rPr>
          <w:rFonts w:ascii="arial" w:eastAsia="arial" w:hAnsi="arial" w:cs="arial"/>
          <w:b w:val="0"/>
          <w:i/>
          <w:strike w:val="0"/>
          <w:noProof w:val="0"/>
          <w:color w:val="000000"/>
          <w:position w:val="0"/>
          <w:sz w:val="20"/>
          <w:u w:val="none"/>
          <w:vertAlign w:val="baseline"/>
        </w:rPr>
        <w:t xml:space="preserve">See </w:t>
      </w:r>
      <w:bookmarkStart w:id="45" w:name="Bookmark_I68CCHP42D6MXY0020000400"/>
      <w:bookmarkEnd w:id="45"/>
      <w:hyperlink r:id="rId15" w:history="1">
        <w:r>
          <w:rPr>
            <w:rFonts w:ascii="arial" w:eastAsia="arial" w:hAnsi="arial" w:cs="arial"/>
            <w:b w:val="0"/>
            <w:i/>
            <w:strike w:val="0"/>
            <w:noProof w:val="0"/>
            <w:color w:val="0077CC"/>
            <w:position w:val="0"/>
            <w:sz w:val="20"/>
            <w:u w:val="single"/>
            <w:vertAlign w:val="baseline"/>
          </w:rPr>
          <w:t>Flemming</w:t>
        </w:r>
      </w:hyperlink>
      <w:hyperlink r:id="rId15" w:history="1">
        <w:r>
          <w:rPr>
            <w:rFonts w:ascii="arial" w:eastAsia="arial" w:hAnsi="arial" w:cs="arial"/>
            <w:b w:val="0"/>
            <w:i/>
            <w:strike w:val="0"/>
            <w:noProof w:val="0"/>
            <w:color w:val="0077CC"/>
            <w:position w:val="0"/>
            <w:sz w:val="20"/>
            <w:u w:val="single"/>
            <w:vertAlign w:val="baseline"/>
          </w:rPr>
          <w:t>, 184 Ariz. at 115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16"/>
      <w:bookmarkEnd w:id="46"/>
      <w:r>
        <w:rPr>
          <w:rFonts w:ascii="arial" w:eastAsia="arial" w:hAnsi="arial" w:cs="arial"/>
          <w:b w:val="0"/>
          <w:i w:val="0"/>
          <w:strike w:val="0"/>
          <w:noProof w:val="0"/>
          <w:color w:val="000000"/>
          <w:position w:val="0"/>
          <w:sz w:val="20"/>
          <w:u w:val="none"/>
          <w:vertAlign w:val="baseline"/>
        </w:rPr>
        <w:t>P10 Next, Bojorquez makes little argument that the "reasons for the delay" should warrant the dismissal of the revocation petition. Instead, he contends only that "the prosecution has the burden to prove a valid and important reason for the delay" and that the State "could have made a reasonably good faith effort" to obtain Bojorquez's presence.</w:t>
      </w:r>
    </w:p>
    <w:p>
      <w:pPr>
        <w:keepNext w:val="0"/>
        <w:spacing w:before="200" w:after="0" w:line="260" w:lineRule="atLeast"/>
        <w:ind w:left="0" w:right="0" w:firstLine="0"/>
        <w:jc w:val="both"/>
      </w:pPr>
      <w:bookmarkStart w:id="47" w:name="Bookmark_para_17"/>
      <w:bookmarkEnd w:id="47"/>
      <w:r>
        <w:rPr>
          <w:rFonts w:ascii="arial" w:eastAsia="arial" w:hAnsi="arial" w:cs="arial"/>
          <w:b w:val="0"/>
          <w:i w:val="0"/>
          <w:strike w:val="0"/>
          <w:noProof w:val="0"/>
          <w:color w:val="000000"/>
          <w:position w:val="0"/>
          <w:sz w:val="20"/>
          <w:u w:val="none"/>
          <w:vertAlign w:val="baseline"/>
        </w:rPr>
        <w:t>P11 This argument is meritless. It is undisputed that Bojorquez requested multiple continuances, including at the conference immediately preceding the violation hearing. Indeed, as the State identifies in its brief, "[F]rom the point at which the hearing was supposed to take place, the delay was either directly attributable to the defense or agreed to by the defense." And Bojorquez offers no argument or evidence to rebut the State's claim that it was "ready to proceed at every hearing, telephonically or otherwise."</w:t>
      </w:r>
    </w:p>
    <w:p>
      <w:pPr>
        <w:keepNext w:val="0"/>
        <w:spacing w:before="240" w:after="0" w:line="260" w:lineRule="atLeast"/>
        <w:ind w:left="0" w:right="0" w:firstLine="0"/>
        <w:jc w:val="both"/>
      </w:pPr>
      <w:bookmarkStart w:id="48" w:name="Bookmark_para_18"/>
      <w:bookmarkEnd w:id="48"/>
      <w:bookmarkStart w:id="49" w:name="Bookmark_I68CCHP42D6MXY0050000400"/>
      <w:bookmarkEnd w:id="49"/>
      <w:bookmarkStart w:id="50" w:name="Bookmark_I27F388V1NR00006TK10000Y"/>
      <w:bookmarkEnd w:id="50"/>
      <w:bookmarkStart w:id="51" w:name="Bookmark_I27F388V6FS00006TK100011"/>
      <w:bookmarkEnd w:id="51"/>
      <w:bookmarkStart w:id="52" w:name="Bookmark_I68CCHP428T4R70010000400"/>
      <w:bookmarkEnd w:id="52"/>
      <w:r>
        <w:rPr>
          <w:rFonts w:ascii="arial" w:eastAsia="arial" w:hAnsi="arial" w:cs="arial"/>
          <w:b w:val="0"/>
          <w:i w:val="0"/>
          <w:strike w:val="0"/>
          <w:noProof w:val="0"/>
          <w:color w:val="000000"/>
          <w:position w:val="0"/>
          <w:sz w:val="20"/>
          <w:u w:val="none"/>
          <w:vertAlign w:val="baseline"/>
        </w:rPr>
        <w:t xml:space="preserve">P12 Bojorquez relies on </w:t>
      </w:r>
      <w:bookmarkStart w:id="53" w:name="Bookmark_I68CCHP42D6MXY0040000400"/>
      <w:bookmarkEnd w:id="53"/>
      <w:hyperlink r:id="rId14" w:history="1">
        <w:r>
          <w:rPr>
            <w:rFonts w:ascii="arial" w:eastAsia="arial" w:hAnsi="arial" w:cs="arial"/>
            <w:b w:val="0"/>
            <w:i/>
            <w:strike w:val="0"/>
            <w:noProof w:val="0"/>
            <w:color w:val="0077CC"/>
            <w:position w:val="0"/>
            <w:sz w:val="20"/>
            <w:u w:val="single"/>
            <w:vertAlign w:val="baseline"/>
          </w:rPr>
          <w:t>Adler</w:t>
        </w:r>
      </w:hyperlink>
      <w:r>
        <w:rPr>
          <w:rFonts w:ascii="arial" w:eastAsia="arial" w:hAnsi="arial" w:cs="arial"/>
          <w:b w:val="0"/>
          <w:i w:val="0"/>
          <w:strike w:val="0"/>
          <w:noProof w:val="0"/>
          <w:color w:val="000000"/>
          <w:position w:val="0"/>
          <w:sz w:val="20"/>
          <w:u w:val="none"/>
          <w:vertAlign w:val="baseline"/>
        </w:rPr>
        <w:t xml:space="preserve">, arguing that delay was unreasonable here because "neither [the] rules, nor the Constitution, contemplates that probation revocation proceedings will begin after a lengthy prison term ends." </w:t>
      </w:r>
      <w:bookmarkStart w:id="54" w:name="Bookmark_I68CCHP42SF8K40010000400"/>
      <w:bookmarkEnd w:id="54"/>
      <w:hyperlink r:id="rId14" w:history="1">
        <w:r>
          <w:rPr>
            <w:rFonts w:ascii="arial" w:eastAsia="arial" w:hAnsi="arial" w:cs="arial"/>
            <w:b w:val="0"/>
            <w:i/>
            <w:strike w:val="0"/>
            <w:noProof w:val="0"/>
            <w:color w:val="0077CC"/>
            <w:position w:val="0"/>
            <w:sz w:val="20"/>
            <w:u w:val="single"/>
            <w:vertAlign w:val="baseline"/>
          </w:rPr>
          <w:t>Adler</w:t>
        </w:r>
      </w:hyperlink>
      <w:hyperlink r:id="rId14" w:history="1">
        <w:r>
          <w:rPr>
            <w:rFonts w:ascii="arial" w:eastAsia="arial" w:hAnsi="arial" w:cs="arial"/>
            <w:b w:val="0"/>
            <w:i/>
            <w:strike w:val="0"/>
            <w:noProof w:val="0"/>
            <w:color w:val="0077CC"/>
            <w:position w:val="0"/>
            <w:sz w:val="20"/>
            <w:u w:val="single"/>
            <w:vertAlign w:val="baseline"/>
          </w:rPr>
          <w:t>, 189 Ariz. at 284</w:t>
        </w:r>
      </w:hyperlink>
      <w:r>
        <w:rPr>
          <w:rFonts w:ascii="arial" w:eastAsia="arial" w:hAnsi="arial" w:cs="arial"/>
          <w:b w:val="0"/>
          <w:i w:val="0"/>
          <w:strike w:val="0"/>
          <w:noProof w:val="0"/>
          <w:color w:val="000000"/>
          <w:position w:val="0"/>
          <w:sz w:val="20"/>
          <w:u w:val="none"/>
          <w:vertAlign w:val="baseline"/>
        </w:rPr>
        <w:t xml:space="preserve"> (quoting </w:t>
      </w:r>
      <w:bookmarkStart w:id="55" w:name="Bookmark_I68CCHP42SF8K40030000400"/>
      <w:bookmarkEnd w:id="55"/>
      <w:hyperlink r:id="rId15" w:history="1">
        <w:r>
          <w:rPr>
            <w:rFonts w:ascii="arial" w:eastAsia="arial" w:hAnsi="arial" w:cs="arial"/>
            <w:b w:val="0"/>
            <w:i/>
            <w:strike w:val="0"/>
            <w:noProof w:val="0"/>
            <w:color w:val="0077CC"/>
            <w:position w:val="0"/>
            <w:sz w:val="20"/>
            <w:u w:val="single"/>
            <w:vertAlign w:val="baseline"/>
          </w:rPr>
          <w:t>Flemming</w:t>
        </w:r>
      </w:hyperlink>
      <w:hyperlink r:id="rId15" w:history="1">
        <w:r>
          <w:rPr>
            <w:rFonts w:ascii="arial" w:eastAsia="arial" w:hAnsi="arial" w:cs="arial"/>
            <w:b w:val="0"/>
            <w:i/>
            <w:strike w:val="0"/>
            <w:noProof w:val="0"/>
            <w:color w:val="0077CC"/>
            <w:position w:val="0"/>
            <w:sz w:val="20"/>
            <w:u w:val="single"/>
            <w:vertAlign w:val="baseline"/>
          </w:rPr>
          <w:t>, 184 Ariz. at 116-17</w:t>
        </w:r>
      </w:hyperlink>
      <w:r>
        <w:rPr>
          <w:rFonts w:ascii="arial" w:eastAsia="arial" w:hAnsi="arial" w:cs="arial"/>
          <w:b w:val="0"/>
          <w:i w:val="0"/>
          <w:strike w:val="0"/>
          <w:noProof w:val="0"/>
          <w:color w:val="000000"/>
          <w:position w:val="0"/>
          <w:sz w:val="20"/>
          <w:u w:val="none"/>
          <w:vertAlign w:val="baseline"/>
        </w:rPr>
        <w:t xml:space="preserve">). But the "reasons for the delay" factor of </w:t>
      </w:r>
      <w:bookmarkStart w:id="56" w:name="Bookmark_I68CCHP428T4R70010000400_2"/>
      <w:bookmarkEnd w:id="56"/>
      <w:bookmarkStart w:id="57" w:name="Bookmark_I68CCHP42D6MXY0050000400_2"/>
      <w:bookmarkEnd w:id="57"/>
      <w:bookmarkStart w:id="58" w:name="Bookmark_I68CCHP42SF8K40050000400"/>
      <w:bookmarkEnd w:id="58"/>
      <w:hyperlink r:id="rId14" w:history="1">
        <w:r>
          <w:rPr>
            <w:rFonts w:ascii="arial" w:eastAsia="arial" w:hAnsi="arial" w:cs="arial"/>
            <w:b w:val="0"/>
            <w:i/>
            <w:strike w:val="0"/>
            <w:noProof w:val="0"/>
            <w:color w:val="0077CC"/>
            <w:position w:val="0"/>
            <w:sz w:val="20"/>
            <w:u w:val="single"/>
            <w:vertAlign w:val="baseline"/>
          </w:rPr>
          <w:t>Adler</w:t>
        </w:r>
      </w:hyperlink>
      <w:r>
        <w:rPr>
          <w:rFonts w:ascii="arial" w:eastAsia="arial" w:hAnsi="arial" w:cs="arial"/>
          <w:b w:val="0"/>
          <w:i w:val="0"/>
          <w:strike w:val="0"/>
          <w:noProof w:val="0"/>
          <w:color w:val="000000"/>
          <w:position w:val="0"/>
          <w:sz w:val="20"/>
          <w:u w:val="none"/>
          <w:vertAlign w:val="baseline"/>
        </w:rPr>
        <w:t xml:space="preserve"> and </w:t>
      </w:r>
      <w:bookmarkStart w:id="59" w:name="Bookmark_I68CCHP428T4R70020000400"/>
      <w:bookmarkEnd w:id="59"/>
      <w:hyperlink r:id="rId15" w:history="1">
        <w:r>
          <w:rPr>
            <w:rFonts w:ascii="arial" w:eastAsia="arial" w:hAnsi="arial" w:cs="arial"/>
            <w:b w:val="0"/>
            <w:i/>
            <w:strike w:val="0"/>
            <w:noProof w:val="0"/>
            <w:color w:val="0077CC"/>
            <w:position w:val="0"/>
            <w:sz w:val="20"/>
            <w:u w:val="single"/>
            <w:vertAlign w:val="baseline"/>
          </w:rPr>
          <w:t>Flemming</w:t>
        </w:r>
      </w:hyperlink>
      <w:r>
        <w:rPr>
          <w:rFonts w:ascii="arial" w:eastAsia="arial" w:hAnsi="arial" w:cs="arial"/>
          <w:b w:val="0"/>
          <w:i w:val="0"/>
          <w:strike w:val="0"/>
          <w:noProof w:val="0"/>
          <w:color w:val="000000"/>
          <w:position w:val="0"/>
          <w:sz w:val="20"/>
          <w:u w:val="none"/>
          <w:vertAlign w:val="baseline"/>
        </w:rPr>
        <w:t xml:space="preserve"> distinguishes those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cases from this case. The defendants in those cases "requested a speedy disposition of the probation violation charges." </w:t>
      </w:r>
      <w:bookmarkStart w:id="60" w:name="Bookmark_I68CCHP428T4R70040000400"/>
      <w:bookmarkEnd w:id="60"/>
      <w:hyperlink r:id="rId14" w:history="1">
        <w:r>
          <w:rPr>
            <w:rFonts w:ascii="arial" w:eastAsia="arial" w:hAnsi="arial" w:cs="arial"/>
            <w:b w:val="0"/>
            <w:i/>
            <w:strike w:val="0"/>
            <w:noProof w:val="0"/>
            <w:color w:val="0077CC"/>
            <w:position w:val="0"/>
            <w:sz w:val="20"/>
            <w:u w:val="single"/>
            <w:vertAlign w:val="baseline"/>
          </w:rPr>
          <w:t>Adler</w:t>
        </w:r>
      </w:hyperlink>
      <w:hyperlink r:id="rId14" w:history="1">
        <w:r>
          <w:rPr>
            <w:rFonts w:ascii="arial" w:eastAsia="arial" w:hAnsi="arial" w:cs="arial"/>
            <w:b w:val="0"/>
            <w:i/>
            <w:strike w:val="0"/>
            <w:noProof w:val="0"/>
            <w:color w:val="0077CC"/>
            <w:position w:val="0"/>
            <w:sz w:val="20"/>
            <w:u w:val="single"/>
            <w:vertAlign w:val="baseline"/>
          </w:rPr>
          <w:t>, 189 Ariz. at 283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19"/>
      <w:bookmarkEnd w:id="61"/>
      <w:bookmarkStart w:id="62" w:name="Bookmark_I68CCHP42D6MY00020000400"/>
      <w:bookmarkEnd w:id="62"/>
      <w:r>
        <w:rPr>
          <w:rFonts w:ascii="arial" w:eastAsia="arial" w:hAnsi="arial" w:cs="arial"/>
          <w:b w:val="0"/>
          <w:i w:val="0"/>
          <w:strike w:val="0"/>
          <w:noProof w:val="0"/>
          <w:color w:val="000000"/>
          <w:position w:val="0"/>
          <w:sz w:val="20"/>
          <w:u w:val="none"/>
          <w:vertAlign w:val="baseline"/>
        </w:rPr>
        <w:t xml:space="preserve">P13 The record here contains no such request; it contains the opposite. </w:t>
      </w:r>
      <w:bookmarkStart w:id="63" w:name="Bookmark_I68CCHP42D6MY00040000400"/>
      <w:bookmarkEnd w:id="63"/>
      <w:r>
        <w:rPr>
          <w:rFonts w:ascii="arial" w:eastAsia="arial" w:hAnsi="arial" w:cs="arial"/>
          <w:b w:val="0"/>
          <w:i w:val="0"/>
          <w:strike w:val="0"/>
          <w:noProof w:val="0"/>
          <w:color w:val="000000"/>
          <w:position w:val="0"/>
          <w:sz w:val="20"/>
          <w:u w:val="none"/>
          <w:vertAlign w:val="baseline"/>
        </w:rPr>
        <w:t xml:space="preserve">Unlike </w:t>
      </w:r>
      <w:bookmarkStart w:id="64" w:name="Bookmark_I68CCHP42D6MY00010000400"/>
      <w:bookmarkEnd w:id="64"/>
      <w:hyperlink r:id="rId14" w:history="1">
        <w:r>
          <w:rPr>
            <w:rFonts w:ascii="arial" w:eastAsia="arial" w:hAnsi="arial" w:cs="arial"/>
            <w:b w:val="0"/>
            <w:i/>
            <w:strike w:val="0"/>
            <w:noProof w:val="0"/>
            <w:color w:val="0077CC"/>
            <w:position w:val="0"/>
            <w:sz w:val="20"/>
            <w:u w:val="single"/>
            <w:vertAlign w:val="baseline"/>
          </w:rPr>
          <w:t>Adler</w:t>
        </w:r>
      </w:hyperlink>
      <w:r>
        <w:rPr>
          <w:rFonts w:ascii="arial" w:eastAsia="arial" w:hAnsi="arial" w:cs="arial"/>
          <w:b w:val="0"/>
          <w:i w:val="0"/>
          <w:strike w:val="0"/>
          <w:noProof w:val="0"/>
          <w:color w:val="000000"/>
          <w:position w:val="0"/>
          <w:sz w:val="20"/>
          <w:u w:val="none"/>
          <w:vertAlign w:val="baseline"/>
        </w:rPr>
        <w:t xml:space="preserve">, this petition "has been hanging over [Bojorquez's] head for nearly two years" only because Bojorquez himself has taken steps to hold it there. </w:t>
      </w:r>
      <w:bookmarkStart w:id="65" w:name="Bookmark_I68CCHP42D6MY00040000400_2"/>
      <w:bookmarkEnd w:id="65"/>
      <w:r>
        <w:rPr>
          <w:rFonts w:ascii="arial" w:eastAsia="arial" w:hAnsi="arial" w:cs="arial"/>
          <w:b w:val="0"/>
          <w:i/>
          <w:strike w:val="0"/>
          <w:noProof w:val="0"/>
          <w:color w:val="000000"/>
          <w:position w:val="0"/>
          <w:sz w:val="20"/>
          <w:u w:val="none"/>
          <w:vertAlign w:val="baseline"/>
        </w:rPr>
        <w:t xml:space="preserve">Compare </w:t>
      </w:r>
      <w:bookmarkStart w:id="66" w:name="Bookmark_I68CCHP42D6MY00030000400"/>
      <w:bookmarkEnd w:id="66"/>
      <w:hyperlink r:id="rId14" w:history="1">
        <w:r>
          <w:rPr>
            <w:rFonts w:ascii="arial" w:eastAsia="arial" w:hAnsi="arial" w:cs="arial"/>
            <w:b w:val="0"/>
            <w:i/>
            <w:strike w:val="0"/>
            <w:noProof w:val="0"/>
            <w:color w:val="0077CC"/>
            <w:position w:val="0"/>
            <w:sz w:val="20"/>
            <w:u w:val="single"/>
            <w:vertAlign w:val="baseline"/>
          </w:rPr>
          <w:t>Adler</w:t>
        </w:r>
      </w:hyperlink>
      <w:hyperlink r:id="rId14" w:history="1">
        <w:r>
          <w:rPr>
            <w:rFonts w:ascii="arial" w:eastAsia="arial" w:hAnsi="arial" w:cs="arial"/>
            <w:b w:val="0"/>
            <w:i/>
            <w:strike w:val="0"/>
            <w:noProof w:val="0"/>
            <w:color w:val="0077CC"/>
            <w:position w:val="0"/>
            <w:sz w:val="20"/>
            <w:u w:val="single"/>
            <w:vertAlign w:val="baseline"/>
          </w:rPr>
          <w:t>, 189 Ariz. 280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with </w:t>
      </w:r>
      <w:bookmarkStart w:id="67" w:name="Bookmark_I68CCHP42D6MY00050000400"/>
      <w:bookmarkEnd w:id="67"/>
      <w:hyperlink r:id="rId18" w:history="1">
        <w:r>
          <w:rPr>
            <w:rFonts w:ascii="arial" w:eastAsia="arial" w:hAnsi="arial" w:cs="arial"/>
            <w:b w:val="0"/>
            <w:i/>
            <w:strike w:val="0"/>
            <w:noProof w:val="0"/>
            <w:color w:val="0077CC"/>
            <w:position w:val="0"/>
            <w:sz w:val="20"/>
            <w:u w:val="single"/>
            <w:vertAlign w:val="baseline"/>
          </w:rPr>
          <w:t>State v. McGhee</w:t>
        </w:r>
      </w:hyperlink>
      <w:hyperlink r:id="rId18" w:history="1">
        <w:r>
          <w:rPr>
            <w:rFonts w:ascii="arial" w:eastAsia="arial" w:hAnsi="arial" w:cs="arial"/>
            <w:b w:val="0"/>
            <w:i/>
            <w:strike w:val="0"/>
            <w:noProof w:val="0"/>
            <w:color w:val="0077CC"/>
            <w:position w:val="0"/>
            <w:sz w:val="20"/>
            <w:u w:val="single"/>
            <w:vertAlign w:val="baseline"/>
          </w:rPr>
          <w:t>, 1 CA-CR 16-0817, 2017 Ariz. App. Unpub. LEXIS 1028, 2017 WL 3184399, at *2, ¶¶ 9-10 (Ariz. App. July 27, 2017)</w:t>
        </w:r>
      </w:hyperlink>
      <w:r>
        <w:rPr>
          <w:rFonts w:ascii="arial" w:eastAsia="arial" w:hAnsi="arial" w:cs="arial"/>
          <w:b w:val="0"/>
          <w:i w:val="0"/>
          <w:strike w:val="0"/>
          <w:noProof w:val="0"/>
          <w:color w:val="000000"/>
          <w:position w:val="0"/>
          <w:sz w:val="20"/>
          <w:u w:val="none"/>
          <w:vertAlign w:val="baseline"/>
        </w:rPr>
        <w:t xml:space="preserve"> (mem. decision) (due process rights not violated when a defendant did not attempt "to have his probation violation adjudicated sooner").</w:t>
      </w:r>
    </w:p>
    <w:p>
      <w:pPr>
        <w:keepNext w:val="0"/>
        <w:spacing w:before="200" w:after="0" w:line="260" w:lineRule="atLeast"/>
        <w:ind w:left="0" w:right="0" w:firstLine="0"/>
        <w:jc w:val="both"/>
      </w:pPr>
      <w:bookmarkStart w:id="68" w:name="Bookmark_para_20"/>
      <w:bookmarkEnd w:id="68"/>
      <w:bookmarkStart w:id="69" w:name="Bookmark_I68CCHP42HM6TM0030000400"/>
      <w:bookmarkEnd w:id="69"/>
      <w:bookmarkStart w:id="70" w:name="Bookmark_I68CCHP42HM6TM0050000400"/>
      <w:bookmarkEnd w:id="70"/>
      <w:r>
        <w:rPr>
          <w:rFonts w:ascii="arial" w:eastAsia="arial" w:hAnsi="arial" w:cs="arial"/>
          <w:b w:val="0"/>
          <w:i w:val="0"/>
          <w:strike w:val="0"/>
          <w:noProof w:val="0"/>
          <w:color w:val="000000"/>
          <w:position w:val="0"/>
          <w:sz w:val="20"/>
          <w:u w:val="none"/>
          <w:vertAlign w:val="baseline"/>
        </w:rPr>
        <w:t xml:space="preserve">P14 Bojorquez also cites </w:t>
      </w:r>
      <w:bookmarkStart w:id="71" w:name="Bookmark_I68CCHP42HM6TM0020000400"/>
      <w:bookmarkEnd w:id="71"/>
      <w:hyperlink r:id="rId19" w:history="1">
        <w:r>
          <w:rPr>
            <w:rFonts w:ascii="arial" w:eastAsia="arial" w:hAnsi="arial" w:cs="arial"/>
            <w:b w:val="0"/>
            <w:i/>
            <w:strike w:val="0"/>
            <w:noProof w:val="0"/>
            <w:color w:val="0077CC"/>
            <w:position w:val="0"/>
            <w:sz w:val="20"/>
            <w:u w:val="single"/>
            <w:vertAlign w:val="baseline"/>
          </w:rPr>
          <w:t>State v. Fahringer</w:t>
        </w:r>
      </w:hyperlink>
      <w:hyperlink r:id="rId19" w:history="1">
        <w:r>
          <w:rPr>
            <w:rFonts w:ascii="arial" w:eastAsia="arial" w:hAnsi="arial" w:cs="arial"/>
            <w:b w:val="0"/>
            <w:i/>
            <w:strike w:val="0"/>
            <w:noProof w:val="0"/>
            <w:color w:val="0077CC"/>
            <w:position w:val="0"/>
            <w:sz w:val="20"/>
            <w:u w:val="single"/>
            <w:vertAlign w:val="baseline"/>
          </w:rPr>
          <w:t>, 136 Ariz. 414, 666 P.2d 514 (App. 1983)</w:t>
        </w:r>
      </w:hyperlink>
      <w:r>
        <w:rPr>
          <w:rFonts w:ascii="arial" w:eastAsia="arial" w:hAnsi="arial" w:cs="arial"/>
          <w:b w:val="0"/>
          <w:i w:val="0"/>
          <w:strike w:val="0"/>
          <w:noProof w:val="0"/>
          <w:color w:val="000000"/>
          <w:position w:val="0"/>
          <w:sz w:val="20"/>
          <w:u w:val="none"/>
          <w:vertAlign w:val="baseline"/>
        </w:rPr>
        <w:t xml:space="preserve">, arguing that the superior court abused its discretion—not by denying him a speedy disposition but by granting his requests for continuance. But </w:t>
      </w:r>
      <w:bookmarkStart w:id="72" w:name="Bookmark_I68CCHP42HM6TM0040000400"/>
      <w:bookmarkEnd w:id="72"/>
      <w:hyperlink r:id="rId19" w:history="1">
        <w:r>
          <w:rPr>
            <w:rFonts w:ascii="arial" w:eastAsia="arial" w:hAnsi="arial" w:cs="arial"/>
            <w:b w:val="0"/>
            <w:i/>
            <w:strike w:val="0"/>
            <w:noProof w:val="0"/>
            <w:color w:val="0077CC"/>
            <w:position w:val="0"/>
            <w:sz w:val="20"/>
            <w:u w:val="single"/>
            <w:vertAlign w:val="baseline"/>
          </w:rPr>
          <w:t>Fahringer</w:t>
        </w:r>
      </w:hyperlink>
      <w:bookmarkStart w:id="73" w:name="Bookmark_I27F388TSPD00006TK10000V"/>
      <w:bookmarkEnd w:id="73"/>
      <w:bookmarkStart w:id="74" w:name="Bookmark_I68CCHP42HM6TW0010000400"/>
      <w:bookmarkEnd w:id="74"/>
      <w:r>
        <w:rPr>
          <w:rFonts w:ascii="arial" w:eastAsia="arial" w:hAnsi="arial" w:cs="arial"/>
          <w:b w:val="0"/>
          <w:i w:val="0"/>
          <w:strike w:val="0"/>
          <w:noProof w:val="0"/>
          <w:color w:val="000000"/>
          <w:position w:val="0"/>
          <w:sz w:val="20"/>
          <w:u w:val="none"/>
          <w:vertAlign w:val="baseline"/>
        </w:rPr>
        <w:t xml:space="preserve"> does not apply here. In </w:t>
      </w:r>
      <w:bookmarkStart w:id="75" w:name="Bookmark_I68CCHP42HM6TW0010000400_2"/>
      <w:bookmarkEnd w:id="75"/>
      <w:bookmarkStart w:id="76" w:name="Bookmark_I68CCHP42HM6TM0050000400_2"/>
      <w:bookmarkEnd w:id="76"/>
      <w:bookmarkStart w:id="77" w:name="Bookmark_I68CCHP42HM6TM0030000400_2"/>
      <w:bookmarkEnd w:id="77"/>
      <w:bookmarkStart w:id="78" w:name="Bookmark_I68CCHP428T4RG0010000400"/>
      <w:bookmarkEnd w:id="78"/>
      <w:hyperlink r:id="rId19" w:history="1">
        <w:r>
          <w:rPr>
            <w:rFonts w:ascii="arial" w:eastAsia="arial" w:hAnsi="arial" w:cs="arial"/>
            <w:b w:val="0"/>
            <w:i/>
            <w:strike w:val="0"/>
            <w:noProof w:val="0"/>
            <w:color w:val="0077CC"/>
            <w:position w:val="0"/>
            <w:sz w:val="20"/>
            <w:u w:val="single"/>
            <w:vertAlign w:val="baseline"/>
          </w:rPr>
          <w:t>Fahringer</w:t>
        </w:r>
      </w:hyperlink>
      <w:r>
        <w:rPr>
          <w:rFonts w:ascii="arial" w:eastAsia="arial" w:hAnsi="arial" w:cs="arial"/>
          <w:b w:val="0"/>
          <w:i w:val="0"/>
          <w:strike w:val="0"/>
          <w:noProof w:val="0"/>
          <w:color w:val="000000"/>
          <w:position w:val="0"/>
          <w:sz w:val="20"/>
          <w:u w:val="none"/>
          <w:vertAlign w:val="baseline"/>
        </w:rPr>
        <w:t xml:space="preserve">, we held that the superior court abused its discretion by continuing a probation revocation hearing until after a separate trial, the date for which had not even been set. </w:t>
      </w:r>
      <w:bookmarkStart w:id="79" w:name="Bookmark_I68CCHP428T4RG0030000400"/>
      <w:bookmarkEnd w:id="79"/>
      <w:hyperlink r:id="rId19" w:history="1">
        <w:r>
          <w:rPr>
            <w:rFonts w:ascii="arial" w:eastAsia="arial" w:hAnsi="arial" w:cs="arial"/>
            <w:b w:val="0"/>
            <w:i/>
            <w:strike w:val="0"/>
            <w:noProof w:val="0"/>
            <w:color w:val="0077CC"/>
            <w:position w:val="0"/>
            <w:sz w:val="20"/>
            <w:u w:val="single"/>
            <w:vertAlign w:val="baseline"/>
          </w:rPr>
          <w:t>136 Ariz. at 415</w:t>
        </w:r>
      </w:hyperlink>
      <w:r>
        <w:rPr>
          <w:rFonts w:ascii="arial" w:eastAsia="arial" w:hAnsi="arial" w:cs="arial"/>
          <w:b w:val="0"/>
          <w:i w:val="0"/>
          <w:strike w:val="0"/>
          <w:noProof w:val="0"/>
          <w:color w:val="000000"/>
          <w:position w:val="0"/>
          <w:sz w:val="20"/>
          <w:u w:val="none"/>
          <w:vertAlign w:val="baseline"/>
        </w:rPr>
        <w:t xml:space="preserve">. By contrast, as the State points out here, "there remained a finite date set in the future, unlike in </w:t>
      </w:r>
      <w:bookmarkStart w:id="80" w:name="Bookmark_I68CCHP42HM6TW0010000400_3"/>
      <w:bookmarkEnd w:id="80"/>
      <w:bookmarkStart w:id="81" w:name="Bookmark_I68CCHP428T4RG0050000400"/>
      <w:bookmarkEnd w:id="81"/>
      <w:hyperlink r:id="rId19" w:history="1">
        <w:r>
          <w:rPr>
            <w:rFonts w:ascii="arial" w:eastAsia="arial" w:hAnsi="arial" w:cs="arial"/>
            <w:b w:val="0"/>
            <w:i/>
            <w:strike w:val="0"/>
            <w:noProof w:val="0"/>
            <w:color w:val="0077CC"/>
            <w:position w:val="0"/>
            <w:sz w:val="20"/>
            <w:u w:val="single"/>
            <w:vertAlign w:val="baseline"/>
          </w:rPr>
          <w:t>Fahringer</w:t>
        </w:r>
      </w:hyperlink>
      <w:r>
        <w:rPr>
          <w:rFonts w:ascii="arial" w:eastAsia="arial" w:hAnsi="arial" w:cs="arial"/>
          <w:b w:val="0"/>
          <w:i w:val="0"/>
          <w:strike w:val="0"/>
          <w:noProof w:val="0"/>
          <w:color w:val="000000"/>
          <w:position w:val="0"/>
          <w:sz w:val="20"/>
          <w:u w:val="none"/>
          <w:vertAlign w:val="baseline"/>
        </w:rPr>
        <w:t xml:space="preserve"> where a future trial date had not been set at all." We decline to extend </w:t>
      </w:r>
      <w:bookmarkStart w:id="82" w:name="Bookmark_I68CCHP42HM6TW0020000400"/>
      <w:bookmarkEnd w:id="82"/>
      <w:hyperlink r:id="rId19" w:history="1">
        <w:r>
          <w:rPr>
            <w:rFonts w:ascii="arial" w:eastAsia="arial" w:hAnsi="arial" w:cs="arial"/>
            <w:b w:val="0"/>
            <w:i/>
            <w:strike w:val="0"/>
            <w:noProof w:val="0"/>
            <w:color w:val="0077CC"/>
            <w:position w:val="0"/>
            <w:sz w:val="20"/>
            <w:u w:val="single"/>
            <w:vertAlign w:val="baseline"/>
          </w:rPr>
          <w:t>Fahringer</w:t>
        </w:r>
      </w:hyperlink>
      <w:r>
        <w:rPr>
          <w:rFonts w:ascii="arial" w:eastAsia="arial" w:hAnsi="arial" w:cs="arial"/>
          <w:b w:val="0"/>
          <w:i w:val="0"/>
          <w:strike w:val="0"/>
          <w:noProof w:val="0"/>
          <w:color w:val="000000"/>
          <w:position w:val="0"/>
          <w:sz w:val="20"/>
          <w:u w:val="none"/>
          <w:vertAlign w:val="baseline"/>
        </w:rPr>
        <w:t xml:space="preserve"> to mean that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grant of continuance to accommodate another proceeding is an abuse of discretion.</w:t>
      </w:r>
    </w:p>
    <w:p>
      <w:pPr>
        <w:keepNext w:val="0"/>
        <w:spacing w:before="240" w:after="0" w:line="260" w:lineRule="atLeast"/>
        <w:ind w:left="0" w:right="0" w:firstLine="0"/>
        <w:jc w:val="both"/>
      </w:pPr>
      <w:bookmarkStart w:id="83" w:name="Bookmark_para_21"/>
      <w:bookmarkEnd w:id="83"/>
      <w:bookmarkStart w:id="84" w:name="Bookmark_I68CCHP42HM6TW0050000400"/>
      <w:bookmarkEnd w:id="84"/>
      <w:r>
        <w:rPr>
          <w:rFonts w:ascii="arial" w:eastAsia="arial" w:hAnsi="arial" w:cs="arial"/>
          <w:b w:val="0"/>
          <w:i w:val="0"/>
          <w:strike w:val="0"/>
          <w:noProof w:val="0"/>
          <w:color w:val="000000"/>
          <w:position w:val="0"/>
          <w:sz w:val="20"/>
          <w:u w:val="none"/>
          <w:vertAlign w:val="baseline"/>
        </w:rPr>
        <w:t>P15 Finally, Bojorquez argues that the State's delay prejudiced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him by eliminating the opportunity for the Arizona and federal prison sentences to run concurrently. To be sure, Arizona courts have recognized this lost opportunity as sufficient prejudice to justify the dismissal of a revocation petition. </w:t>
      </w:r>
      <w:r>
        <w:rPr>
          <w:rFonts w:ascii="arial" w:eastAsia="arial" w:hAnsi="arial" w:cs="arial"/>
          <w:b w:val="0"/>
          <w:i/>
          <w:strike w:val="0"/>
          <w:noProof w:val="0"/>
          <w:color w:val="000000"/>
          <w:position w:val="0"/>
          <w:sz w:val="20"/>
          <w:u w:val="none"/>
          <w:vertAlign w:val="baseline"/>
        </w:rPr>
        <w:t xml:space="preserve">See, e.g., </w:t>
      </w:r>
      <w:bookmarkStart w:id="85" w:name="Bookmark_I68CCHP42HM6TW0040000400"/>
      <w:bookmarkEnd w:id="85"/>
      <w:hyperlink r:id="rId14" w:history="1">
        <w:r>
          <w:rPr>
            <w:rFonts w:ascii="arial" w:eastAsia="arial" w:hAnsi="arial" w:cs="arial"/>
            <w:b w:val="0"/>
            <w:i/>
            <w:strike w:val="0"/>
            <w:noProof w:val="0"/>
            <w:color w:val="0077CC"/>
            <w:position w:val="0"/>
            <w:sz w:val="20"/>
            <w:u w:val="single"/>
            <w:vertAlign w:val="baseline"/>
          </w:rPr>
          <w:t>Adler</w:t>
        </w:r>
      </w:hyperlink>
      <w:hyperlink r:id="rId14" w:history="1">
        <w:r>
          <w:rPr>
            <w:rFonts w:ascii="arial" w:eastAsia="arial" w:hAnsi="arial" w:cs="arial"/>
            <w:b w:val="0"/>
            <w:i/>
            <w:strike w:val="0"/>
            <w:noProof w:val="0"/>
            <w:color w:val="0077CC"/>
            <w:position w:val="0"/>
            <w:sz w:val="20"/>
            <w:u w:val="single"/>
            <w:vertAlign w:val="baseline"/>
          </w:rPr>
          <w:t>, 189 Ariz. at 284-85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6" w:name="Bookmark_I68CCHP42SF8KD0010000400"/>
      <w:bookmarkEnd w:id="86"/>
      <w:hyperlink r:id="rId15" w:history="1">
        <w:r>
          <w:rPr>
            <w:rFonts w:ascii="arial" w:eastAsia="arial" w:hAnsi="arial" w:cs="arial"/>
            <w:b w:val="0"/>
            <w:i/>
            <w:strike w:val="0"/>
            <w:noProof w:val="0"/>
            <w:color w:val="0077CC"/>
            <w:position w:val="0"/>
            <w:sz w:val="20"/>
            <w:u w:val="single"/>
            <w:vertAlign w:val="baseline"/>
          </w:rPr>
          <w:t>Flemming</w:t>
        </w:r>
      </w:hyperlink>
      <w:hyperlink r:id="rId15" w:history="1">
        <w:r>
          <w:rPr>
            <w:rFonts w:ascii="arial" w:eastAsia="arial" w:hAnsi="arial" w:cs="arial"/>
            <w:b w:val="0"/>
            <w:i/>
            <w:strike w:val="0"/>
            <w:noProof w:val="0"/>
            <w:color w:val="0077CC"/>
            <w:position w:val="0"/>
            <w:sz w:val="20"/>
            <w:u w:val="single"/>
            <w:vertAlign w:val="baseline"/>
          </w:rPr>
          <w:t>, 184 Ariz. at 116-17</w:t>
        </w:r>
      </w:hyperlink>
      <w:r>
        <w:rPr>
          <w:rFonts w:ascii="arial" w:eastAsia="arial" w:hAnsi="arial" w:cs="arial"/>
          <w:b w:val="0"/>
          <w:i w:val="0"/>
          <w:strike w:val="0"/>
          <w:noProof w:val="0"/>
          <w:color w:val="000000"/>
          <w:position w:val="0"/>
          <w:sz w:val="20"/>
          <w:u w:val="none"/>
          <w:vertAlign w:val="baseline"/>
        </w:rPr>
        <w:t xml:space="preserve"> (sentences from different counties). But the superior court did not abuse its discretion by determining that this lost opportunity, alone, does not outweigh the other reasonableness factors.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87" w:name="Bookmark_para_22"/>
      <w:bookmarkEnd w:id="87"/>
      <w:r>
        <w:rPr>
          <w:rFonts w:ascii="arial" w:eastAsia="arial" w:hAnsi="arial" w:cs="arial"/>
          <w:b w:val="0"/>
          <w:i w:val="0"/>
          <w:strike w:val="0"/>
          <w:noProof w:val="0"/>
          <w:color w:val="000000"/>
          <w:position w:val="0"/>
          <w:sz w:val="20"/>
          <w:u w:val="none"/>
          <w:vertAlign w:val="baseline"/>
        </w:rPr>
        <w:t>P16 We affirm.</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7" w:name="Bookmark_fnpara_1"/>
      <w:bookmarkEnd w:id="17"/>
      <w:bookmarkStart w:id="18" w:name="Bookmark_I68CCHP32N1RBB0020000400"/>
      <w:bookmarkEnd w:id="18"/>
      <w:r>
        <w:rPr>
          <w:rFonts w:ascii="arial" w:eastAsia="arial" w:hAnsi="arial" w:cs="arial"/>
          <w:b w:val="0"/>
          <w:i w:val="0"/>
          <w:strike w:val="0"/>
          <w:noProof w:val="0"/>
          <w:color w:val="000000"/>
          <w:position w:val="0"/>
          <w:sz w:val="18"/>
          <w:u w:val="none"/>
          <w:vertAlign w:val="baseline"/>
        </w:rPr>
        <w:t xml:space="preserve">We view the facts in the light most favorable to sustaining the judgment. </w:t>
      </w:r>
      <w:bookmarkStart w:id="19" w:name="Bookmark_I68CCHP32N1RBB0010000400"/>
      <w:bookmarkEnd w:id="19"/>
      <w:hyperlink r:id="rId1" w:history="1">
        <w:r>
          <w:rPr>
            <w:rFonts w:ascii="arial" w:eastAsia="arial" w:hAnsi="arial" w:cs="arial"/>
            <w:b w:val="0"/>
            <w:i/>
            <w:strike w:val="0"/>
            <w:noProof w:val="0"/>
            <w:color w:val="0077CC"/>
            <w:position w:val="0"/>
            <w:sz w:val="18"/>
            <w:u w:val="single"/>
            <w:vertAlign w:val="baseline"/>
          </w:rPr>
          <w:t>State v. Mendoza</w:t>
        </w:r>
      </w:hyperlink>
      <w:hyperlink r:id="rId1" w:history="1">
        <w:r>
          <w:rPr>
            <w:rFonts w:ascii="arial" w:eastAsia="arial" w:hAnsi="arial" w:cs="arial"/>
            <w:b w:val="0"/>
            <w:i/>
            <w:strike w:val="0"/>
            <w:noProof w:val="0"/>
            <w:color w:val="0077CC"/>
            <w:position w:val="0"/>
            <w:sz w:val="18"/>
            <w:u w:val="single"/>
            <w:vertAlign w:val="baseline"/>
          </w:rPr>
          <w:t>, 248 Ariz. 6, 11, 455 P.3d 705, ¶ 1, n.1 (App. 2019)</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Bojorquez, 2023 Ariz. App. Unpub. LEXIS 526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262-S4Y1-DYB7-W0MH-00000-00&amp;context=1519360" TargetMode="External" /><Relationship Id="rId11" Type="http://schemas.openxmlformats.org/officeDocument/2006/relationships/hyperlink" Target="https://advance.lexis.com/api/document?collection=statutes-legislation&amp;id=urn:contentItem:5DMR-0VN1-6MP7-F04N-00000-00&amp;context=1519360" TargetMode="External" /><Relationship Id="rId12" Type="http://schemas.openxmlformats.org/officeDocument/2006/relationships/hyperlink" Target="https://advance.lexis.com/api/document?collection=statutes-legislation&amp;id=urn:contentItem:5DP0-HTN1-6MP7-F4YJ-00000-00&amp;context=1519360" TargetMode="External" /><Relationship Id="rId13" Type="http://schemas.openxmlformats.org/officeDocument/2006/relationships/hyperlink" Target="https://advance.lexis.com/api/document?collection=statutes-legislation&amp;id=urn:contentItem:5DP0-HVH1-6MP7-F4K5-00000-00&amp;context=1519360" TargetMode="External" /><Relationship Id="rId14" Type="http://schemas.openxmlformats.org/officeDocument/2006/relationships/hyperlink" Target="https://advance.lexis.com/api/document?collection=cases&amp;id=urn:contentItem:3RJN-3N50-0039-441K-00000-00&amp;context=1519360" TargetMode="External" /><Relationship Id="rId15" Type="http://schemas.openxmlformats.org/officeDocument/2006/relationships/hyperlink" Target="https://advance.lexis.com/api/document?collection=cases&amp;id=urn:contentItem:3RX3-W8P0-003F-T039-00000-00&amp;context=1519360" TargetMode="External" /><Relationship Id="rId16" Type="http://schemas.openxmlformats.org/officeDocument/2006/relationships/hyperlink" Target="https://advance.lexis.com/api/document?collection=cases&amp;id=urn:contentItem:3RRJ-58R0-0054-F038-00000-00&amp;context=1519360" TargetMode="External" /><Relationship Id="rId17" Type="http://schemas.openxmlformats.org/officeDocument/2006/relationships/hyperlink" Target="https://advance.lexis.com/api/document?collection=statutes-legislation&amp;id=urn:contentItem:67BT-5FG3-GXF6-816F-00000-00&amp;context=1519360" TargetMode="External" /><Relationship Id="rId18" Type="http://schemas.openxmlformats.org/officeDocument/2006/relationships/hyperlink" Target="https://advance.lexis.com/api/document?collection=cases&amp;id=urn:contentItem:5P3Y-JY01-DY0T-J0P5-00000-00&amp;context=1519360" TargetMode="External" /><Relationship Id="rId19" Type="http://schemas.openxmlformats.org/officeDocument/2006/relationships/hyperlink" Target="https://advance.lexis.com/api/document?collection=cases&amp;id=urn:contentItem:3RX3-YD00-003F-T4G4-00000-00&amp;context=1519360" TargetMode="Externa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BX-RKH1-JJ1H-X4D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XJK-0KC1-F016-S4K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Bojorquez, 2023 Ariz. App. Unpub. LEXIS 526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Doc::urn:hlct:5|contextualFeaturePermID::1519360</vt:lpwstr>
  </property>
  <property fmtid="{D5CDD505-2E9C-101B-9397-08002B2CF9AE}" pid="5" name="UserPermID">
    <vt:lpwstr>urn:user:PA186186283</vt:lpwstr>
  </property>
</Properties>
</file>