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Jersey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2023, Decided; June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 No. 20-223 (GC)</w:t>
      </w:r>
    </w:p>
    <w:p>
      <w:pPr>
        <w:keepNext w:val="0"/>
        <w:spacing w:after="0" w:line="240" w:lineRule="atLeast"/>
        <w:ind w:right="0"/>
        <w:jc w:val="both"/>
      </w:pPr>
      <w:bookmarkStart w:id="0" w:name="Bookmark_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105378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4045139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KHAMRAJ LALL,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06/07/2023</w:t>
      </w:r>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error coram nobis, supervised release, writ petition, ineffective, coram, nobis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THOMAS S. KEARNEY, LEAD ATTORNEY, OFFICE OF THE U.S. ATTORNEY, DISTRICT OF NEW JERSEY, NEWARK, NJ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GEORGETTE CASTNER,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GEORGETTE CASTNER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single"/>
          <w:vertAlign w:val="baseline"/>
        </w:rPr>
        <w:t>CASTNER, District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Petitioner, Khamraj Lall ("Petitioner" or "Lall"), is a federal prisoner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with a petition for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4). Petitioner is currently incarcerated at USP Canaan in Waymart, Pennsylvania. He seeks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related to a criminal conviction against him in the United States District Court for the District of Puerto Rico. More specifically, Petitioner claims that his counsel in his District of Puerto Rico case was ineffective in relation to Petitioner pleading guilty to an indictment related to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In 2016, Petitioner was sentenced to one year of imprisonment to be followed by three years of supervised release in that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4 at 1).</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In March 2020, a transfer of jurisdiction related to Petitioner's District of Puerto Rico conviction was filed pursuant to </w:t>
      </w:r>
      <w:hyperlink r:id="rId10" w:history="1">
        <w:r>
          <w:rPr>
            <w:rFonts w:ascii="arial" w:eastAsia="arial" w:hAnsi="arial" w:cs="arial"/>
            <w:b w:val="0"/>
            <w:i/>
            <w:strike w:val="0"/>
            <w:noProof w:val="0"/>
            <w:color w:val="0077CC"/>
            <w:position w:val="0"/>
            <w:sz w:val="20"/>
            <w:u w:val="single"/>
            <w:vertAlign w:val="baseline"/>
          </w:rPr>
          <w:t>18 U.S.C. § 3605</w:t>
        </w:r>
      </w:hyperlink>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this Court. That document stated as follows:</w:t>
      </w:r>
    </w:p>
    <w:p>
      <w:pPr>
        <w:keepNext w:val="0"/>
        <w:spacing w:before="200" w:after="0" w:line="260" w:lineRule="atLeast"/>
        <w:ind w:left="40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IT IS HEREBY ORDERED that pursuant to </w:t>
      </w:r>
      <w:hyperlink r:id="rId10" w:history="1">
        <w:r>
          <w:rPr>
            <w:rFonts w:ascii="arial" w:eastAsia="arial" w:hAnsi="arial" w:cs="arial"/>
            <w:b w:val="0"/>
            <w:i/>
            <w:strike w:val="0"/>
            <w:noProof w:val="0"/>
            <w:color w:val="0077CC"/>
            <w:position w:val="0"/>
            <w:sz w:val="20"/>
            <w:u w:val="single"/>
            <w:vertAlign w:val="baseline"/>
          </w:rPr>
          <w:t>18 U.S.C. 3605</w:t>
        </w:r>
      </w:hyperlink>
      <w:r>
        <w:rPr>
          <w:rFonts w:ascii="arial" w:eastAsia="arial" w:hAnsi="arial" w:cs="arial"/>
          <w:b w:val="0"/>
          <w:i w:val="0"/>
          <w:strike w:val="0"/>
          <w:noProof w:val="0"/>
          <w:color w:val="000000"/>
          <w:position w:val="0"/>
          <w:sz w:val="20"/>
          <w:u w:val="none"/>
          <w:vertAlign w:val="baseline"/>
        </w:rPr>
        <w:t xml:space="preserve"> the jurisdiction of the probationer or supervised releasee named above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 transferred with the records of this Court to the United States District court for the </w:t>
      </w:r>
      <w:r>
        <w:rPr>
          <w:rFonts w:ascii="arial" w:eastAsia="arial" w:hAnsi="arial" w:cs="arial"/>
          <w:b w:val="0"/>
          <w:i w:val="0"/>
          <w:strike w:val="0"/>
          <w:noProof w:val="0"/>
          <w:color w:val="000000"/>
          <w:position w:val="0"/>
          <w:sz w:val="20"/>
          <w:u w:val="single"/>
          <w:vertAlign w:val="baseline"/>
        </w:rPr>
        <w:t>District of New Jersey</w:t>
      </w:r>
      <w:r>
        <w:rPr>
          <w:rFonts w:ascii="arial" w:eastAsia="arial" w:hAnsi="arial" w:cs="arial"/>
          <w:b w:val="0"/>
          <w:i w:val="0"/>
          <w:strike w:val="0"/>
          <w:noProof w:val="0"/>
          <w:color w:val="000000"/>
          <w:position w:val="0"/>
          <w:sz w:val="20"/>
          <w:u w:val="none"/>
          <w:vertAlign w:val="baseline"/>
        </w:rPr>
        <w:t xml:space="preserve"> upon that Court's acceptance of jurisdiction. This Court hereby expressly consents that the period of probation or supervised release may be changed by the District Court to which this transfer is made without further inquiry of this court.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1 at 1).</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Petitioner is currently serving a period of incarceration related to a criminal conviction in this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Crim. No. 17-343). In October, 2022, Petitioner filed a petition for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in this criminal action though related to 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District of Puerto Rico conviction. He claims his guilty plea in the District of Puerto Rico should be vacated because he was provided ineffective assistance of counsel as his plea was unknowing, involuntary, and wholly unintelligent.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4 at 2-3). The government subsequently filed a response in opposition to Petitioner's petition for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9). Petitioner thereafter filed a reply in support of his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11). The matter is now ready to be adjudicated.</w:t>
      </w:r>
    </w:p>
    <w:p>
      <w:pPr>
        <w:keepNext w:val="0"/>
        <w:spacing w:before="240" w:after="0" w:line="260" w:lineRule="atLeast"/>
        <w:ind w:left="0" w:right="0" w:firstLine="0"/>
        <w:jc w:val="both"/>
      </w:pPr>
      <w:bookmarkStart w:id="15" w:name="Bookmark_para_7"/>
      <w:bookmarkEnd w:id="15"/>
      <w:bookmarkStart w:id="16" w:name="Bookmark_I68H70NW28T4480020000400"/>
      <w:bookmarkEnd w:id="16"/>
      <w:bookmarkStart w:id="17" w:name="Bookmark_I68H70NX2HM6KB0020000400"/>
      <w:bookmarkEnd w:id="17"/>
      <w:bookmarkStart w:id="18" w:name="Bookmark_I68H70NX2HM6KB0040000400"/>
      <w:bookmarkEnd w:id="18"/>
      <w:r>
        <w:rPr>
          <w:rFonts w:ascii="arial" w:eastAsia="arial" w:hAnsi="arial" w:cs="arial"/>
          <w:b w:val="0"/>
          <w:i w:val="0"/>
          <w:strike w:val="0"/>
          <w:noProof w:val="0"/>
          <w:color w:val="000000"/>
          <w:position w:val="0"/>
          <w:sz w:val="20"/>
          <w:u w:val="none"/>
          <w:vertAlign w:val="baseline"/>
        </w:rPr>
        <w:t xml:space="preserve">"The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an 'infrequent' and 'extraordinary' form of relief that is reserved for 'exceptional circumstances.'" </w:t>
      </w:r>
      <w:bookmarkStart w:id="19" w:name="Bookmark_I68H70NW28T4480010000400"/>
      <w:bookmarkEnd w:id="19"/>
      <w:hyperlink r:id="rId11" w:history="1">
        <w:r>
          <w:rPr>
            <w:rFonts w:ascii="arial" w:eastAsia="arial" w:hAnsi="arial" w:cs="arial"/>
            <w:b w:val="0"/>
            <w:i/>
            <w:strike w:val="0"/>
            <w:noProof w:val="0"/>
            <w:color w:val="0077CC"/>
            <w:position w:val="0"/>
            <w:sz w:val="20"/>
            <w:u w:val="single"/>
            <w:vertAlign w:val="baseline"/>
          </w:rPr>
          <w:t>United States v. Babalola</w:t>
        </w:r>
      </w:hyperlink>
      <w:hyperlink r:id="rId11" w:history="1">
        <w:r>
          <w:rPr>
            <w:rFonts w:ascii="arial" w:eastAsia="arial" w:hAnsi="arial" w:cs="arial"/>
            <w:b w:val="0"/>
            <w:i/>
            <w:strike w:val="0"/>
            <w:noProof w:val="0"/>
            <w:color w:val="0077CC"/>
            <w:position w:val="0"/>
            <w:sz w:val="20"/>
            <w:u w:val="single"/>
            <w:vertAlign w:val="baseline"/>
          </w:rPr>
          <w:t>, 248 F. App'x 409, 411 (3d Cir. 2007)</w:t>
        </w:r>
      </w:hyperlink>
      <w:r>
        <w:rPr>
          <w:rFonts w:ascii="arial" w:eastAsia="arial" w:hAnsi="arial" w:cs="arial"/>
          <w:b w:val="0"/>
          <w:i w:val="0"/>
          <w:strike w:val="0"/>
          <w:noProof w:val="0"/>
          <w:color w:val="000000"/>
          <w:position w:val="0"/>
          <w:sz w:val="20"/>
          <w:u w:val="none"/>
          <w:vertAlign w:val="baseline"/>
        </w:rPr>
        <w:t xml:space="preserve"> (citing </w:t>
      </w:r>
      <w:bookmarkStart w:id="20" w:name="Bookmark_I68H70NW28T4480030000400"/>
      <w:bookmarkEnd w:id="20"/>
      <w:hyperlink r:id="rId12" w:history="1">
        <w:r>
          <w:rPr>
            <w:rFonts w:ascii="arial" w:eastAsia="arial" w:hAnsi="arial" w:cs="arial"/>
            <w:b w:val="0"/>
            <w:i/>
            <w:strike w:val="0"/>
            <w:noProof w:val="0"/>
            <w:color w:val="0077CC"/>
            <w:position w:val="0"/>
            <w:sz w:val="20"/>
            <w:u w:val="single"/>
            <w:vertAlign w:val="baseline"/>
          </w:rPr>
          <w:t>Carlisle v. United States</w:t>
        </w:r>
      </w:hyperlink>
      <w:hyperlink r:id="rId12" w:history="1">
        <w:r>
          <w:rPr>
            <w:rFonts w:ascii="arial" w:eastAsia="arial" w:hAnsi="arial" w:cs="arial"/>
            <w:b w:val="0"/>
            <w:i/>
            <w:strike w:val="0"/>
            <w:noProof w:val="0"/>
            <w:color w:val="0077CC"/>
            <w:position w:val="0"/>
            <w:sz w:val="20"/>
            <w:u w:val="single"/>
            <w:vertAlign w:val="baseline"/>
          </w:rPr>
          <w:t>, 517 U.S. 416, 429, 116 S. Ct. 1460, 134 L. Ed. 2d 613 (1996)</w:t>
        </w:r>
      </w:hyperlink>
      <w:r>
        <w:rPr>
          <w:rFonts w:ascii="arial" w:eastAsia="arial" w:hAnsi="arial" w:cs="arial"/>
          <w:b w:val="0"/>
          <w:i w:val="0"/>
          <w:strike w:val="0"/>
          <w:noProof w:val="0"/>
          <w:color w:val="000000"/>
          <w:position w:val="0"/>
          <w:sz w:val="20"/>
          <w:u w:val="none"/>
          <w:vertAlign w:val="baseline"/>
        </w:rPr>
        <w:t xml:space="preserve">; </w:t>
      </w:r>
      <w:bookmarkStart w:id="21" w:name="Bookmark_I68H70NW28T4480050000400"/>
      <w:bookmarkEnd w:id="21"/>
      <w:hyperlink r:id="rId13" w:history="1">
        <w:r>
          <w:rPr>
            <w:rFonts w:ascii="arial" w:eastAsia="arial" w:hAnsi="arial" w:cs="arial"/>
            <w:b w:val="0"/>
            <w:i/>
            <w:strike w:val="0"/>
            <w:noProof w:val="0"/>
            <w:color w:val="0077CC"/>
            <w:position w:val="0"/>
            <w:sz w:val="20"/>
            <w:u w:val="single"/>
            <w:vertAlign w:val="baseline"/>
          </w:rPr>
          <w:t>United States v. Stoneman</w:t>
        </w:r>
      </w:hyperlink>
      <w:hyperlink r:id="rId13" w:history="1">
        <w:r>
          <w:rPr>
            <w:rFonts w:ascii="arial" w:eastAsia="arial" w:hAnsi="arial" w:cs="arial"/>
            <w:b w:val="0"/>
            <w:i/>
            <w:strike w:val="0"/>
            <w:noProof w:val="0"/>
            <w:color w:val="0077CC"/>
            <w:position w:val="0"/>
            <w:sz w:val="20"/>
            <w:u w:val="single"/>
            <w:vertAlign w:val="baseline"/>
          </w:rPr>
          <w:t>, 870 F.2d 102, 106 (3d Cir. 1989)</w:t>
        </w:r>
      </w:hyperlink>
      <w:r>
        <w:rPr>
          <w:rFonts w:ascii="arial" w:eastAsia="arial" w:hAnsi="arial" w:cs="arial"/>
          <w:b w:val="0"/>
          <w:i w:val="0"/>
          <w:strike w:val="0"/>
          <w:noProof w:val="0"/>
          <w:color w:val="000000"/>
          <w:position w:val="0"/>
          <w:sz w:val="20"/>
          <w:u w:val="none"/>
          <w:vertAlign w:val="baseline"/>
        </w:rPr>
        <w:t xml:space="preserve">; </w:t>
      </w:r>
      <w:bookmarkStart w:id="22" w:name="Bookmark_I68H70NW2HM6K50020000400"/>
      <w:bookmarkEnd w:id="22"/>
      <w:hyperlink r:id="rId14" w:history="1">
        <w:r>
          <w:rPr>
            <w:rFonts w:ascii="arial" w:eastAsia="arial" w:hAnsi="arial" w:cs="arial"/>
            <w:b w:val="0"/>
            <w:i/>
            <w:strike w:val="0"/>
            <w:noProof w:val="0"/>
            <w:color w:val="0077CC"/>
            <w:position w:val="0"/>
            <w:sz w:val="20"/>
            <w:u w:val="single"/>
            <w:vertAlign w:val="baseline"/>
          </w:rPr>
          <w:t>United States v. Osser</w:t>
        </w:r>
      </w:hyperlink>
      <w:hyperlink r:id="rId14" w:history="1">
        <w:r>
          <w:rPr>
            <w:rFonts w:ascii="arial" w:eastAsia="arial" w:hAnsi="arial" w:cs="arial"/>
            <w:b w:val="0"/>
            <w:i/>
            <w:strike w:val="0"/>
            <w:noProof w:val="0"/>
            <w:color w:val="0077CC"/>
            <w:position w:val="0"/>
            <w:sz w:val="20"/>
            <w:u w:val="single"/>
            <w:vertAlign w:val="baseline"/>
          </w:rPr>
          <w:t>, 864 F.2d 1056, 1059 (3d Cir.1988)</w:t>
        </w:r>
      </w:hyperlink>
      <w:r>
        <w:rPr>
          <w:rFonts w:ascii="arial" w:eastAsia="arial" w:hAnsi="arial" w:cs="arial"/>
          <w:b w:val="0"/>
          <w:i w:val="0"/>
          <w:strike w:val="0"/>
          <w:noProof w:val="0"/>
          <w:color w:val="000000"/>
          <w:position w:val="0"/>
          <w:sz w:val="20"/>
          <w:u w:val="none"/>
          <w:vertAlign w:val="baseline"/>
        </w:rPr>
        <w:t xml:space="preserve">; </w:t>
      </w:r>
      <w:bookmarkStart w:id="23" w:name="Bookmark_I68H70NW2HM6K50040000400"/>
      <w:bookmarkEnd w:id="23"/>
      <w:hyperlink r:id="rId15" w:history="1">
        <w:r>
          <w:rPr>
            <w:rFonts w:ascii="arial" w:eastAsia="arial" w:hAnsi="arial" w:cs="arial"/>
            <w:b w:val="0"/>
            <w:i/>
            <w:strike w:val="0"/>
            <w:noProof w:val="0"/>
            <w:color w:val="0077CC"/>
            <w:position w:val="0"/>
            <w:sz w:val="20"/>
            <w:u w:val="single"/>
            <w:vertAlign w:val="baseline"/>
          </w:rPr>
          <w:t>United States v. Gross</w:t>
        </w:r>
      </w:hyperlink>
      <w:hyperlink r:id="rId15" w:history="1">
        <w:r>
          <w:rPr>
            <w:rFonts w:ascii="arial" w:eastAsia="arial" w:hAnsi="arial" w:cs="arial"/>
            <w:b w:val="0"/>
            <w:i/>
            <w:strike w:val="0"/>
            <w:noProof w:val="0"/>
            <w:color w:val="0077CC"/>
            <w:position w:val="0"/>
            <w:sz w:val="20"/>
            <w:u w:val="single"/>
            <w:vertAlign w:val="baseline"/>
          </w:rPr>
          <w:t>, 614 F.2d 365, 368 (3d Cir. 1980)</w:t>
        </w:r>
      </w:hyperlink>
      <w:r>
        <w:rPr>
          <w:rFonts w:ascii="arial" w:eastAsia="arial" w:hAnsi="arial" w:cs="arial"/>
          <w:b w:val="0"/>
          <w:i w:val="0"/>
          <w:strike w:val="0"/>
          <w:noProof w:val="0"/>
          <w:color w:val="000000"/>
          <w:position w:val="0"/>
          <w:sz w:val="20"/>
          <w:u w:val="none"/>
          <w:vertAlign w:val="baseline"/>
        </w:rPr>
        <w:t xml:space="preserve"> (per curiam)). </w:t>
      </w:r>
      <w:bookmarkStart w:id="24" w:name="Bookmark_I68H70NX2N1RFB0010000400"/>
      <w:bookmarkEnd w:id="24"/>
      <w:r>
        <w:rPr>
          <w:rFonts w:ascii="arial" w:eastAsia="arial" w:hAnsi="arial" w:cs="arial"/>
          <w:b w:val="0"/>
          <w:i w:val="0"/>
          <w:strike w:val="0"/>
          <w:noProof w:val="0"/>
          <w:color w:val="000000"/>
          <w:position w:val="0"/>
          <w:sz w:val="20"/>
          <w:u w:val="none"/>
          <w:vertAlign w:val="baseline"/>
        </w:rPr>
        <w:t xml:space="preserve">A petition for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used to attack allegedly invalid convictions which have continuing consequences, when the petitioner has completed serving his sentence and is no longer 'in custody' for purposes of </w:t>
      </w:r>
      <w:hyperlink r:id="rId16"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5" w:name="Bookmark_I68H70NX2HM6KB0010000400"/>
      <w:bookmarkEnd w:id="25"/>
      <w:hyperlink r:id="rId13" w:history="1">
        <w:r>
          <w:rPr>
            <w:rFonts w:ascii="arial" w:eastAsia="arial" w:hAnsi="arial" w:cs="arial"/>
            <w:b w:val="0"/>
            <w:i/>
            <w:strike w:val="0"/>
            <w:noProof w:val="0"/>
            <w:color w:val="0077CC"/>
            <w:position w:val="0"/>
            <w:sz w:val="20"/>
            <w:u w:val="single"/>
            <w:vertAlign w:val="baseline"/>
          </w:rPr>
          <w:t>Stoneman</w:t>
        </w:r>
      </w:hyperlink>
      <w:hyperlink r:id="rId13" w:history="1">
        <w:r>
          <w:rPr>
            <w:rFonts w:ascii="arial" w:eastAsia="arial" w:hAnsi="arial" w:cs="arial"/>
            <w:b w:val="0"/>
            <w:i/>
            <w:strike w:val="0"/>
            <w:noProof w:val="0"/>
            <w:color w:val="0077CC"/>
            <w:position w:val="0"/>
            <w:sz w:val="20"/>
            <w:u w:val="single"/>
            <w:vertAlign w:val="baseline"/>
          </w:rPr>
          <w:t>, 870 F.2d at 105-06</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petitioner must . . . show that (1) he is suffering from continuing consequences of the allegedly invalid conviction; (2) there was no remedy available at the time of trial; and that (3) sound reasons exist for failing to seek relief earlier." </w:t>
      </w:r>
      <w:bookmarkStart w:id="26" w:name="Bookmark_I68H70NX2HM6KB0030000400"/>
      <w:bookmarkEnd w:id="2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412</w:t>
        </w:r>
      </w:hyperlink>
      <w:r>
        <w:rPr>
          <w:rFonts w:ascii="arial" w:eastAsia="arial" w:hAnsi="arial" w:cs="arial"/>
          <w:b w:val="0"/>
          <w:i w:val="0"/>
          <w:strike w:val="0"/>
          <w:noProof w:val="0"/>
          <w:color w:val="000000"/>
          <w:position w:val="0"/>
          <w:sz w:val="20"/>
          <w:u w:val="none"/>
          <w:vertAlign w:val="baseline"/>
        </w:rPr>
        <w:t xml:space="preserve"> (internal quotation marks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citations omitted). </w:t>
      </w:r>
      <w:bookmarkStart w:id="27" w:name="Bookmark_I68H70NX2N1RFB0010000400_2"/>
      <w:bookmarkEnd w:id="27"/>
      <w:r>
        <w:rPr>
          <w:rFonts w:ascii="arial" w:eastAsia="arial" w:hAnsi="arial" w:cs="arial"/>
          <w:b w:val="0"/>
          <w:i w:val="0"/>
          <w:strike w:val="0"/>
          <w:noProof w:val="0"/>
          <w:color w:val="000000"/>
          <w:position w:val="0"/>
          <w:sz w:val="20"/>
          <w:u w:val="none"/>
          <w:vertAlign w:val="baseline"/>
        </w:rPr>
        <w:t xml:space="preserve">The burden is heavy, but not insurmountable; the United States Supreme Court has "reaffirmed the continued existence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in the appropriate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8" w:name="Bookmark_I68H70NX2HM6KB0050000400"/>
      <w:bookmarkEnd w:id="28"/>
      <w:hyperlink r:id="rId17" w:history="1">
        <w:r>
          <w:rPr>
            <w:rFonts w:ascii="arial" w:eastAsia="arial" w:hAnsi="arial" w:cs="arial"/>
            <w:b w:val="0"/>
            <w:i/>
            <w:strike w:val="0"/>
            <w:noProof w:val="0"/>
            <w:color w:val="0077CC"/>
            <w:position w:val="0"/>
            <w:sz w:val="20"/>
            <w:u w:val="single"/>
            <w:vertAlign w:val="baseline"/>
          </w:rPr>
          <w:t>United States v. Morgan</w:t>
        </w:r>
      </w:hyperlink>
      <w:hyperlink r:id="rId17" w:history="1">
        <w:r>
          <w:rPr>
            <w:rFonts w:ascii="arial" w:eastAsia="arial" w:hAnsi="arial" w:cs="arial"/>
            <w:b w:val="0"/>
            <w:i/>
            <w:strike w:val="0"/>
            <w:noProof w:val="0"/>
            <w:color w:val="0077CC"/>
            <w:position w:val="0"/>
            <w:sz w:val="20"/>
            <w:u w:val="single"/>
            <w:vertAlign w:val="baseline"/>
          </w:rPr>
          <w:t>, 346 U.S. 502, 511, 74 S. Ct. 247, 98 L. Ed. 248 (1954)</w:t>
        </w:r>
      </w:hyperlink>
      <w:r>
        <w:rPr>
          <w:rFonts w:ascii="arial" w:eastAsia="arial" w:hAnsi="arial" w:cs="arial"/>
          <w:b w:val="0"/>
          <w:i w:val="0"/>
          <w:strike w:val="0"/>
          <w:noProof w:val="0"/>
          <w:color w:val="000000"/>
          <w:position w:val="0"/>
          <w:sz w:val="20"/>
          <w:u w:val="none"/>
          <w:vertAlign w:val="baseline"/>
        </w:rPr>
        <w:t>) (footnote omitted).</w:t>
      </w:r>
    </w:p>
    <w:p>
      <w:pPr>
        <w:keepNext w:val="0"/>
        <w:spacing w:before="24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 xml:space="preserve">One argument that Respondent raises in its brief is that the District of New Jersey is not the proper forum for Petitioner to collaterally attack his District of Puerto Rico federal criminal conviction via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This Court agrees. As noted above, Petitioner's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petition relates to actions occurring related to the purported ineffective assistance of counsel prior to the transfer of jurisdiction under </w:t>
      </w:r>
      <w:hyperlink r:id="rId10" w:history="1">
        <w:r>
          <w:rPr>
            <w:rFonts w:ascii="arial" w:eastAsia="arial" w:hAnsi="arial" w:cs="arial"/>
            <w:b w:val="0"/>
            <w:i/>
            <w:strike w:val="0"/>
            <w:noProof w:val="0"/>
            <w:color w:val="0077CC"/>
            <w:position w:val="0"/>
            <w:sz w:val="20"/>
            <w:u w:val="single"/>
            <w:vertAlign w:val="baseline"/>
          </w:rPr>
          <w:t>§ 3605</w:t>
        </w:r>
      </w:hyperlink>
      <w:r>
        <w:rPr>
          <w:rFonts w:ascii="arial" w:eastAsia="arial" w:hAnsi="arial" w:cs="arial"/>
          <w:b w:val="0"/>
          <w:i w:val="0"/>
          <w:strike w:val="0"/>
          <w:noProof w:val="0"/>
          <w:color w:val="000000"/>
          <w:position w:val="0"/>
          <w:sz w:val="20"/>
          <w:u w:val="none"/>
          <w:vertAlign w:val="baseline"/>
        </w:rPr>
        <w:t xml:space="preserve"> on Petitioner's supervised release. </w:t>
      </w:r>
      <w:bookmarkStart w:id="30" w:name="Bookmark_I68H70NX2N1RFB0030000400"/>
      <w:bookmarkEnd w:id="30"/>
      <w:r>
        <w:rPr>
          <w:rFonts w:ascii="arial" w:eastAsia="arial" w:hAnsi="arial" w:cs="arial"/>
          <w:b w:val="0"/>
          <w:i w:val="0"/>
          <w:strike w:val="0"/>
          <w:noProof w:val="0"/>
          <w:color w:val="000000"/>
          <w:position w:val="0"/>
          <w:sz w:val="20"/>
          <w:u w:val="none"/>
          <w:vertAlign w:val="baseline"/>
        </w:rPr>
        <w:t>As one court has explained:</w:t>
      </w:r>
    </w:p>
    <w:p>
      <w:pPr>
        <w:keepNext w:val="0"/>
        <w:spacing w:before="200" w:after="0" w:line="260" w:lineRule="atLeast"/>
        <w:ind w:left="400" w:right="0" w:firstLine="0"/>
        <w:jc w:val="both"/>
      </w:pPr>
      <w:bookmarkStart w:id="31" w:name="Bookmark_para_9"/>
      <w:bookmarkEnd w:id="31"/>
      <w:bookmarkStart w:id="32" w:name="Bookmark_I68H70NX2N1RFB0030000400_2"/>
      <w:bookmarkEnd w:id="32"/>
      <w:bookmarkStart w:id="33" w:name="Bookmark_I68H70NX2N1RFB0050000400"/>
      <w:bookmarkEnd w:id="33"/>
      <w:r>
        <w:rPr>
          <w:rFonts w:ascii="arial" w:eastAsia="arial" w:hAnsi="arial" w:cs="arial"/>
          <w:b w:val="0"/>
          <w:i w:val="0"/>
          <w:strike w:val="0"/>
          <w:noProof w:val="0"/>
          <w:color w:val="000000"/>
          <w:position w:val="0"/>
          <w:sz w:val="20"/>
          <w:u w:val="none"/>
          <w:vertAlign w:val="baseline"/>
        </w:rPr>
        <w:t xml:space="preserve">transferor courts have addressed motions pertaining to pre-transfer matters filed after </w:t>
      </w:r>
      <w:hyperlink r:id="rId10" w:history="1">
        <w:r>
          <w:rPr>
            <w:rFonts w:ascii="arial" w:eastAsia="arial" w:hAnsi="arial" w:cs="arial"/>
            <w:b w:val="0"/>
            <w:i/>
            <w:strike w:val="0"/>
            <w:noProof w:val="0"/>
            <w:color w:val="0077CC"/>
            <w:position w:val="0"/>
            <w:sz w:val="20"/>
            <w:u w:val="single"/>
            <w:vertAlign w:val="baseline"/>
          </w:rPr>
          <w:t>§ 3605</w:t>
        </w:r>
      </w:hyperlink>
      <w:r>
        <w:rPr>
          <w:rFonts w:ascii="arial" w:eastAsia="arial" w:hAnsi="arial" w:cs="arial"/>
          <w:b w:val="0"/>
          <w:i w:val="0"/>
          <w:strike w:val="0"/>
          <w:noProof w:val="0"/>
          <w:color w:val="000000"/>
          <w:position w:val="0"/>
          <w:sz w:val="20"/>
          <w:u w:val="none"/>
          <w:vertAlign w:val="baseline"/>
        </w:rPr>
        <w:t xml:space="preserve"> transfers of supervised release jurisdiction. </w:t>
      </w:r>
      <w:r>
        <w:rPr>
          <w:rFonts w:ascii="arial" w:eastAsia="arial" w:hAnsi="arial" w:cs="arial"/>
          <w:b w:val="0"/>
          <w:i/>
          <w:strike w:val="0"/>
          <w:noProof w:val="0"/>
          <w:color w:val="000000"/>
          <w:position w:val="0"/>
          <w:sz w:val="20"/>
          <w:u w:val="none"/>
          <w:vertAlign w:val="baseline"/>
        </w:rPr>
        <w:t xml:space="preserve">See </w:t>
      </w:r>
      <w:bookmarkStart w:id="34" w:name="Bookmark_I68H70NX2N1RFB0020000400"/>
      <w:bookmarkEnd w:id="34"/>
      <w:hyperlink r:id="rId18" w:history="1">
        <w:r>
          <w:rPr>
            <w:rFonts w:ascii="arial" w:eastAsia="arial" w:hAnsi="arial" w:cs="arial"/>
            <w:b w:val="0"/>
            <w:i/>
            <w:strike w:val="0"/>
            <w:noProof w:val="0"/>
            <w:color w:val="0077CC"/>
            <w:position w:val="0"/>
            <w:sz w:val="20"/>
            <w:u w:val="single"/>
            <w:vertAlign w:val="baseline"/>
          </w:rPr>
          <w:t>United States v. Caicedo</w:t>
        </w:r>
      </w:hyperlink>
      <w:hyperlink r:id="rId18" w:history="1">
        <w:r>
          <w:rPr>
            <w:rFonts w:ascii="arial" w:eastAsia="arial" w:hAnsi="arial" w:cs="arial"/>
            <w:b w:val="0"/>
            <w:i/>
            <w:strike w:val="0"/>
            <w:noProof w:val="0"/>
            <w:color w:val="0077CC"/>
            <w:position w:val="0"/>
            <w:sz w:val="20"/>
            <w:u w:val="single"/>
            <w:vertAlign w:val="baseline"/>
          </w:rPr>
          <w:t>, 341 F. App'x 403, 403-04 (10th Cir. 2009)</w:t>
        </w:r>
      </w:hyperlink>
      <w:r>
        <w:rPr>
          <w:rFonts w:ascii="arial" w:eastAsia="arial" w:hAnsi="arial" w:cs="arial"/>
          <w:b w:val="0"/>
          <w:i w:val="0"/>
          <w:strike w:val="0"/>
          <w:noProof w:val="0"/>
          <w:color w:val="000000"/>
          <w:position w:val="0"/>
          <w:sz w:val="20"/>
          <w:u w:val="none"/>
          <w:vertAlign w:val="baseline"/>
        </w:rPr>
        <w:t xml:space="preserve"> (declining to issue a certificate of appealability for a </w:t>
      </w:r>
      <w:hyperlink r:id="rId16"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motion and agreeing with the district court that arguments relating to issues before transfer were untimely under </w:t>
      </w:r>
      <w:hyperlink r:id="rId16" w:history="1">
        <w:r>
          <w:rPr>
            <w:rFonts w:ascii="arial" w:eastAsia="arial" w:hAnsi="arial" w:cs="arial"/>
            <w:b w:val="0"/>
            <w:i/>
            <w:strike w:val="0"/>
            <w:noProof w:val="0"/>
            <w:color w:val="0077CC"/>
            <w:position w:val="0"/>
            <w:sz w:val="20"/>
            <w:u w:val="single"/>
            <w:vertAlign w:val="baseline"/>
          </w:rPr>
          <w:t>§ 2255(f)</w:t>
        </w:r>
      </w:hyperlink>
      <w:r>
        <w:rPr>
          <w:rFonts w:ascii="arial" w:eastAsia="arial" w:hAnsi="arial" w:cs="arial"/>
          <w:b w:val="0"/>
          <w:i w:val="0"/>
          <w:strike w:val="0"/>
          <w:noProof w:val="0"/>
          <w:color w:val="000000"/>
          <w:position w:val="0"/>
          <w:sz w:val="20"/>
          <w:u w:val="none"/>
          <w:vertAlign w:val="baseline"/>
        </w:rPr>
        <w:t xml:space="preserve"> while arguments pertaining to post-transfer issues needed to be raised before the transferee court). </w:t>
      </w:r>
      <w:bookmarkStart w:id="35" w:name="Bookmark_I68H70NX2N1RFB0050000400_2"/>
      <w:bookmarkEnd w:id="35"/>
      <w:bookmarkStart w:id="36" w:name="Bookmark_I68H70NX2N1RFB0040000400"/>
      <w:bookmarkEnd w:id="36"/>
      <w:hyperlink r:id="rId19" w:history="1">
        <w:r>
          <w:rPr>
            <w:rFonts w:ascii="arial" w:eastAsia="arial" w:hAnsi="arial" w:cs="arial"/>
            <w:b w:val="0"/>
            <w:i/>
            <w:strike w:val="0"/>
            <w:noProof w:val="0"/>
            <w:color w:val="0077CC"/>
            <w:position w:val="0"/>
            <w:sz w:val="20"/>
            <w:u w:val="single"/>
            <w:vertAlign w:val="baseline"/>
          </w:rPr>
          <w:t>Kloszewski v. United States</w:t>
        </w:r>
      </w:hyperlink>
      <w:hyperlink r:id="rId19" w:history="1">
        <w:r>
          <w:rPr>
            <w:rFonts w:ascii="arial" w:eastAsia="arial" w:hAnsi="arial" w:cs="arial"/>
            <w:b w:val="0"/>
            <w:i/>
            <w:strike w:val="0"/>
            <w:noProof w:val="0"/>
            <w:color w:val="0077CC"/>
            <w:position w:val="0"/>
            <w:sz w:val="20"/>
            <w:u w:val="single"/>
            <w:vertAlign w:val="baseline"/>
          </w:rPr>
          <w:t>, No. ST-91CR57-MU, 2006 U.S. Dist. LEXIS 39925, 2006 WL 1549115, at *2-3 (W.D.N.C. May 31, 2006)</w:t>
        </w:r>
      </w:hyperlink>
      <w:r>
        <w:rPr>
          <w:rFonts w:ascii="arial" w:eastAsia="arial" w:hAnsi="arial" w:cs="arial"/>
          <w:b w:val="0"/>
          <w:i w:val="0"/>
          <w:strike w:val="0"/>
          <w:noProof w:val="0"/>
          <w:color w:val="000000"/>
          <w:position w:val="0"/>
          <w:sz w:val="20"/>
          <w:u w:val="none"/>
          <w:vertAlign w:val="baseline"/>
        </w:rPr>
        <w:t xml:space="preserve"> (denying petition for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challenging an amended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judgment entered prior to </w:t>
      </w:r>
      <w:hyperlink r:id="rId10" w:history="1">
        <w:r>
          <w:rPr>
            <w:rFonts w:ascii="arial" w:eastAsia="arial" w:hAnsi="arial" w:cs="arial"/>
            <w:b w:val="0"/>
            <w:i/>
            <w:strike w:val="0"/>
            <w:noProof w:val="0"/>
            <w:color w:val="0077CC"/>
            <w:position w:val="0"/>
            <w:sz w:val="20"/>
            <w:u w:val="single"/>
            <w:vertAlign w:val="baseline"/>
          </w:rPr>
          <w:t>§ 3605</w:t>
        </w:r>
      </w:hyperlink>
      <w:r>
        <w:rPr>
          <w:rFonts w:ascii="arial" w:eastAsia="arial" w:hAnsi="arial" w:cs="arial"/>
          <w:b w:val="0"/>
          <w:i w:val="0"/>
          <w:strike w:val="0"/>
          <w:noProof w:val="0"/>
          <w:color w:val="000000"/>
          <w:position w:val="0"/>
          <w:sz w:val="20"/>
          <w:u w:val="none"/>
          <w:vertAlign w:val="baseline"/>
        </w:rPr>
        <w:t xml:space="preserve"> transfer). </w:t>
      </w:r>
      <w:bookmarkStart w:id="37" w:name="Bookmark_I68H70NX2D6NMC0020000400"/>
      <w:bookmarkEnd w:id="37"/>
      <w:r>
        <w:rPr>
          <w:rFonts w:ascii="arial" w:eastAsia="arial" w:hAnsi="arial" w:cs="arial"/>
          <w:b w:val="0"/>
          <w:i w:val="0"/>
          <w:strike w:val="0"/>
          <w:noProof w:val="0"/>
          <w:color w:val="000000"/>
          <w:position w:val="0"/>
          <w:sz w:val="20"/>
          <w:u w:val="none"/>
          <w:vertAlign w:val="baseline"/>
        </w:rPr>
        <w:t>Although Goddard appears to have omitted certain pages from his petition dated September 2, 2021, it is clear that he argues that the United States failed to charge him with an actual offense, which relates to an issue pre-dating the transfer of supervised release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Record No. 495, p. 2]</w:t>
      </w:r>
    </w:p>
    <w:p>
      <w:pPr>
        <w:keepNext w:val="0"/>
        <w:spacing w:before="240" w:after="0" w:line="260" w:lineRule="atLeast"/>
        <w:ind w:left="400" w:right="0" w:firstLine="0"/>
        <w:jc w:val="both"/>
      </w:pPr>
      <w:bookmarkStart w:id="38" w:name="Bookmark_para_10"/>
      <w:bookmarkEnd w:id="38"/>
      <w:bookmarkStart w:id="39" w:name="Bookmark_I68H70NX2D6NMC0020000400_2"/>
      <w:bookmarkEnd w:id="39"/>
      <w:r>
        <w:rPr>
          <w:rFonts w:ascii="arial" w:eastAsia="arial" w:hAnsi="arial" w:cs="arial"/>
          <w:b w:val="0"/>
          <w:i w:val="0"/>
          <w:strike w:val="0"/>
          <w:noProof w:val="0"/>
          <w:color w:val="000000"/>
          <w:position w:val="0"/>
          <w:sz w:val="20"/>
          <w:u w:val="none"/>
          <w:vertAlign w:val="baseline"/>
        </w:rPr>
        <w:t xml:space="preserve">Moreover, a writ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"can be filed only in the court where the alleged errors occurred because it is in that district where the records and government officials involved are located." </w:t>
      </w:r>
      <w:bookmarkStart w:id="40" w:name="Bookmark_I68H70NX2D6NMC0010000400"/>
      <w:bookmarkEnd w:id="40"/>
      <w:hyperlink r:id="rId20" w:history="1">
        <w:r>
          <w:rPr>
            <w:rFonts w:ascii="arial" w:eastAsia="arial" w:hAnsi="arial" w:cs="arial"/>
            <w:b w:val="0"/>
            <w:i/>
            <w:strike w:val="0"/>
            <w:noProof w:val="0"/>
            <w:color w:val="0077CC"/>
            <w:position w:val="0"/>
            <w:sz w:val="20"/>
            <w:u w:val="single"/>
            <w:vertAlign w:val="baseline"/>
          </w:rPr>
          <w:t>United States v. Sandles</w:t>
        </w:r>
      </w:hyperlink>
      <w:hyperlink r:id="rId20" w:history="1">
        <w:r>
          <w:rPr>
            <w:rFonts w:ascii="arial" w:eastAsia="arial" w:hAnsi="arial" w:cs="arial"/>
            <w:b w:val="0"/>
            <w:i/>
            <w:strike w:val="0"/>
            <w:noProof w:val="0"/>
            <w:color w:val="0077CC"/>
            <w:position w:val="0"/>
            <w:sz w:val="20"/>
            <w:u w:val="single"/>
            <w:vertAlign w:val="baseline"/>
          </w:rPr>
          <w:t>, 469 F.3d 508, 517 (6th Cir. 2006)</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41" w:name="Bookmark_I68H70NX2D6NMC0040000400"/>
      <w:bookmarkEnd w:id="41"/>
      <w:r>
        <w:rPr>
          <w:rFonts w:ascii="arial" w:eastAsia="arial" w:hAnsi="arial" w:cs="arial"/>
          <w:b w:val="0"/>
          <w:i w:val="0"/>
          <w:strike w:val="0"/>
          <w:noProof w:val="0"/>
          <w:color w:val="000000"/>
          <w:position w:val="0"/>
          <w:sz w:val="20"/>
          <w:u w:val="none"/>
          <w:vertAlign w:val="baseline"/>
        </w:rPr>
        <w:t xml:space="preserve">Here, the alleged errors appear to relate to the charge brought by the United States against the defendant in this district. Finally, the Court notes that the authority to grant a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in criminal cases derives from the </w:t>
      </w:r>
      <w:hyperlink r:id="rId21" w:history="1">
        <w:r>
          <w:rPr>
            <w:rFonts w:ascii="arial" w:eastAsia="arial" w:hAnsi="arial" w:cs="arial"/>
            <w:b w:val="0"/>
            <w:i/>
            <w:strike w:val="0"/>
            <w:noProof w:val="0"/>
            <w:color w:val="0077CC"/>
            <w:position w:val="0"/>
            <w:sz w:val="20"/>
            <w:u w:val="single"/>
            <w:vertAlign w:val="baseline"/>
          </w:rPr>
          <w:t>All Writs Act, 28 U.S.C. § 1651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2" w:name="Bookmark_I68H70NX2D6NMC0030000400"/>
      <w:bookmarkEnd w:id="42"/>
      <w:hyperlink r:id="rId22" w:history="1">
        <w:r>
          <w:rPr>
            <w:rFonts w:ascii="arial" w:eastAsia="arial" w:hAnsi="arial" w:cs="arial"/>
            <w:b w:val="0"/>
            <w:i/>
            <w:strike w:val="0"/>
            <w:noProof w:val="0"/>
            <w:color w:val="0077CC"/>
            <w:position w:val="0"/>
            <w:sz w:val="20"/>
            <w:u w:val="single"/>
            <w:vertAlign w:val="baseline"/>
          </w:rPr>
          <w:t>United States v. Johnson</w:t>
        </w:r>
      </w:hyperlink>
      <w:hyperlink r:id="rId22" w:history="1">
        <w:r>
          <w:rPr>
            <w:rFonts w:ascii="arial" w:eastAsia="arial" w:hAnsi="arial" w:cs="arial"/>
            <w:b w:val="0"/>
            <w:i/>
            <w:strike w:val="0"/>
            <w:noProof w:val="0"/>
            <w:color w:val="0077CC"/>
            <w:position w:val="0"/>
            <w:sz w:val="20"/>
            <w:u w:val="single"/>
            <w:vertAlign w:val="baseline"/>
          </w:rPr>
          <w:t>, 237 F.3d 751, 753 (6th Cir. 2001)</w:t>
        </w:r>
      </w:hyperlink>
      <w:r>
        <w:rPr>
          <w:rFonts w:ascii="arial" w:eastAsia="arial" w:hAnsi="arial" w:cs="arial"/>
          <w:b w:val="0"/>
          <w:i w:val="0"/>
          <w:strike w:val="0"/>
          <w:noProof w:val="0"/>
          <w:color w:val="000000"/>
          <w:position w:val="0"/>
          <w:sz w:val="20"/>
          <w:u w:val="none"/>
          <w:vertAlign w:val="baseline"/>
        </w:rPr>
        <w:t xml:space="preserve"> (citing </w:t>
      </w:r>
      <w:bookmarkStart w:id="43" w:name="Bookmark_I68H70NX2D6NMC0050000400"/>
      <w:bookmarkEnd w:id="43"/>
      <w:hyperlink r:id="rId17" w:history="1">
        <w:r>
          <w:rPr>
            <w:rFonts w:ascii="arial" w:eastAsia="arial" w:hAnsi="arial" w:cs="arial"/>
            <w:b w:val="0"/>
            <w:i/>
            <w:strike w:val="0"/>
            <w:noProof w:val="0"/>
            <w:color w:val="0077CC"/>
            <w:position w:val="0"/>
            <w:sz w:val="20"/>
            <w:u w:val="single"/>
            <w:vertAlign w:val="baseline"/>
          </w:rPr>
          <w:t>United States v. Morgan</w:t>
        </w:r>
      </w:hyperlink>
      <w:hyperlink r:id="rId17" w:history="1">
        <w:r>
          <w:rPr>
            <w:rFonts w:ascii="arial" w:eastAsia="arial" w:hAnsi="arial" w:cs="arial"/>
            <w:b w:val="0"/>
            <w:i/>
            <w:strike w:val="0"/>
            <w:noProof w:val="0"/>
            <w:color w:val="0077CC"/>
            <w:position w:val="0"/>
            <w:sz w:val="20"/>
            <w:u w:val="single"/>
            <w:vertAlign w:val="baseline"/>
          </w:rPr>
          <w:t>, 346 U.S. 502, 506, 74 S. Ct. 247, 98 L. Ed. 248 (1954)</w:t>
        </w:r>
      </w:hyperlink>
      <w:r>
        <w:rPr>
          <w:rFonts w:ascii="arial" w:eastAsia="arial" w:hAnsi="arial" w:cs="arial"/>
          <w:b w:val="0"/>
          <w:i w:val="0"/>
          <w:strike w:val="0"/>
          <w:noProof w:val="0"/>
          <w:color w:val="000000"/>
          <w:position w:val="0"/>
          <w:sz w:val="20"/>
          <w:u w:val="none"/>
          <w:vertAlign w:val="baseline"/>
        </w:rPr>
        <w:t xml:space="preserve">). </w:t>
      </w:r>
      <w:bookmarkStart w:id="44" w:name="Bookmark_I68H70NX2HM6KJ0030000400"/>
      <w:bookmarkEnd w:id="44"/>
      <w:r>
        <w:rPr>
          <w:rFonts w:ascii="arial" w:eastAsia="arial" w:hAnsi="arial" w:cs="arial"/>
          <w:b w:val="0"/>
          <w:i w:val="0"/>
          <w:strike w:val="0"/>
          <w:noProof w:val="0"/>
          <w:color w:val="000000"/>
          <w:position w:val="0"/>
          <w:sz w:val="20"/>
          <w:u w:val="none"/>
          <w:vertAlign w:val="baseline"/>
        </w:rPr>
        <w:t xml:space="preserve">The All Writs Act found in Title 28, unlike </w:t>
      </w:r>
      <w:hyperlink r:id="rId23" w:history="1">
        <w:r>
          <w:rPr>
            <w:rFonts w:ascii="arial" w:eastAsia="arial" w:hAnsi="arial" w:cs="arial"/>
            <w:b w:val="0"/>
            <w:i/>
            <w:strike w:val="0"/>
            <w:noProof w:val="0"/>
            <w:color w:val="0077CC"/>
            <w:position w:val="0"/>
            <w:sz w:val="20"/>
            <w:u w:val="single"/>
            <w:vertAlign w:val="baseline"/>
          </w:rPr>
          <w:t>18 U.S.C. § 3583</w:t>
        </w:r>
      </w:hyperlink>
      <w:r>
        <w:rPr>
          <w:rFonts w:ascii="arial" w:eastAsia="arial" w:hAnsi="arial" w:cs="arial"/>
          <w:b w:val="0"/>
          <w:i w:val="0"/>
          <w:strike w:val="0"/>
          <w:noProof w:val="0"/>
          <w:color w:val="000000"/>
          <w:position w:val="0"/>
          <w:sz w:val="20"/>
          <w:u w:val="none"/>
          <w:vertAlign w:val="baseline"/>
        </w:rPr>
        <w:t xml:space="preserve">, is not among the statutory provisions for which jurisdiction is automatically transferred by the terms of </w:t>
      </w:r>
      <w:hyperlink r:id="rId10" w:history="1">
        <w:r>
          <w:rPr>
            <w:rFonts w:ascii="arial" w:eastAsia="arial" w:hAnsi="arial" w:cs="arial"/>
            <w:b w:val="0"/>
            <w:i/>
            <w:strike w:val="0"/>
            <w:noProof w:val="0"/>
            <w:color w:val="0077CC"/>
            <w:position w:val="0"/>
            <w:sz w:val="20"/>
            <w:u w:val="single"/>
            <w:vertAlign w:val="baseline"/>
          </w:rPr>
          <w:t>§ 3605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3605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I68H70NX2HM6KJ0030000400_2"/>
      <w:bookmarkEnd w:id="45"/>
      <w:bookmarkStart w:id="46" w:name="Bookmark_I68H70NX2HM6KJ0020000400"/>
      <w:bookmarkEnd w:id="46"/>
      <w:hyperlink r:id="rId24" w:history="1">
        <w:r>
          <w:rPr>
            <w:rFonts w:ascii="arial" w:eastAsia="arial" w:hAnsi="arial" w:cs="arial"/>
            <w:b w:val="0"/>
            <w:i/>
            <w:strike w:val="0"/>
            <w:color w:val="0077CC"/>
            <w:sz w:val="20"/>
            <w:u w:val="single"/>
            <w:vertAlign w:val="baseline"/>
          </w:rPr>
          <w:t>United States v. Goddard</w:t>
        </w:r>
      </w:hyperlink>
      <w:hyperlink r:id="rId24" w:history="1">
        <w:r>
          <w:rPr>
            <w:rFonts w:ascii="arial" w:eastAsia="arial" w:hAnsi="arial" w:cs="arial"/>
            <w:b w:val="0"/>
            <w:i/>
            <w:strike w:val="0"/>
            <w:color w:val="0077CC"/>
            <w:sz w:val="20"/>
            <w:u w:val="single"/>
            <w:vertAlign w:val="baseline"/>
          </w:rPr>
          <w:t>, Crim. No. 07-134, 2021 U.S. Dist. LEXIS 175715, 2021 WL 4189606, at *1-2 (E.D. Ky. Sept. 14,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1"/>
      <w:bookmarkEnd w:id="47"/>
      <w:bookmarkStart w:id="48" w:name="Bookmark_I68H70NX2HM6KJ0050000400"/>
      <w:bookmarkEnd w:id="48"/>
      <w:r>
        <w:rPr>
          <w:rFonts w:ascii="arial" w:eastAsia="arial" w:hAnsi="arial" w:cs="arial"/>
          <w:b w:val="0"/>
          <w:i w:val="0"/>
          <w:strike w:val="0"/>
          <w:noProof w:val="0"/>
          <w:color w:val="000000"/>
          <w:position w:val="0"/>
          <w:sz w:val="20"/>
          <w:u w:val="none"/>
          <w:vertAlign w:val="baseline"/>
        </w:rPr>
        <w:t>Jurisdiction over the supervised release portion of Petitioner's District of Puerto Rico conviction does not change this Court's analysis that it is that District, as opposed to this Court, that is the proper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forum for Petitioner to seek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related to the purported ineffective assistance of counsel on that conviction in the first instance. </w:t>
      </w:r>
      <w:r>
        <w:rPr>
          <w:rFonts w:ascii="arial" w:eastAsia="arial" w:hAnsi="arial" w:cs="arial"/>
          <w:b w:val="0"/>
          <w:i/>
          <w:strike w:val="0"/>
          <w:noProof w:val="0"/>
          <w:color w:val="000000"/>
          <w:position w:val="0"/>
          <w:sz w:val="20"/>
          <w:u w:val="none"/>
          <w:vertAlign w:val="baseline"/>
        </w:rPr>
        <w:t xml:space="preserve">Cf. </w:t>
      </w:r>
      <w:bookmarkStart w:id="49" w:name="Bookmark_I68H70NX2HM6KJ0040000400"/>
      <w:bookmarkEnd w:id="49"/>
      <w:hyperlink r:id="rId25" w:history="1">
        <w:r>
          <w:rPr>
            <w:rFonts w:ascii="arial" w:eastAsia="arial" w:hAnsi="arial" w:cs="arial"/>
            <w:b w:val="0"/>
            <w:i/>
            <w:strike w:val="0"/>
            <w:noProof w:val="0"/>
            <w:color w:val="0077CC"/>
            <w:position w:val="0"/>
            <w:sz w:val="20"/>
            <w:u w:val="single"/>
            <w:vertAlign w:val="baseline"/>
          </w:rPr>
          <w:t>United States v. Cottom</w:t>
        </w:r>
      </w:hyperlink>
      <w:hyperlink r:id="rId25" w:history="1">
        <w:r>
          <w:rPr>
            <w:rFonts w:ascii="arial" w:eastAsia="arial" w:hAnsi="arial" w:cs="arial"/>
            <w:b w:val="0"/>
            <w:i/>
            <w:strike w:val="0"/>
            <w:noProof w:val="0"/>
            <w:color w:val="0077CC"/>
            <w:position w:val="0"/>
            <w:sz w:val="20"/>
            <w:u w:val="single"/>
            <w:vertAlign w:val="baseline"/>
          </w:rPr>
          <w:t>, Crim. No. 15-6054; Crim. No. 21-6067, 2021 U.S. Dist. LEXIS 135276, 2021 WL 3046643, at *3 (W.D.N.Y. July 20, 2021)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3605</w:t>
        </w:r>
      </w:hyperlink>
      <w:r>
        <w:rPr>
          <w:rFonts w:ascii="arial" w:eastAsia="arial" w:hAnsi="arial" w:cs="arial"/>
          <w:b w:val="0"/>
          <w:i w:val="0"/>
          <w:strike w:val="0"/>
          <w:noProof w:val="0"/>
          <w:color w:val="000000"/>
          <w:position w:val="0"/>
          <w:sz w:val="20"/>
          <w:u w:val="none"/>
          <w:vertAlign w:val="baseline"/>
        </w:rPr>
        <w:t xml:space="preserve"> expressly limits the Court to which jurisdiction over supervised release is transferred to the "exercise [of] all powers over the probationer or releasee that are permitted by this subchapter or </w:t>
      </w:r>
      <w:hyperlink r:id="rId26" w:history="1">
        <w:r>
          <w:rPr>
            <w:rFonts w:ascii="arial" w:eastAsia="arial" w:hAnsi="arial" w:cs="arial"/>
            <w:b w:val="0"/>
            <w:i/>
            <w:strike w:val="0"/>
            <w:noProof w:val="0"/>
            <w:color w:val="0077CC"/>
            <w:position w:val="0"/>
            <w:sz w:val="20"/>
            <w:u w:val="single"/>
            <w:vertAlign w:val="baseline"/>
          </w:rPr>
          <w:t>subchapter B</w:t>
        </w:r>
      </w:hyperlink>
      <w:r>
        <w:rPr>
          <w:rFonts w:ascii="arial" w:eastAsia="arial" w:hAnsi="arial" w:cs="arial"/>
          <w:b w:val="0"/>
          <w:i w:val="0"/>
          <w:strike w:val="0"/>
          <w:noProof w:val="0"/>
          <w:color w:val="000000"/>
          <w:position w:val="0"/>
          <w:sz w:val="20"/>
          <w:u w:val="none"/>
          <w:vertAlign w:val="baseline"/>
        </w:rPr>
        <w:t xml:space="preserve"> or </w:t>
      </w:r>
      <w:hyperlink r:id="rId27" w:history="1">
        <w:r>
          <w:rPr>
            <w:rFonts w:ascii="arial" w:eastAsia="arial" w:hAnsi="arial" w:cs="arial"/>
            <w:b w:val="0"/>
            <w:i/>
            <w:strike w:val="0"/>
            <w:noProof w:val="0"/>
            <w:color w:val="0077CC"/>
            <w:position w:val="0"/>
            <w:sz w:val="20"/>
            <w:u w:val="single"/>
            <w:vertAlign w:val="baseline"/>
          </w:rPr>
          <w:t>D of chapter 227</w:t>
        </w:r>
      </w:hyperlink>
      <w:r>
        <w:rPr>
          <w:rFonts w:ascii="arial" w:eastAsia="arial" w:hAnsi="arial" w:cs="arial"/>
          <w:b w:val="0"/>
          <w:i w:val="0"/>
          <w:strike w:val="0"/>
          <w:noProof w:val="0"/>
          <w:color w:val="000000"/>
          <w:position w:val="0"/>
          <w:sz w:val="20"/>
          <w:u w:val="none"/>
          <w:vertAlign w:val="baseline"/>
        </w:rPr>
        <w:t>." Such powers do not include consideration of a motion attacking a defendant's conviction or the imposition of his sentence. Nothing in the relevant statutory scheme supports the conclusion that this District is the appropriate forum to hear Defendant's challenges to his conviction and the imposition of his sentence.").</w:t>
      </w:r>
    </w:p>
    <w:p>
      <w:pPr>
        <w:keepNext w:val="0"/>
        <w:spacing w:before="200" w:after="0" w:line="260" w:lineRule="atLeast"/>
        <w:ind w:left="0" w:right="0" w:firstLine="0"/>
        <w:jc w:val="both"/>
      </w:pPr>
      <w:bookmarkStart w:id="50" w:name="Bookmark_para_12"/>
      <w:bookmarkEnd w:id="50"/>
      <w:r>
        <w:rPr>
          <w:rFonts w:ascii="arial" w:eastAsia="arial" w:hAnsi="arial" w:cs="arial"/>
          <w:b w:val="0"/>
          <w:i w:val="0"/>
          <w:strike w:val="0"/>
          <w:noProof w:val="0"/>
          <w:color w:val="000000"/>
          <w:position w:val="0"/>
          <w:sz w:val="20"/>
          <w:u w:val="none"/>
          <w:vertAlign w:val="baseline"/>
        </w:rPr>
        <w:t xml:space="preserve">Based on the above, given that the District of New Jersey is not the proper forum for Petitioner to seek relief related to the purported ineffective assistance of his counsel in his District of Puerto Rico criminal conviction, this Court will deny Petitioner's petition for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filed in this Court without prejudice.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Petitioner is of course free to seek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from that conviction in the District of Puerto Rico should he elect to do so. An appropriate Order will be entered.</w:t>
      </w:r>
      <w:r>
        <w:rPr>
          <w:rFonts w:ascii="arial" w:eastAsia="arial" w:hAnsi="arial" w:cs="arial"/>
          <w:b/>
          <w:i w:val="0"/>
          <w:strike w:val="0"/>
          <w:noProof w:val="0"/>
          <w:color w:val="000000"/>
          <w:position w:val="0"/>
          <w:sz w:val="20"/>
          <w:u w:val="none"/>
          <w:vertAlign w:val="baseline"/>
        </w:rPr>
        <w:t> [*7] </w:t>
      </w:r>
    </w:p>
    <w:p>
      <w:pPr>
        <w:keepNext w:val="0"/>
        <w:spacing w:before="200" w:after="0" w:line="260" w:lineRule="atLeast"/>
        <w:ind w:left="0" w:right="0" w:firstLine="0"/>
        <w:jc w:val="both"/>
      </w:pPr>
      <w:bookmarkStart w:id="52" w:name="Bookmark_para_13"/>
      <w:bookmarkEnd w:id="52"/>
      <w:r>
        <w:rPr>
          <w:rFonts w:ascii="arial" w:eastAsia="arial" w:hAnsi="arial" w:cs="arial"/>
          <w:b w:val="0"/>
          <w:i w:val="0"/>
          <w:strike w:val="0"/>
          <w:noProof w:val="0"/>
          <w:color w:val="000000"/>
          <w:position w:val="0"/>
          <w:sz w:val="20"/>
          <w:u w:val="none"/>
          <w:vertAlign w:val="baseline"/>
        </w:rPr>
        <w:t>DATED: June 16, 2023</w:t>
      </w:r>
    </w:p>
    <w:p>
      <w:pPr>
        <w:keepNext w:val="0"/>
        <w:spacing w:before="200" w:after="0" w:line="260" w:lineRule="atLeast"/>
        <w:ind w:left="0" w:right="0" w:firstLine="0"/>
        <w:jc w:val="both"/>
      </w:pPr>
      <w:bookmarkStart w:id="53" w:name="Bookmark_para_14"/>
      <w:bookmarkEnd w:id="53"/>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Georgette Castner</w:t>
      </w:r>
    </w:p>
    <w:p>
      <w:pPr>
        <w:keepNext w:val="0"/>
        <w:spacing w:before="200" w:after="0" w:line="260" w:lineRule="atLeast"/>
        <w:ind w:left="0" w:right="0" w:firstLine="0"/>
        <w:jc w:val="both"/>
      </w:pPr>
      <w:bookmarkStart w:id="54" w:name="Bookmark_para_15"/>
      <w:bookmarkEnd w:id="54"/>
      <w:r>
        <w:rPr>
          <w:rFonts w:ascii="arial" w:eastAsia="arial" w:hAnsi="arial" w:cs="arial"/>
          <w:b w:val="0"/>
          <w:i w:val="0"/>
          <w:strike w:val="0"/>
          <w:noProof w:val="0"/>
          <w:color w:val="000000"/>
          <w:position w:val="0"/>
          <w:sz w:val="20"/>
          <w:u w:val="none"/>
          <w:vertAlign w:val="baseline"/>
        </w:rPr>
        <w:t>GEORGETTE CASTNER</w:t>
      </w:r>
    </w:p>
    <w:p>
      <w:pPr>
        <w:keepNext w:val="0"/>
        <w:spacing w:before="200" w:after="0" w:line="260" w:lineRule="atLeast"/>
        <w:ind w:left="0" w:right="0" w:firstLine="0"/>
        <w:jc w:val="both"/>
      </w:pPr>
      <w:bookmarkStart w:id="55" w:name="Bookmark_para_16"/>
      <w:bookmarkEnd w:id="55"/>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56" w:name="Bookmark_para_17"/>
      <w:bookmarkEnd w:id="56"/>
      <w:r>
        <w:rPr>
          <w:rFonts w:ascii="arial" w:eastAsia="arial" w:hAnsi="arial" w:cs="arial"/>
          <w:b w:val="0"/>
          <w:i w:val="0"/>
          <w:strike w:val="0"/>
          <w:noProof w:val="0"/>
          <w:color w:val="000000"/>
          <w:position w:val="0"/>
          <w:sz w:val="20"/>
          <w:u w:val="none"/>
          <w:vertAlign w:val="baseline"/>
        </w:rPr>
        <w:t>For the reasons expressed in the Opinion filed herewith:</w:t>
      </w:r>
    </w:p>
    <w:p>
      <w:pPr>
        <w:keepNext w:val="0"/>
        <w:spacing w:before="200" w:after="0" w:line="260" w:lineRule="atLeast"/>
        <w:ind w:left="0" w:right="0" w:firstLine="0"/>
        <w:jc w:val="both"/>
      </w:pPr>
      <w:bookmarkStart w:id="57" w:name="Bookmark_para_18"/>
      <w:bookmarkEnd w:id="57"/>
      <w:r>
        <w:rPr>
          <w:rFonts w:ascii="arial" w:eastAsia="arial" w:hAnsi="arial" w:cs="arial"/>
          <w:b w:val="0"/>
          <w:i w:val="0"/>
          <w:strike w:val="0"/>
          <w:noProof w:val="0"/>
          <w:color w:val="000000"/>
          <w:position w:val="0"/>
          <w:sz w:val="20"/>
          <w:u w:val="none"/>
          <w:vertAlign w:val="baseline"/>
        </w:rPr>
        <w:t>IT IS on this 16th day of June, 2023,</w:t>
      </w:r>
    </w:p>
    <w:p>
      <w:pPr>
        <w:keepNext w:val="0"/>
        <w:spacing w:before="200" w:after="0" w:line="260" w:lineRule="atLeast"/>
        <w:ind w:left="0" w:right="0" w:firstLine="0"/>
        <w:jc w:val="both"/>
      </w:pPr>
      <w:bookmarkStart w:id="58" w:name="Bookmark_para_19"/>
      <w:bookmarkEnd w:id="58"/>
      <w:r>
        <w:rPr>
          <w:rFonts w:ascii="arial" w:eastAsia="arial" w:hAnsi="arial" w:cs="arial"/>
          <w:b w:val="0"/>
          <w:i w:val="0"/>
          <w:strike w:val="0"/>
          <w:noProof w:val="0"/>
          <w:color w:val="000000"/>
          <w:position w:val="0"/>
          <w:sz w:val="20"/>
          <w:u w:val="none"/>
          <w:vertAlign w:val="baseline"/>
        </w:rPr>
        <w:t xml:space="preserve">ORDERED that Petitioner's petition for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(ECF 4) is denied as this Court is not the proper forum for Petitioner to raise such a petition challenging his District of Puerto Rico conviction under these circumstances; and it is further</w:t>
      </w:r>
    </w:p>
    <w:p>
      <w:pPr>
        <w:keepNext w:val="0"/>
        <w:spacing w:before="200" w:after="0" w:line="260" w:lineRule="atLeast"/>
        <w:ind w:left="0" w:right="0" w:firstLine="0"/>
        <w:jc w:val="both"/>
      </w:pPr>
      <w:bookmarkStart w:id="59" w:name="Bookmark_para_20"/>
      <w:bookmarkEnd w:id="59"/>
      <w:r>
        <w:rPr>
          <w:rFonts w:ascii="arial" w:eastAsia="arial" w:hAnsi="arial" w:cs="arial"/>
          <w:b w:val="0"/>
          <w:i w:val="0"/>
          <w:strike w:val="0"/>
          <w:noProof w:val="0"/>
          <w:color w:val="000000"/>
          <w:position w:val="0"/>
          <w:sz w:val="20"/>
          <w:u w:val="none"/>
          <w:vertAlign w:val="baseline"/>
        </w:rPr>
        <w:t>ORDERED that the Clerk shall serve this Order and the accompanying Opinion on Petitioner by regular U.S. mail.</w:t>
      </w:r>
    </w:p>
    <w:p>
      <w:pPr>
        <w:keepNext w:val="0"/>
        <w:spacing w:before="200" w:after="0" w:line="260" w:lineRule="atLeast"/>
        <w:ind w:left="0" w:right="0" w:firstLine="0"/>
        <w:jc w:val="both"/>
      </w:pPr>
      <w:bookmarkStart w:id="60" w:name="Bookmark_para_21"/>
      <w:bookmarkEnd w:id="60"/>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Georgette Castner</w:t>
      </w:r>
    </w:p>
    <w:p>
      <w:pPr>
        <w:keepNext w:val="0"/>
        <w:spacing w:before="20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GEORGETTE CASTNER</w:t>
      </w:r>
    </w:p>
    <w:p>
      <w:pPr>
        <w:keepNext w:val="0"/>
        <w:spacing w:before="200" w:after="0" w:line="260" w:lineRule="atLeast"/>
        <w:ind w:left="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1 </w:t>
        </w:r>
      </w:hyperlink>
      <w:bookmarkStart w:id="11" w:name="Bookmark_fnpara_1"/>
      <w:bookmarkEnd w:id="11"/>
      <w:hyperlink r:id="rId1" w:history="1">
        <w:r>
          <w:rPr>
            <w:rFonts w:ascii="arial" w:eastAsia="arial" w:hAnsi="arial" w:cs="arial"/>
            <w:b w:val="0"/>
            <w:i w:val="0"/>
            <w:strike w:val="0"/>
            <w:color w:val="0077CC"/>
            <w:sz w:val="18"/>
            <w:u w:val="single"/>
            <w:vertAlign w:val="baseline"/>
          </w:rPr>
          <w:t>That statute states as follows:</w:t>
        </w:r>
      </w:hyperlink>
    </w:p>
    <w:p>
      <w:pPr>
        <w:keepNext w:val="0"/>
        <w:spacing w:before="120" w:after="0" w:line="240" w:lineRule="atLeast"/>
        <w:ind w:left="400" w:right="0" w:firstLine="0"/>
        <w:jc w:val="both"/>
      </w:pPr>
      <w:bookmarkStart w:id="12" w:name="Bookmark_para_5"/>
      <w:bookmarkEnd w:id="12"/>
      <w:hyperlink r:id="rId1" w:history="1">
        <w:r>
          <w:rPr>
            <w:rFonts w:ascii="arial" w:eastAsia="arial" w:hAnsi="arial" w:cs="arial"/>
            <w:b w:val="0"/>
            <w:i w:val="0"/>
            <w:strike w:val="0"/>
            <w:color w:val="0077CC"/>
            <w:sz w:val="18"/>
            <w:u w:val="single"/>
            <w:vertAlign w:val="baseline"/>
          </w:rPr>
          <w:t>A court, after imposing a sentence, may transfer jurisdiction over a probationer or person on supervised release to the district court for any other district to which the person is required to proceed as a condition of his probation or release, or is permitted to proceed, with the concurrence of such court. A later transfer of jurisdiction may be made in the same manner. A court to which jurisdiction is transferred under this section is authorized to exercise all powers over the probationer or releasee that are permitted by this subchapter or subchapter B or D of chapter 227.</w:t>
        </w:r>
      </w:hyperlink>
    </w:p>
    <w:p>
      <w:pPr>
        <w:keepNext w:val="0"/>
        <w:spacing w:before="240" w:after="0" w:line="240" w:lineRule="atLeast"/>
        <w:ind w:left="0" w:right="0" w:firstLine="0"/>
        <w:jc w:val="both"/>
      </w:pPr>
      <w:hyperlink r:id="rId1" w:history="1">
        <w:r>
          <w:rPr>
            <w:rFonts w:ascii="arial" w:eastAsia="arial" w:hAnsi="arial" w:cs="arial"/>
            <w:b w:val="0"/>
            <w:i/>
            <w:strike w:val="0"/>
            <w:color w:val="0077CC"/>
            <w:sz w:val="18"/>
            <w:u w:val="single"/>
            <w:vertAlign w:val="baseline"/>
          </w:rPr>
          <w:t>18 U.S.C. § 3605</w:t>
        </w:r>
      </w:hyperlink>
      <w:hyperlink r:id="rId1" w:history="1">
        <w:r>
          <w:rPr>
            <w:rFonts w:ascii="arial" w:eastAsia="arial" w:hAnsi="arial" w:cs="arial"/>
            <w:b w:val="0"/>
            <w:i w:val="0"/>
            <w:strike w:val="0"/>
            <w:color w:val="0077CC"/>
            <w:sz w:val="18"/>
            <w:u w:val="single"/>
            <w:vertAlign w:val="baseline"/>
          </w:rPr>
          <w:t>.</w:t>
        </w:r>
      </w:hyperlink>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1" w:name="Bookmark_fnpara_2"/>
      <w:bookmarkEnd w:id="51"/>
      <w:r>
        <w:rPr>
          <w:rFonts w:ascii="arial" w:eastAsia="arial" w:hAnsi="arial" w:cs="arial"/>
          <w:b w:val="0"/>
          <w:i w:val="0"/>
          <w:strike w:val="0"/>
          <w:noProof w:val="0"/>
          <w:color w:val="000000"/>
          <w:position w:val="0"/>
          <w:sz w:val="18"/>
          <w:u w:val="none"/>
          <w:vertAlign w:val="baseline"/>
        </w:rPr>
        <w:t xml:space="preserve">Because this Court is not the proper forum for Petitioner to seek </w:t>
      </w:r>
      <w:r>
        <w:rPr>
          <w:rFonts w:ascii="arial" w:eastAsia="arial" w:hAnsi="arial" w:cs="arial"/>
          <w:b w:val="0"/>
          <w:i/>
          <w:strike w:val="0"/>
          <w:noProof w:val="0"/>
          <w:color w:val="000000"/>
          <w:position w:val="0"/>
          <w:sz w:val="18"/>
          <w:u w:val="none"/>
          <w:vertAlign w:val="baseline"/>
        </w:rPr>
        <w:t>coram nobis</w:t>
      </w:r>
      <w:r>
        <w:rPr>
          <w:rFonts w:ascii="arial" w:eastAsia="arial" w:hAnsi="arial" w:cs="arial"/>
          <w:b w:val="0"/>
          <w:i w:val="0"/>
          <w:strike w:val="0"/>
          <w:noProof w:val="0"/>
          <w:color w:val="000000"/>
          <w:position w:val="0"/>
          <w:sz w:val="18"/>
          <w:u w:val="none"/>
          <w:vertAlign w:val="baseline"/>
        </w:rPr>
        <w:t xml:space="preserve"> relief related to his District of Puerto Rico conviction, this Court need not analyze Respondent's other arguments for why Petitioner is not entitled to </w:t>
      </w:r>
      <w:r>
        <w:rPr>
          <w:rFonts w:ascii="arial" w:eastAsia="arial" w:hAnsi="arial" w:cs="arial"/>
          <w:b w:val="0"/>
          <w:i/>
          <w:strike w:val="0"/>
          <w:noProof w:val="0"/>
          <w:color w:val="000000"/>
          <w:position w:val="0"/>
          <w:sz w:val="18"/>
          <w:u w:val="none"/>
          <w:vertAlign w:val="baseline"/>
        </w:rPr>
        <w:t>coram nobis</w:t>
      </w:r>
      <w:r>
        <w:rPr>
          <w:rFonts w:ascii="arial" w:eastAsia="arial" w:hAnsi="arial" w:cs="arial"/>
          <w:b w:val="0"/>
          <w:i w:val="0"/>
          <w:strike w:val="0"/>
          <w:noProof w:val="0"/>
          <w:color w:val="000000"/>
          <w:position w:val="0"/>
          <w:sz w:val="18"/>
          <w:u w:val="none"/>
          <w:vertAlign w:val="baseline"/>
        </w:rPr>
        <w:t xml:space="preserve"> relief.</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Lall, 2023 U.S. Dist. LEXIS 105378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042-D6RV-H1DY-00000-00&amp;context=1519360" TargetMode="External" /><Relationship Id="rId11" Type="http://schemas.openxmlformats.org/officeDocument/2006/relationships/hyperlink" Target="https://advance.lexis.com/api/document?collection=cases&amp;id=urn:contentItem:4PR3-WBN0-TXFX-52HR-00000-00&amp;context=1519360" TargetMode="External" /><Relationship Id="rId12" Type="http://schemas.openxmlformats.org/officeDocument/2006/relationships/hyperlink" Target="https://advance.lexis.com/api/document?collection=cases&amp;id=urn:contentItem:3S65-J880-003B-R4FW-00000-00&amp;context=1519360" TargetMode="External" /><Relationship Id="rId13" Type="http://schemas.openxmlformats.org/officeDocument/2006/relationships/hyperlink" Target="https://advance.lexis.com/api/document?collection=cases&amp;id=urn:contentItem:3S4X-CTF0-003B-53DS-00000-00&amp;context=1519360" TargetMode="External" /><Relationship Id="rId14" Type="http://schemas.openxmlformats.org/officeDocument/2006/relationships/hyperlink" Target="https://advance.lexis.com/api/document?collection=cases&amp;id=urn:contentItem:3S4W-X5Y0-001B-K0F7-00000-00&amp;context=1519360" TargetMode="External" /><Relationship Id="rId15" Type="http://schemas.openxmlformats.org/officeDocument/2006/relationships/hyperlink" Target="https://advance.lexis.com/api/document?collection=cases&amp;id=urn:contentItem:3S4X-KBR0-0039-W52W-00000-00&amp;context=1519360" TargetMode="External" /><Relationship Id="rId16" Type="http://schemas.openxmlformats.org/officeDocument/2006/relationships/hyperlink" Target="https://advance.lexis.com/api/document?collection=statutes-legislation&amp;id=urn:contentItem:8SG9-5HW2-D6RV-H0VJ-00000-00&amp;context=1519360" TargetMode="External" /><Relationship Id="rId17" Type="http://schemas.openxmlformats.org/officeDocument/2006/relationships/hyperlink" Target="https://advance.lexis.com/api/document?collection=cases&amp;id=urn:contentItem:3S4X-JDX0-003B-S4DR-00000-00&amp;context=1519360" TargetMode="External" /><Relationship Id="rId18" Type="http://schemas.openxmlformats.org/officeDocument/2006/relationships/hyperlink" Target="https://advance.lexis.com/api/document?collection=cases&amp;id=urn:contentItem:4X2S-5X50-TXFX-F2VR-00000-00&amp;context=1519360" TargetMode="External" /><Relationship Id="rId19" Type="http://schemas.openxmlformats.org/officeDocument/2006/relationships/hyperlink" Target="https://advance.lexis.com/api/document?collection=cases&amp;id=urn:contentItem:4K6D-J940-TVVT-Y33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MFC-96N0-0038-X55H-00000-00&amp;context=1519360" TargetMode="External" /><Relationship Id="rId21" Type="http://schemas.openxmlformats.org/officeDocument/2006/relationships/hyperlink" Target="https://advance.lexis.com/api/document?collection=statutes-legislation&amp;id=urn:contentItem:8SG9-5HW2-D6RV-H0MN-00000-00&amp;context=1519360" TargetMode="External" /><Relationship Id="rId22" Type="http://schemas.openxmlformats.org/officeDocument/2006/relationships/hyperlink" Target="https://advance.lexis.com/api/document?collection=cases&amp;id=urn:contentItem:426R-TDR0-0038-X0F4-00000-00&amp;context=1519360" TargetMode="External" /><Relationship Id="rId23" Type="http://schemas.openxmlformats.org/officeDocument/2006/relationships/hyperlink" Target="https://advance.lexis.com/api/document?collection=statutes-legislation&amp;id=urn:contentItem:680B-0W43-CGX8-055J-00000-00&amp;context=1519360" TargetMode="External" /><Relationship Id="rId24" Type="http://schemas.openxmlformats.org/officeDocument/2006/relationships/hyperlink" Target="https://advance.lexis.com/api/document?collection=cases&amp;id=urn:contentItem:63M3-8791-JNJT-B1P1-00000-00&amp;context=1519360" TargetMode="External" /><Relationship Id="rId25" Type="http://schemas.openxmlformats.org/officeDocument/2006/relationships/hyperlink" Target="https://advance.lexis.com/api/document?collection=cases&amp;id=urn:contentItem:6364-PBS1-JP4G-61PK-00000-00&amp;context=1519360" TargetMode="External" /><Relationship Id="rId26" Type="http://schemas.openxmlformats.org/officeDocument/2006/relationships/hyperlink" Target="https://advance.lexis.com/api/document?collection=statutes-legislation&amp;id=urn:contentItem:8SG9-5042-D6RV-H1CH-00000-00&amp;context=1519360" TargetMode="External" /><Relationship Id="rId27" Type="http://schemas.openxmlformats.org/officeDocument/2006/relationships/hyperlink" Target="https://advance.lexis.com/api/document?collection=statutes-legislation&amp;id=urn:contentItem:8SG9-5042-D6RV-H1D2-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GJ-DCP1-JNY7-X25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D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Lall, 2023 U.S. Dist. LEXIS 105378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Doc::urn:hlct:5|contextualFeaturePermID::1519360</vt:lpwstr>
  </property>
  <property fmtid="{D5CDD505-2E9C-101B-9397-08002B2CF9AE}" pid="5" name="UserPermID">
    <vt:lpwstr>urn:user:PA186186283</vt:lpwstr>
  </property>
</Properties>
</file>