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Naranjo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21-50726</w:t>
      </w:r>
    </w:p>
    <w:p>
      <w:pPr>
        <w:keepNext w:val="0"/>
        <w:spacing w:after="0" w:line="240" w:lineRule="atLeast"/>
        <w:ind w:right="0"/>
        <w:jc w:val="both"/>
      </w:pPr>
      <w:bookmarkStart w:id="0" w:name="Bookmark_7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1353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314306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versus YARITZA NARANJO,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Western District of Texas. USDC No. 4:20-CR-500-1.</w:t>
      </w:r>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aliens, transport, harmless, illegal alien, interrogations, probability, questions, sufficiency of evidence, light most favorable, reasonable inference, sufficient evidence, limit instruction, right to confront, reasonable doubt, law enforcement, district court, de novo, co-conspirators, disregarded, checkpoint, recklessly, admitting, cellphone, recording, sections, smuggler, border, drove, juror, video</w:t>
      </w:r>
    </w:p>
    <w:p>
      <w:pPr>
        <w:keepNext/>
        <w:spacing w:before="240" w:after="0" w:line="340" w:lineRule="atLeast"/>
        <w:ind w:left="0" w:right="0" w:firstLine="0"/>
        <w:jc w:val="left"/>
      </w:pPr>
      <w:bookmarkStart w:id="7" w:name="LexisNexis® Headnotes"/>
      <w:bookmarkEnd w:id="7"/>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8" w:name="Bookmark_clscc1"/>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Juries &amp; Jurors &gt; Province of Court &amp; Jury &gt; Credibility of Witnesses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Inferences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Weight &amp; Sufficiency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Substantial Evidence &gt; Sufficiency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Sufficiency of Evidence</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Province of Court &amp; Jury, Credibility of Witnesses</w:t>
      </w:r>
    </w:p>
    <w:p>
      <w:pPr>
        <w:keepNext w:val="0"/>
        <w:spacing w:before="240" w:after="0" w:line="260" w:lineRule="atLeast"/>
        <w:ind w:left="0" w:right="0" w:firstLine="0"/>
        <w:jc w:val="both"/>
      </w:pPr>
      <w:bookmarkStart w:id="9" w:name="Bookmark_hnpara_1"/>
      <w:bookmarkEnd w:id="9"/>
      <w:r>
        <w:rPr>
          <w:rFonts w:ascii="arial" w:eastAsia="arial" w:hAnsi="arial" w:cs="arial"/>
          <w:b w:val="0"/>
          <w:i w:val="0"/>
          <w:strike w:val="0"/>
          <w:noProof w:val="0"/>
          <w:color w:val="000000"/>
          <w:position w:val="0"/>
          <w:sz w:val="20"/>
          <w:u w:val="none"/>
          <w:vertAlign w:val="baseline"/>
        </w:rPr>
        <w:t>A defendant's sufficiency of the evidence challenge is reviewed de novo. When examining the sufficiency of evidence, an appellate court must affirm a criminal conviction if, after viewing the evidence and all reasonable inferences in the light most favorable to a prosecution, any rational trier of fact could have found the essential elements of the crime beyond a reasonable doubt. In short, the question is not whether a jury's determination was correct, but whether it was rational. The appellate court do not delve into the evidentiary weeds: The jury retains the sole authority to weigh any conflicting evidence and to evaluate the credibility of witnesses.</w:t>
      </w:r>
    </w:p>
    <w:p>
      <w:pPr>
        <w:spacing w:before="120"/>
      </w:pPr>
      <w:bookmarkStart w:id="10" w:name="Bookmark_clscc2"/>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Motions for Acquittal</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Trials, Motions for Acquittal</w:t>
      </w:r>
    </w:p>
    <w:p>
      <w:pPr>
        <w:keepNext w:val="0"/>
        <w:spacing w:before="240" w:after="0" w:line="260" w:lineRule="atLeast"/>
        <w:ind w:left="0" w:right="0" w:firstLine="0"/>
        <w:jc w:val="both"/>
      </w:pPr>
      <w:bookmarkStart w:id="11" w:name="Bookmark_hnpara_2"/>
      <w:bookmarkEnd w:id="11"/>
      <w:r>
        <w:rPr>
          <w:rFonts w:ascii="arial" w:eastAsia="arial" w:hAnsi="arial" w:cs="arial"/>
          <w:b w:val="0"/>
          <w:i w:val="0"/>
          <w:strike w:val="0"/>
          <w:noProof w:val="0"/>
          <w:color w:val="000000"/>
          <w:position w:val="0"/>
          <w:sz w:val="20"/>
          <w:u w:val="none"/>
          <w:vertAlign w:val="baseline"/>
        </w:rPr>
        <w:t>When a defendant moved for a judgment of acquittal at the close of a U.S. government's case, a panel reviews de novo the question of whether the evidence was sufficient to support his conviction.</w:t>
      </w:r>
    </w:p>
    <w:p>
      <w:pPr>
        <w:spacing w:before="120"/>
      </w:pPr>
      <w:bookmarkStart w:id="12" w:name="Bookmark_clscc3"/>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Inchoate Crimes &gt; Conspiracy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Circumstantial Evidence</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Conspiracy, Elements</w:t>
      </w:r>
    </w:p>
    <w:p>
      <w:pPr>
        <w:keepNext w:val="0"/>
        <w:spacing w:before="240" w:after="0" w:line="260" w:lineRule="atLeast"/>
        <w:ind w:left="0" w:right="0" w:firstLine="0"/>
        <w:jc w:val="both"/>
      </w:pPr>
      <w:bookmarkStart w:id="13" w:name="Bookmark_hnpara_3"/>
      <w:bookmarkEnd w:id="13"/>
      <w:r>
        <w:rPr>
          <w:rFonts w:ascii="arial" w:eastAsia="arial" w:hAnsi="arial" w:cs="arial"/>
          <w:b w:val="0"/>
          <w:i w:val="0"/>
          <w:strike w:val="0"/>
          <w:noProof w:val="0"/>
          <w:color w:val="000000"/>
          <w:position w:val="0"/>
          <w:sz w:val="20"/>
          <w:u w:val="none"/>
          <w:vertAlign w:val="baseline"/>
        </w:rPr>
        <w:t>The elements of conspiracy may be established solely by circumstantial evidence, including the presence, association, and concerted action of a defendant with others.</w:t>
      </w:r>
    </w:p>
    <w:p>
      <w:pPr>
        <w:spacing w:before="120"/>
      </w:pPr>
      <w:bookmarkStart w:id="14" w:name="Bookmark_clscc4"/>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Right to Confrontation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Harmless &amp; Invited Error &gt; Constitutional Rights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Defendant's Rights &gt; Right to Confrontation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Harmless &amp; Invited Error &gt; Evidence</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Right to Confrontation</w:t>
      </w:r>
    </w:p>
    <w:p>
      <w:pPr>
        <w:keepNext w:val="0"/>
        <w:spacing w:before="240" w:after="0" w:line="260" w:lineRule="atLeast"/>
        <w:ind w:left="0" w:right="0" w:firstLine="0"/>
        <w:jc w:val="both"/>
      </w:pPr>
      <w:bookmarkStart w:id="15" w:name="Bookmark_hnpara_4"/>
      <w:bookmarkEnd w:id="15"/>
      <w:r>
        <w:rPr>
          <w:rFonts w:ascii="arial" w:eastAsia="arial" w:hAnsi="arial" w:cs="arial"/>
          <w:b w:val="0"/>
          <w:i w:val="0"/>
          <w:strike w:val="0"/>
          <w:noProof w:val="0"/>
          <w:color w:val="000000"/>
          <w:position w:val="0"/>
          <w:sz w:val="20"/>
          <w:u w:val="none"/>
          <w:vertAlign w:val="baseline"/>
        </w:rPr>
        <w:t xml:space="preserve">A defendant's </w:t>
      </w:r>
      <w:hyperlink r:id="rId15"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claim is reviewed de novo but subject to a harmless error analysis. The harmless beyond a reasonable doubt's standard requires the U.S. government to show there was no reasonable possibility that the tainted evidence might have contributed to a jury's verdict of guilty.</w:t>
      </w:r>
    </w:p>
    <w:p>
      <w:pPr>
        <w:spacing w:before="120"/>
      </w:pPr>
      <w:bookmarkStart w:id="16" w:name="Bookmark_clscc5"/>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Right to Confrontation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Juries &amp; Jurors &gt; Jury Deliberations &gt; Ability to Follow Instructions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Defendant's Rights &gt; Right to Confrontation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Jury Instructions &gt; Limiting Instructions</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Right to Confrontation</w:t>
      </w:r>
    </w:p>
    <w:p>
      <w:pPr>
        <w:keepNext w:val="0"/>
        <w:spacing w:before="240" w:after="0" w:line="260" w:lineRule="atLeast"/>
        <w:ind w:left="0" w:right="0" w:firstLine="0"/>
        <w:jc w:val="both"/>
      </w:pPr>
      <w:bookmarkStart w:id="17" w:name="Bookmark_hnpara_5"/>
      <w:bookmarkEnd w:id="17"/>
      <w:r>
        <w:rPr>
          <w:rFonts w:ascii="arial" w:eastAsia="arial" w:hAnsi="arial" w:cs="arial"/>
          <w:b w:val="0"/>
          <w:i w:val="0"/>
          <w:strike w:val="0"/>
          <w:noProof w:val="0"/>
          <w:color w:val="000000"/>
          <w:position w:val="0"/>
          <w:sz w:val="20"/>
          <w:u w:val="none"/>
          <w:vertAlign w:val="baseline"/>
        </w:rPr>
        <w:t xml:space="preserve">In a </w:t>
      </w:r>
      <w:hyperlink r:id="rId15"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context evaluating a limiting instruction, the appellate court have explained the almost invariable assumption is that jurors follow such instructions. To overcome this presumption, there must be an overwhelming probability that the jury will be unable to follow a court's instruction and a strong likelihood that the effect of the evidence would be devastating to a defendant.</w:t>
      </w:r>
    </w:p>
    <w:p>
      <w:pPr>
        <w:spacing w:before="120"/>
      </w:pPr>
      <w:bookmarkStart w:id="18" w:name="Bookmark_clscc6"/>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Right to Confrontation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Juries &amp; Jurors &gt; Jury Deliberations &gt; Ability to Follow Instructions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Defendant's Rights &gt; Right to Confrontation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Jury Instructions &gt; Limiting Instructions</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Right to Confrontation</w:t>
      </w:r>
    </w:p>
    <w:p>
      <w:pPr>
        <w:keepNext w:val="0"/>
        <w:spacing w:before="240" w:after="0" w:line="260" w:lineRule="atLeast"/>
        <w:ind w:left="0" w:right="0" w:firstLine="0"/>
        <w:jc w:val="both"/>
      </w:pPr>
      <w:bookmarkStart w:id="19" w:name="Bookmark_hnpara_6"/>
      <w:bookmarkEnd w:id="19"/>
      <w:r>
        <w:rPr>
          <w:rFonts w:ascii="arial" w:eastAsia="arial" w:hAnsi="arial" w:cs="arial"/>
          <w:b w:val="0"/>
          <w:i w:val="0"/>
          <w:strike w:val="0"/>
          <w:noProof w:val="0"/>
          <w:color w:val="000000"/>
          <w:position w:val="0"/>
          <w:sz w:val="20"/>
          <w:u w:val="none"/>
          <w:vertAlign w:val="baseline"/>
        </w:rPr>
        <w:t xml:space="preserve">Juries are presumed to follow limiting instructions. The assumption that jurors are able to follow a court's instructions fully applies when rights guaranteed by the </w:t>
      </w:r>
      <w:hyperlink r:id="rId15"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are at issue.</w:t>
      </w:r>
    </w:p>
    <w:p>
      <w:pPr>
        <w:spacing w:before="120"/>
      </w:pPr>
      <w:bookmarkStart w:id="20" w:name="Bookmark_clscc7"/>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Harmless &amp; Invited Error &gt; Evidence</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Harmless &amp; Invited Error, Evidence</w:t>
      </w:r>
    </w:p>
    <w:p>
      <w:pPr>
        <w:keepNext w:val="0"/>
        <w:spacing w:before="240" w:after="0" w:line="260" w:lineRule="atLeast"/>
        <w:ind w:left="0" w:right="0" w:firstLine="0"/>
        <w:jc w:val="both"/>
      </w:pPr>
      <w:bookmarkStart w:id="21" w:name="Bookmark_hnpara_7"/>
      <w:bookmarkEnd w:id="21"/>
      <w:r>
        <w:rPr>
          <w:rFonts w:ascii="arial" w:eastAsia="arial" w:hAnsi="arial" w:cs="arial"/>
          <w:b w:val="0"/>
          <w:i w:val="0"/>
          <w:strike w:val="0"/>
          <w:noProof w:val="0"/>
          <w:color w:val="000000"/>
          <w:position w:val="0"/>
          <w:sz w:val="20"/>
          <w:u w:val="none"/>
          <w:vertAlign w:val="baseline"/>
        </w:rPr>
        <w:t>To decide how harmful the challenged evidence was, an appellate court considers how it was used. If the U.S. government relied on the violative testimony in its closing argument, the appellate court is more likely to conclude that the error was harmful. If the U.S. government makes only fleeting references' to the unconstitutional evidence, the appellate court is less likely to find harm.</w:t>
      </w:r>
    </w:p>
    <w:p>
      <w:pPr>
        <w:spacing w:before="120"/>
      </w:pPr>
      <w:bookmarkStart w:id="22" w:name="Bookmark_clscc8"/>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Postconviction Proceedings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Courts &gt; Judicial Precedent</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Law &amp; Procedure, Postconviction Proceedings</w:t>
      </w:r>
    </w:p>
    <w:p>
      <w:pPr>
        <w:keepNext w:val="0"/>
        <w:spacing w:before="240" w:after="0" w:line="260" w:lineRule="atLeast"/>
        <w:ind w:left="0" w:right="0" w:firstLine="0"/>
        <w:jc w:val="both"/>
      </w:pPr>
      <w:bookmarkStart w:id="23" w:name="Bookmark_hnpara_8"/>
      <w:bookmarkEnd w:id="23"/>
      <w:r>
        <w:rPr>
          <w:rFonts w:ascii="arial" w:eastAsia="arial" w:hAnsi="arial" w:cs="arial"/>
          <w:b w:val="0"/>
          <w:i w:val="0"/>
          <w:strike w:val="0"/>
          <w:noProof w:val="0"/>
          <w:color w:val="000000"/>
          <w:position w:val="0"/>
          <w:sz w:val="20"/>
          <w:u w:val="none"/>
          <w:vertAlign w:val="baseline"/>
        </w:rPr>
        <w:t>To overturn a conviction based on mere fleeting references to out-of-court statements would be tantamount to establishing a rule of per se harm. The appellate court's precedents, by contrast, require not just speculation, but a reasonable possibility that an error contributed to a conviction.</w:t>
      </w:r>
    </w:p>
    <w:p>
      <w:pPr>
        <w:keepNext w:val="0"/>
        <w:spacing w:before="240" w:after="0" w:line="260" w:lineRule="atLeast"/>
        <w:ind w:left="0" w:right="0" w:firstLine="0"/>
        <w:jc w:val="left"/>
      </w:pPr>
      <w:bookmarkStart w:id="24" w:name="Counsel"/>
      <w:bookmarkEnd w:id="2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Joseph H. Gay Jr., Assistant U.S. Attorney, U.S. Attorney's Office, San Antonio, TX; Zachary Carl Richter, Assistant U.S. Attorney, U.S. Attorney's Office, Austin,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Yaritza Naranjo, Defendant - Appellant: Damian Castillo, Esq., Law Offices of Damian Castillo, Midland, TX.</w:t>
      </w:r>
    </w:p>
    <w:p>
      <w:pPr>
        <w:keepNext w:val="0"/>
        <w:spacing w:before="240" w:after="0" w:line="260" w:lineRule="atLeast"/>
        <w:ind w:left="0" w:right="0" w:firstLine="0"/>
        <w:jc w:val="left"/>
      </w:pPr>
      <w:bookmarkStart w:id="25" w:name="Judges"/>
      <w:bookmarkEnd w:id="2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RICHMAN, Chief Judge, and DENNIS and HO, Circuit Judges.</w:t>
      </w:r>
    </w:p>
    <w:p>
      <w:pPr>
        <w:keepNext/>
        <w:spacing w:before="240" w:after="0" w:line="340" w:lineRule="atLeast"/>
        <w:ind w:left="0" w:right="0" w:firstLine="0"/>
        <w:jc w:val="left"/>
      </w:pPr>
      <w:bookmarkStart w:id="26" w:name="Opinion"/>
      <w:bookmarkEnd w:id="2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6"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27" w:name="Bookmark_para_3"/>
      <w:bookmarkEnd w:id="27"/>
      <w:r>
        <w:rPr>
          <w:rFonts w:ascii="arial" w:eastAsia="arial" w:hAnsi="arial" w:cs="arial"/>
          <w:b w:val="0"/>
          <w:i w:val="0"/>
          <w:smallCaps/>
          <w:strike w:val="0"/>
          <w:noProof w:val="0"/>
          <w:color w:val="000000"/>
          <w:position w:val="0"/>
          <w:sz w:val="20"/>
          <w:u w:val="none"/>
          <w:vertAlign w:val="baseline"/>
        </w:rPr>
        <w:t>Per Curiam</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w:t>
      </w:r>
    </w:p>
    <w:p>
      <w:pPr>
        <w:keepNext w:val="0"/>
        <w:spacing w:before="200" w:after="0" w:line="260" w:lineRule="atLeast"/>
        <w:ind w:left="0" w:right="0" w:firstLine="0"/>
        <w:jc w:val="both"/>
      </w:pPr>
      <w:bookmarkStart w:id="29" w:name="Bookmark_para_4"/>
      <w:bookmarkEnd w:id="29"/>
      <w:r>
        <w:rPr>
          <w:rFonts w:ascii="arial" w:eastAsia="arial" w:hAnsi="arial" w:cs="arial"/>
          <w:b w:val="0"/>
          <w:i w:val="0"/>
          <w:strike w:val="0"/>
          <w:noProof w:val="0"/>
          <w:color w:val="000000"/>
          <w:position w:val="0"/>
          <w:sz w:val="20"/>
          <w:u w:val="none"/>
          <w:vertAlign w:val="baseline"/>
        </w:rPr>
        <w:t xml:space="preserve">Yaritza Naranjo appeals her jury-trial convictions for transportation of, and conspiracy to transport, illegal aliens, in violation of </w:t>
      </w:r>
      <w:hyperlink r:id="rId20" w:history="1">
        <w:r>
          <w:rPr>
            <w:rFonts w:ascii="arial" w:eastAsia="arial" w:hAnsi="arial" w:cs="arial"/>
            <w:b w:val="0"/>
            <w:i/>
            <w:strike w:val="0"/>
            <w:noProof w:val="0"/>
            <w:color w:val="0077CC"/>
            <w:position w:val="0"/>
            <w:sz w:val="20"/>
            <w:u w:val="single"/>
            <w:vertAlign w:val="baseline"/>
          </w:rPr>
          <w:t>8 U.S.C. § 1324(a)(1)(A)(ii)</w:t>
        </w:r>
      </w:hyperlink>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(v)(I)</w:t>
        </w:r>
      </w:hyperlink>
      <w:r>
        <w:rPr>
          <w:rFonts w:ascii="arial" w:eastAsia="arial" w:hAnsi="arial" w:cs="arial"/>
          <w:b w:val="0"/>
          <w:i w:val="0"/>
          <w:strike w:val="0"/>
          <w:noProof w:val="0"/>
          <w:color w:val="000000"/>
          <w:position w:val="0"/>
          <w:sz w:val="20"/>
          <w:u w:val="none"/>
          <w:vertAlign w:val="baseline"/>
        </w:rPr>
        <w:t xml:space="preserve">. She contends, as she did at trial by motions for judgment of acquittal, that the Government did not present sufficient evidence to prove she (1) knew of or recklessly disregarded the aliens' illegal statuses or (2) agreed with another person to transport illegal aliens. She also claims a video recording and transcript of her interview with law enforcement, admitted over objection, violated her </w:t>
      </w:r>
      <w:hyperlink r:id="rId15"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confrontation right. Because there was sufficient evidence for the jury to find her guilty, and because the admission of the tape and transcript, even if</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erroneously admitted, was harmless, we affirm.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w:t>
      </w:r>
    </w:p>
    <w:p>
      <w:pPr>
        <w:keepNext w:val="0"/>
        <w:spacing w:before="200" w:after="0" w:line="260" w:lineRule="atLeast"/>
        <w:ind w:left="0" w:right="0" w:firstLine="0"/>
        <w:jc w:val="both"/>
      </w:pPr>
      <w:bookmarkStart w:id="30" w:name="Bookmark_para_5"/>
      <w:bookmarkEnd w:id="30"/>
      <w:bookmarkStart w:id="31" w:name="Bookmark_I67D3CYH2HM61K0020000400"/>
      <w:bookmarkEnd w:id="31"/>
      <w:bookmarkStart w:id="32" w:name="Bookmark_I67D3CYH2HM61K0040000400"/>
      <w:bookmarkEnd w:id="32"/>
      <w:bookmarkStart w:id="33" w:name="Bookmark_I67D3CYH28T3WM0030000400"/>
      <w:bookmarkEnd w:id="33"/>
      <w:bookmarkStart w:id="34" w:name="Bookmark_I67D3CYH28T3WM0050000400"/>
      <w:bookmarkEnd w:id="34"/>
      <w:bookmarkStart w:id="35" w:name="Bookmark_LNHNREFclscc1"/>
      <w:bookmarkEnd w:id="35"/>
      <w:hyperlink r:id="rId2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7"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Naranjo's sufficiency of the evidence challenge is reviewed de novo.</w:t>
      </w:r>
      <w:r>
        <w:rPr>
          <w:rFonts w:ascii="arial" w:eastAsia="arial" w:hAnsi="arial" w:cs="arial"/>
          <w:vertAlign w:val="superscript"/>
        </w:rPr>
        <w:footnoteReference w:customMarkFollows="1" w:id="3"/>
        <w:t xml:space="preserve">1</w:t>
      </w:r>
      <w:r>
        <w:rPr>
          <w:rFonts w:ascii="arial" w:eastAsia="arial" w:hAnsi="arial" w:cs="arial"/>
          <w:b w:val="0"/>
          <w:i w:val="0"/>
          <w:strike w:val="0"/>
          <w:noProof w:val="0"/>
          <w:color w:val="000000"/>
          <w:position w:val="0"/>
          <w:sz w:val="20"/>
          <w:u w:val="none"/>
          <w:vertAlign w:val="baseline"/>
        </w:rPr>
        <w:t xml:space="preserve"> When examining the sufficiency of evidence, our court must affirm a criminal conviction "if, after viewing the evidence and all reasonable inferences in the light most favorable to the prosecution,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rational trier of fact could have found the essential elements of the crime beyond a reasonable doubt."</w:t>
      </w:r>
      <w:r>
        <w:rPr>
          <w:rFonts w:ascii="arial" w:eastAsia="arial" w:hAnsi="arial" w:cs="arial"/>
          <w:vertAlign w:val="superscript"/>
        </w:rPr>
        <w:footnoteReference w:customMarkFollows="1" w:id="4"/>
        <w:t xml:space="preserve">2</w:t>
      </w:r>
      <w:r>
        <w:rPr>
          <w:rFonts w:ascii="arial" w:eastAsia="arial" w:hAnsi="arial" w:cs="arial"/>
          <w:b w:val="0"/>
          <w:i w:val="0"/>
          <w:strike w:val="0"/>
          <w:noProof w:val="0"/>
          <w:color w:val="000000"/>
          <w:position w:val="0"/>
          <w:sz w:val="20"/>
          <w:u w:val="none"/>
          <w:vertAlign w:val="baseline"/>
        </w:rPr>
        <w:t xml:space="preserve"> In short, the question is not whether the jury's determination was correct, but whether it was rational.</w:t>
      </w:r>
      <w:r>
        <w:rPr>
          <w:rFonts w:ascii="arial" w:eastAsia="arial" w:hAnsi="arial" w:cs="arial"/>
          <w:vertAlign w:val="superscript"/>
        </w:rPr>
        <w:footnoteReference w:customMarkFollows="1" w:id="5"/>
        <w:t xml:space="preserve">3</w:t>
      </w:r>
      <w:r>
        <w:rPr>
          <w:rFonts w:ascii="arial" w:eastAsia="arial" w:hAnsi="arial" w:cs="arial"/>
          <w:b w:val="0"/>
          <w:i w:val="0"/>
          <w:strike w:val="0"/>
          <w:noProof w:val="0"/>
          <w:color w:val="000000"/>
          <w:position w:val="0"/>
          <w:sz w:val="20"/>
          <w:u w:val="none"/>
          <w:vertAlign w:val="baseline"/>
        </w:rPr>
        <w:t xml:space="preserve"> "We do not delve into the evidentiary weeds: The jury 'retains the sole authority to weigh any conflicting evidence and to evaluate the credibility of witnesses.'"</w:t>
      </w:r>
      <w:r>
        <w:rPr>
          <w:rFonts w:ascii="arial" w:eastAsia="arial" w:hAnsi="arial" w:cs="arial"/>
          <w:vertAlign w:val="superscript"/>
        </w:rPr>
        <w:footnoteReference w:customMarkFollows="1" w:id="6"/>
        <w:t xml:space="preserve">4</w:t>
      </w:r>
    </w:p>
    <w:p>
      <w:pPr>
        <w:keepNext w:val="0"/>
        <w:spacing w:before="200" w:after="0" w:line="260" w:lineRule="atLeast"/>
        <w:ind w:left="0" w:right="0" w:firstLine="0"/>
        <w:jc w:val="both"/>
      </w:pPr>
      <w:bookmarkStart w:id="47" w:name="Bookmark_para_6"/>
      <w:bookmarkEnd w:id="47"/>
      <w:r>
        <w:rPr>
          <w:rFonts w:ascii="arial" w:eastAsia="arial" w:hAnsi="arial" w:cs="arial"/>
          <w:b w:val="0"/>
          <w:i w:val="0"/>
          <w:strike w:val="0"/>
          <w:noProof w:val="0"/>
          <w:color w:val="000000"/>
          <w:position w:val="0"/>
          <w:sz w:val="20"/>
          <w:u w:val="none"/>
          <w:vertAlign w:val="baseline"/>
        </w:rPr>
        <w:t xml:space="preserve">The evidence at trial established that Naranjo and her husband drove eight hours to pick up four illegal aliens just north of the Mexican border; before arriving, one alien texted Naranjo a photograph of the pick-up location and a GPS pin of his location; Naranjo and her husband then drove the aliens further into the United States on a highway known for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they dropped the aliens off ahead of a border checkpoint; and Naranjo believed the aliens were supposed to pay a smuggler</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who arranged for their transport. </w:t>
      </w:r>
      <w:bookmarkStart w:id="48" w:name="Bookmark_I67D3CYJ28T3WR0040000400"/>
      <w:bookmarkEnd w:id="48"/>
      <w:r>
        <w:rPr>
          <w:rFonts w:ascii="arial" w:eastAsia="arial" w:hAnsi="arial" w:cs="arial"/>
          <w:b w:val="0"/>
          <w:i w:val="0"/>
          <w:strike w:val="0"/>
          <w:noProof w:val="0"/>
          <w:color w:val="000000"/>
          <w:position w:val="0"/>
          <w:sz w:val="20"/>
          <w:u w:val="none"/>
          <w:vertAlign w:val="baseline"/>
        </w:rPr>
        <w:t>The aliens were later apprehended north of the checkpoint, with one in possession of Naranjo's cellphone. Although she stated once during interrogations with law enforcement that her husband provided the aliens the cellphone, Naranjo admitted numerous times during the interrogations that she was the one who furnished it to them and that the aliens were going to use it "for the part where they were going to run" and to contact a smuggler. Considered in the requisite light most favorable to the Government, the evidence was sufficient for a rational juror to conclude Naranjo knew or recklessly disregarded that the aliens were in the United States unlawfully and agreed with at least one other person to transport them.</w:t>
      </w:r>
      <w:r>
        <w:rPr>
          <w:rFonts w:ascii="arial" w:eastAsia="arial" w:hAnsi="arial" w:cs="arial"/>
          <w:vertAlign w:val="superscript"/>
        </w:rPr>
        <w:footnoteReference w:customMarkFollows="1" w:id="7"/>
        <w:t xml:space="preserve">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p>
    <w:p>
      <w:pPr>
        <w:keepNext w:val="0"/>
        <w:spacing w:before="240" w:after="0" w:line="260" w:lineRule="atLeast"/>
        <w:ind w:left="0" w:right="0" w:firstLine="0"/>
        <w:jc w:val="both"/>
      </w:pPr>
      <w:bookmarkStart w:id="53" w:name="Bookmark_para_7"/>
      <w:bookmarkEnd w:id="53"/>
      <w:bookmarkStart w:id="54" w:name="Bookmark_I67D3CYJ2N1RH60030000400"/>
      <w:bookmarkEnd w:id="54"/>
      <w:bookmarkStart w:id="55" w:name="Bookmark_I67D3CYJ28T3WV0020000400"/>
      <w:bookmarkEnd w:id="55"/>
      <w:bookmarkStart w:id="56" w:name="Bookmark_I67D3CYJ28T3WV0040000400"/>
      <w:bookmarkEnd w:id="56"/>
      <w:bookmarkStart w:id="57" w:name="Bookmark_I67D3CYK2HM6240010000400"/>
      <w:bookmarkEnd w:id="57"/>
      <w:bookmarkStart w:id="58" w:name="Bookmark_LNHNREFclscc4"/>
      <w:bookmarkEnd w:id="58"/>
      <w:hyperlink r:id="rId23"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0"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xml:space="preserve">] Naranjo's </w:t>
      </w:r>
      <w:hyperlink r:id="rId15"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claim is reviewed de novo but "subject to a harmless error analysis."</w:t>
      </w:r>
      <w:r>
        <w:rPr>
          <w:rFonts w:ascii="arial" w:eastAsia="arial" w:hAnsi="arial" w:cs="arial"/>
          <w:vertAlign w:val="superscript"/>
        </w:rPr>
        <w:footnoteReference w:customMarkFollows="1" w:id="8"/>
        <w:t xml:space="preserve">6</w:t>
      </w:r>
      <w:r>
        <w:rPr>
          <w:rFonts w:ascii="arial" w:eastAsia="arial" w:hAnsi="arial" w:cs="arial"/>
          <w:b w:val="0"/>
          <w:i w:val="0"/>
          <w:strike w:val="0"/>
          <w:noProof w:val="0"/>
          <w:color w:val="000000"/>
          <w:position w:val="0"/>
          <w:sz w:val="20"/>
          <w:u w:val="none"/>
          <w:vertAlign w:val="baseline"/>
        </w:rPr>
        <w:t xml:space="preserve"> "We assume without deciding that the [transcript] violated the </w:t>
      </w:r>
      <w:hyperlink r:id="rId15"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9"/>
        <w:t xml:space="preserve">7</w:t>
      </w:r>
      <w:r>
        <w:rPr>
          <w:rFonts w:ascii="arial" w:eastAsia="arial" w:hAnsi="arial" w:cs="arial"/>
          <w:b w:val="0"/>
          <w:i w:val="0"/>
          <w:strike w:val="0"/>
          <w:noProof w:val="0"/>
          <w:color w:val="000000"/>
          <w:position w:val="0"/>
          <w:sz w:val="20"/>
          <w:u w:val="none"/>
          <w:vertAlign w:val="baseline"/>
        </w:rPr>
        <w:t xml:space="preserve"> "We nevertheless affirm because we are convinced that the error was 'harmless beyond a reasonable doubt.'"</w:t>
      </w:r>
      <w:r>
        <w:rPr>
          <w:rFonts w:ascii="arial" w:eastAsia="arial" w:hAnsi="arial" w:cs="arial"/>
          <w:vertAlign w:val="superscript"/>
        </w:rPr>
        <w:footnoteReference w:customMarkFollows="1" w:id="10"/>
        <w:t xml:space="preserve">8</w:t>
      </w:r>
      <w:r>
        <w:rPr>
          <w:rFonts w:ascii="arial" w:eastAsia="arial" w:hAnsi="arial" w:cs="arial"/>
          <w:b w:val="0"/>
          <w:i w:val="0"/>
          <w:strike w:val="0"/>
          <w:noProof w:val="0"/>
          <w:color w:val="000000"/>
          <w:position w:val="0"/>
          <w:sz w:val="20"/>
          <w:u w:val="none"/>
          <w:vertAlign w:val="baseline"/>
        </w:rPr>
        <w:t xml:space="preserve"> That standard requires the Government to show "there was 'no reasonable possibility that the tainted evidence might have contributed to the jury's verdict of guilty.'"</w:t>
      </w:r>
      <w:r>
        <w:rPr>
          <w:rFonts w:ascii="arial" w:eastAsia="arial" w:hAnsi="arial" w:cs="arial"/>
          <w:vertAlign w:val="superscript"/>
        </w:rPr>
        <w:footnoteReference w:customMarkFollows="1" w:id="11"/>
        <w:t xml:space="preserve">9</w:t>
      </w:r>
    </w:p>
    <w:p>
      <w:pPr>
        <w:keepNext w:val="0"/>
        <w:spacing w:before="200" w:after="0" w:line="260" w:lineRule="atLeast"/>
        <w:ind w:left="0" w:right="0" w:firstLine="0"/>
        <w:jc w:val="both"/>
      </w:pPr>
      <w:bookmarkStart w:id="69" w:name="Bookmark_para_8"/>
      <w:bookmarkEnd w:id="69"/>
      <w:r>
        <w:rPr>
          <w:rFonts w:ascii="arial" w:eastAsia="arial" w:hAnsi="arial" w:cs="arial"/>
          <w:b w:val="0"/>
          <w:i w:val="0"/>
          <w:strike w:val="0"/>
          <w:noProof w:val="0"/>
          <w:color w:val="000000"/>
          <w:position w:val="0"/>
          <w:sz w:val="20"/>
          <w:u w:val="none"/>
          <w:vertAlign w:val="baseline"/>
        </w:rPr>
        <w:t>Naranjo</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argues that the transcript violated her confrontation right because Agent Donaldson, in his questions to her, repeated statements that were allegedly made by co-conspirators who were not available to testify at trial. The statements were presented to her as the story her alleged co-conspirators had told, and Donaldson asked Naranjo if everything was true.</w:t>
      </w:r>
    </w:p>
    <w:p>
      <w:pPr>
        <w:keepNext w:val="0"/>
        <w:spacing w:before="240" w:after="0" w:line="260" w:lineRule="atLeast"/>
        <w:ind w:left="0" w:right="0" w:firstLine="0"/>
        <w:jc w:val="both"/>
      </w:pPr>
      <w:bookmarkStart w:id="70" w:name="Bookmark_para_9"/>
      <w:bookmarkEnd w:id="70"/>
      <w:bookmarkStart w:id="71" w:name="Bookmark_I67D3CYK2HM6240050000400"/>
      <w:bookmarkEnd w:id="71"/>
      <w:bookmarkStart w:id="72" w:name="Bookmark_I67D3CYM2SF87W0030000400"/>
      <w:bookmarkEnd w:id="72"/>
      <w:r>
        <w:rPr>
          <w:rFonts w:ascii="arial" w:eastAsia="arial" w:hAnsi="arial" w:cs="arial"/>
          <w:b w:val="0"/>
          <w:i w:val="0"/>
          <w:strike w:val="0"/>
          <w:noProof w:val="0"/>
          <w:color w:val="000000"/>
          <w:position w:val="0"/>
          <w:sz w:val="20"/>
          <w:u w:val="none"/>
          <w:vertAlign w:val="baseline"/>
        </w:rPr>
        <w:t xml:space="preserve">The district court, in admitting the transcript over objection, twice issued a limiting instruction to the jury that "the statements of the agent in the video regarding what some other person or persons told him [are] not introduced to prove the truth of the matter asserted." </w:t>
      </w:r>
      <w:bookmarkStart w:id="73" w:name="Bookmark_LNHNREFclscc5"/>
      <w:bookmarkEnd w:id="73"/>
      <w:hyperlink r:id="rId24"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1"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xml:space="preserve">] In the </w:t>
      </w:r>
      <w:hyperlink r:id="rId15"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context evaluating a limiting instruction, we have explained "[t]he almost invariable assumption is that jurors follow such instructions. To overcome this presumption, there must be an overwhelming probability that the jury will be unable to follow the court's instruction . . . and a strong likelihood that the effect of the evidence would be devastating to the defendant."</w:t>
      </w:r>
      <w:r>
        <w:rPr>
          <w:rFonts w:ascii="arial" w:eastAsia="arial" w:hAnsi="arial" w:cs="arial"/>
          <w:vertAlign w:val="superscript"/>
        </w:rPr>
        <w:footnoteReference w:customMarkFollows="1" w:id="12"/>
        <w:t xml:space="preserve">10</w:t>
      </w:r>
      <w:r>
        <w:rPr>
          <w:rFonts w:ascii="arial" w:eastAsia="arial" w:hAnsi="arial" w:cs="arial"/>
          <w:b w:val="0"/>
          <w:i w:val="0"/>
          <w:strike w:val="0"/>
          <w:noProof w:val="0"/>
          <w:color w:val="000000"/>
          <w:position w:val="0"/>
          <w:sz w:val="20"/>
          <w:u w:val="none"/>
          <w:vertAlign w:val="baseline"/>
        </w:rPr>
        <w:t xml:space="preserve"> No such probability has been shown here.</w:t>
      </w:r>
    </w:p>
    <w:p>
      <w:pPr>
        <w:keepNext w:val="0"/>
        <w:spacing w:before="200" w:after="0" w:line="260" w:lineRule="atLeast"/>
        <w:ind w:left="0" w:right="0" w:firstLine="0"/>
        <w:jc w:val="both"/>
      </w:pPr>
      <w:bookmarkStart w:id="83" w:name="Bookmark_para_10"/>
      <w:bookmarkEnd w:id="83"/>
      <w:bookmarkStart w:id="84" w:name="Bookmark_I67D3CYM2D6N2M0040000400"/>
      <w:bookmarkEnd w:id="84"/>
      <w:r>
        <w:rPr>
          <w:rFonts w:ascii="arial" w:eastAsia="arial" w:hAnsi="arial" w:cs="arial"/>
          <w:b w:val="0"/>
          <w:i w:val="0"/>
          <w:strike w:val="0"/>
          <w:noProof w:val="0"/>
          <w:color w:val="000000"/>
          <w:position w:val="0"/>
          <w:sz w:val="20"/>
          <w:u w:val="none"/>
          <w:vertAlign w:val="baseline"/>
        </w:rPr>
        <w:t>Further, "[t]he potentially problematic sections of the [transcript] were all proven by other testimony, and therefore there is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no reasonable probability that the jury would have reached a different conclusion had those sections been redacted."</w:t>
      </w:r>
      <w:r>
        <w:rPr>
          <w:rFonts w:ascii="arial" w:eastAsia="arial" w:hAnsi="arial" w:cs="arial"/>
          <w:vertAlign w:val="superscript"/>
        </w:rPr>
        <w:footnoteReference w:customMarkFollows="1" w:id="13"/>
        <w:t xml:space="preserve">11</w:t>
      </w:r>
      <w:r>
        <w:rPr>
          <w:rFonts w:ascii="arial" w:eastAsia="arial" w:hAnsi="arial" w:cs="arial"/>
          <w:b w:val="0"/>
          <w:i w:val="0"/>
          <w:strike w:val="0"/>
          <w:noProof w:val="0"/>
          <w:color w:val="000000"/>
          <w:position w:val="0"/>
          <w:sz w:val="20"/>
          <w:u w:val="none"/>
          <w:vertAlign w:val="baseline"/>
        </w:rPr>
        <w:t xml:space="preserve"> All of the information in the agent's questions was admitted by Naranjo herself or substantiated by other evidence at trial. The only part of the agent's statement Naranjo disagreed with in the interrogation was that "the people they picked up were gonna pay them later . . . for the ride." The jury, however, found for Naranjo on that point. This indicates both that she could not have been harmed on this point and that the jury credited Naranjo's admissions rather than the agent's questions.</w:t>
      </w:r>
    </w:p>
    <w:p>
      <w:pPr>
        <w:keepNext w:val="0"/>
        <w:spacing w:before="240" w:after="0" w:line="260" w:lineRule="atLeast"/>
        <w:ind w:left="0" w:right="0" w:firstLine="0"/>
        <w:jc w:val="both"/>
      </w:pPr>
      <w:bookmarkStart w:id="89" w:name="Bookmark_para_11"/>
      <w:bookmarkEnd w:id="89"/>
      <w:bookmarkStart w:id="90" w:name="Bookmark_I67D3CYN2SF8810050000400"/>
      <w:bookmarkEnd w:id="90"/>
      <w:bookmarkStart w:id="91" w:name="Bookmark_I67D3CYN2D6N2V0010000400"/>
      <w:bookmarkEnd w:id="91"/>
      <w:bookmarkStart w:id="92" w:name="Bookmark_I67D3CYN2D6N2V0030000400"/>
      <w:bookmarkEnd w:id="92"/>
      <w:r>
        <w:rPr>
          <w:rFonts w:ascii="arial" w:eastAsia="arial" w:hAnsi="arial" w:cs="arial"/>
          <w:b w:val="0"/>
          <w:i w:val="0"/>
          <w:strike w:val="0"/>
          <w:noProof w:val="0"/>
          <w:color w:val="000000"/>
          <w:position w:val="0"/>
          <w:sz w:val="20"/>
          <w:u w:val="none"/>
          <w:vertAlign w:val="baseline"/>
        </w:rPr>
        <w:t>Finally, "</w:t>
      </w:r>
      <w:bookmarkStart w:id="93" w:name="Bookmark_LNHNREFclscc7"/>
      <w:bookmarkEnd w:id="93"/>
      <w:hyperlink r:id="rId25"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3"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[t]o decide how harmful the challenged evidence was, we consider how it was used. If the government relied on the violative testimony in its closing argument, we are more likely to conclude that the error was harmful. If the government makes only 'fleeting references' to the unconstitutional evidence, we are less likely to find harm."</w:t>
      </w:r>
      <w:r>
        <w:rPr>
          <w:rFonts w:ascii="arial" w:eastAsia="arial" w:hAnsi="arial" w:cs="arial"/>
          <w:vertAlign w:val="superscript"/>
        </w:rPr>
        <w:footnoteReference w:customMarkFollows="1" w:id="14"/>
        <w:t xml:space="preserve">12</w:t>
      </w:r>
      <w:r>
        <w:rPr>
          <w:rFonts w:ascii="arial" w:eastAsia="arial" w:hAnsi="arial" w:cs="arial"/>
          <w:b w:val="0"/>
          <w:i w:val="0"/>
          <w:strike w:val="0"/>
          <w:noProof w:val="0"/>
          <w:color w:val="000000"/>
          <w:position w:val="0"/>
          <w:sz w:val="20"/>
          <w:u w:val="none"/>
          <w:vertAlign w:val="baseline"/>
        </w:rPr>
        <w:t xml:space="preserve"> Here, "[t]he prosecution essentially pointed to [Naranjo's] own account of what happened and asked the jury to draw the only reasonable inference available."</w:t>
      </w:r>
      <w:r>
        <w:rPr>
          <w:rFonts w:ascii="arial" w:eastAsia="arial" w:hAnsi="arial" w:cs="arial"/>
          <w:vertAlign w:val="superscript"/>
        </w:rPr>
        <w:footnoteReference w:customMarkFollows="1" w:id="15"/>
        <w:t xml:space="preserve">13</w:t>
      </w:r>
      <w:r>
        <w:rPr>
          <w:rFonts w:ascii="arial" w:eastAsia="arial" w:hAnsi="arial" w:cs="arial"/>
          <w:b w:val="0"/>
          <w:i w:val="0"/>
          <w:strike w:val="0"/>
          <w:noProof w:val="0"/>
          <w:color w:val="000000"/>
          <w:position w:val="0"/>
          <w:sz w:val="20"/>
          <w:u w:val="none"/>
          <w:vertAlign w:val="baseline"/>
        </w:rPr>
        <w:t xml:space="preserve"> The prosecution did not focus on the agent's statements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in its opening or closing; it emphasized over and over again that the jury should focus on Naranjo's words. "By contrast, in cases where we've granted relief, the defendant's involvement was hotly contested, and the prosecution depended on out-of-court testimony to identify the defendant as a participant in the crime."</w:t>
      </w:r>
      <w:r>
        <w:rPr>
          <w:rFonts w:ascii="arial" w:eastAsia="arial" w:hAnsi="arial" w:cs="arial"/>
          <w:vertAlign w:val="superscript"/>
        </w:rPr>
        <w:footnoteReference w:customMarkFollows="1" w:id="16"/>
        <w:t xml:space="preserve">14</w:t>
      </w:r>
      <w:r>
        <w:rPr>
          <w:rFonts w:ascii="arial" w:eastAsia="arial" w:hAnsi="arial" w:cs="arial"/>
          <w:b w:val="0"/>
          <w:i w:val="0"/>
          <w:strike w:val="0"/>
          <w:noProof w:val="0"/>
          <w:color w:val="000000"/>
          <w:position w:val="0"/>
          <w:sz w:val="20"/>
          <w:u w:val="none"/>
          <w:vertAlign w:val="baseline"/>
        </w:rPr>
        <w:t xml:space="preserve"> Accordingly, even if there was a </w:t>
      </w:r>
      <w:hyperlink r:id="rId15"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error in admitting the transcript and recording, it was harmless.</w:t>
      </w:r>
    </w:p>
    <w:p>
      <w:pPr>
        <w:keepNext w:val="0"/>
        <w:spacing w:before="200" w:after="0" w:line="260" w:lineRule="atLeast"/>
        <w:ind w:left="0" w:right="0" w:firstLine="0"/>
        <w:jc w:val="both"/>
      </w:pPr>
      <w:bookmarkStart w:id="103" w:name="Bookmark_para_12"/>
      <w:bookmarkEnd w:id="103"/>
      <w:r>
        <w:rPr>
          <w:rFonts w:ascii="arial" w:eastAsia="arial" w:hAnsi="arial" w:cs="arial"/>
          <w:b w:val="0"/>
          <w:i w:val="0"/>
          <w:strike w:val="0"/>
          <w:noProof w:val="0"/>
          <w:color w:val="000000"/>
          <w:position w:val="0"/>
          <w:sz w:val="20"/>
          <w:u w:val="none"/>
          <w:vertAlign w:val="baseline"/>
        </w:rPr>
        <w:t>* * *</w:t>
      </w:r>
    </w:p>
    <w:p>
      <w:pPr>
        <w:keepNext w:val="0"/>
        <w:spacing w:before="200" w:after="0" w:line="260" w:lineRule="atLeast"/>
        <w:ind w:left="0" w:right="0" w:firstLine="0"/>
        <w:jc w:val="both"/>
      </w:pPr>
      <w:bookmarkStart w:id="104" w:name="Bookmark_para_13"/>
      <w:bookmarkEnd w:id="104"/>
      <w:r>
        <w:rPr>
          <w:rFonts w:ascii="arial" w:eastAsia="arial" w:hAnsi="arial" w:cs="arial"/>
          <w:b w:val="0"/>
          <w:i w:val="0"/>
          <w:strike w:val="0"/>
          <w:noProof w:val="0"/>
          <w:color w:val="000000"/>
          <w:position w:val="0"/>
          <w:sz w:val="20"/>
          <w:u w:val="none"/>
          <w:vertAlign w:val="baseline"/>
        </w:rPr>
        <w:t>For the reasons stated, the judgment of the district court is AFFIRMED.</w:t>
      </w:r>
    </w:p>
    <w:p/>
    <w:p>
      <w:pPr>
        <w:ind w:left="200"/>
      </w:pPr>
      <w:r>
        <w:br/>
      </w:r>
      <w:r>
        <w:pict>
          <v:line id="_x0000_s1045"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28" w:name="Bookmark_fnpara_1"/>
      <w:bookmarkEnd w:id="28"/>
      <w:r>
        <w:rPr>
          <w:rFonts w:ascii="arial" w:eastAsia="arial" w:hAnsi="arial" w:cs="arial"/>
          <w:b w:val="0"/>
          <w:i w:val="0"/>
          <w:strike w:val="0"/>
          <w:noProof w:val="0"/>
          <w:color w:val="000000"/>
          <w:position w:val="0"/>
          <w:sz w:val="18"/>
          <w:u w:val="none"/>
          <w:vertAlign w:val="baseline"/>
        </w:rPr>
        <w:t xml:space="preserve">This opinion is not designated for publication.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mallCaps/>
          <w:strike w:val="0"/>
          <w:noProof w:val="0"/>
          <w:color w:val="000000"/>
          <w:position w:val="0"/>
          <w:sz w:val="18"/>
          <w:u w:val="none"/>
          <w:vertAlign w:val="baseline"/>
        </w:rPr>
        <w:t>5th Cir. R.</w:t>
      </w:r>
      <w:r>
        <w:rPr>
          <w:rFonts w:ascii="arial" w:eastAsia="arial" w:hAnsi="arial" w:cs="arial"/>
          <w:b w:val="0"/>
          <w:i w:val="0"/>
          <w:strike w:val="0"/>
          <w:noProof w:val="0"/>
          <w:color w:val="000000"/>
          <w:position w:val="0"/>
          <w:sz w:val="18"/>
          <w:u w:val="none"/>
          <w:vertAlign w:val="baseline"/>
        </w:rPr>
        <w:t xml:space="preserve"> 47.5.4.</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36" w:name="Bookmark_fnpara_2"/>
      <w:bookmarkEnd w:id="36"/>
      <w:r>
        <w:rPr>
          <w:rFonts w:ascii="arial" w:eastAsia="arial" w:hAnsi="arial" w:cs="arial"/>
          <w:b w:val="0"/>
          <w:i/>
          <w:strike w:val="0"/>
          <w:noProof w:val="0"/>
          <w:color w:val="000000"/>
          <w:position w:val="0"/>
          <w:sz w:val="18"/>
          <w:u w:val="none"/>
          <w:vertAlign w:val="baseline"/>
        </w:rPr>
        <w:t xml:space="preserve">See </w:t>
      </w:r>
      <w:bookmarkStart w:id="37" w:name="Bookmark_I67D3CYH2HM61K0010000400"/>
      <w:bookmarkEnd w:id="37"/>
      <w:hyperlink r:id="rId1" w:history="1">
        <w:r>
          <w:rPr>
            <w:rFonts w:ascii="arial" w:eastAsia="arial" w:hAnsi="arial" w:cs="arial"/>
            <w:b w:val="0"/>
            <w:i/>
            <w:strike w:val="0"/>
            <w:noProof w:val="0"/>
            <w:color w:val="0077CC"/>
            <w:position w:val="0"/>
            <w:sz w:val="18"/>
            <w:u w:val="single"/>
            <w:vertAlign w:val="baseline"/>
          </w:rPr>
          <w:t>United States v. Garcia-Gonzalez</w:t>
        </w:r>
      </w:hyperlink>
      <w:hyperlink r:id="rId1" w:history="1">
        <w:r>
          <w:rPr>
            <w:rFonts w:ascii="arial" w:eastAsia="arial" w:hAnsi="arial" w:cs="arial"/>
            <w:b w:val="0"/>
            <w:i/>
            <w:strike w:val="0"/>
            <w:noProof w:val="0"/>
            <w:color w:val="0077CC"/>
            <w:position w:val="0"/>
            <w:sz w:val="18"/>
            <w:u w:val="single"/>
            <w:vertAlign w:val="baseline"/>
          </w:rPr>
          <w:t>, 714 F.3d 306, 313 (5th Cir. 2013)</w:t>
        </w:r>
      </w:hyperlink>
      <w:r>
        <w:rPr>
          <w:rFonts w:ascii="arial" w:eastAsia="arial" w:hAnsi="arial" w:cs="arial"/>
          <w:b w:val="0"/>
          <w:i w:val="0"/>
          <w:strike w:val="0"/>
          <w:noProof w:val="0"/>
          <w:color w:val="000000"/>
          <w:position w:val="0"/>
          <w:sz w:val="18"/>
          <w:u w:val="none"/>
          <w:vertAlign w:val="baseline"/>
        </w:rPr>
        <w:t xml:space="preserve"> ("</w:t>
      </w:r>
      <w:bookmarkStart w:id="38" w:name="Bookmark_LNHNREFclscc2"/>
      <w:bookmarkEnd w:id="38"/>
      <w:hyperlink r:id="rId2" w:history="1">
        <w:r>
          <w:rPr>
            <w:rFonts w:ascii="arial" w:eastAsia="arial" w:hAnsi="arial" w:cs="arial"/>
            <w:b/>
            <w:i/>
            <w:strike w:val="0"/>
            <w:noProof w:val="0"/>
            <w:color w:val="0077CC"/>
            <w:position w:val="0"/>
            <w:sz w:val="18"/>
            <w:u w:val="single"/>
            <w:vertAlign w:val="baseline"/>
          </w:rPr>
          <w:t>HN2</w:t>
        </w:r>
      </w:hyperlink>
      <w:r>
        <w:rPr>
          <w:rFonts w:ascii="arial" w:eastAsia="arial" w:hAnsi="arial" w:cs="arial"/>
          <w:b w:val="0"/>
          <w:i w:val="0"/>
          <w:strike w:val="0"/>
          <w:noProof w:val="0"/>
          <w:color w:val="000000"/>
          <w:position w:val="0"/>
          <w:sz w:val="18"/>
          <w:u w:val="none"/>
          <w:vertAlign w:val="baseline"/>
        </w:rPr>
        <w:t>[</w:t>
      </w:r>
      <w:hyperlink w:anchor="Bookmark_clscc2"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10.5pt;height:10.5pt">
              <v:imagedata r:id="rId3" o:title=""/>
            </v:shape>
          </w:pict>
        </w:r>
      </w:hyperlink>
      <w:r>
        <w:rPr>
          <w:rFonts w:ascii="arial" w:eastAsia="arial" w:hAnsi="arial" w:cs="arial"/>
          <w:b w:val="0"/>
          <w:i w:val="0"/>
          <w:strike w:val="0"/>
          <w:noProof w:val="0"/>
          <w:color w:val="000000"/>
          <w:position w:val="0"/>
          <w:sz w:val="18"/>
          <w:u w:val="none"/>
          <w:vertAlign w:val="baseline"/>
        </w:rPr>
        <w:t xml:space="preserve">] Because [defendant] moved for a judgment of acquittal at the close of the government's case, the panel reviews </w:t>
      </w:r>
      <w:r>
        <w:rPr>
          <w:rFonts w:ascii="arial" w:eastAsia="arial" w:hAnsi="arial" w:cs="arial"/>
          <w:b w:val="0"/>
          <w:i/>
          <w:strike w:val="0"/>
          <w:noProof w:val="0"/>
          <w:color w:val="000000"/>
          <w:position w:val="0"/>
          <w:sz w:val="18"/>
          <w:u w:val="none"/>
          <w:vertAlign w:val="baseline"/>
        </w:rPr>
        <w:t>de novo</w:t>
      </w:r>
      <w:r>
        <w:rPr>
          <w:rFonts w:ascii="arial" w:eastAsia="arial" w:hAnsi="arial" w:cs="arial"/>
          <w:b w:val="0"/>
          <w:i w:val="0"/>
          <w:strike w:val="0"/>
          <w:noProof w:val="0"/>
          <w:color w:val="000000"/>
          <w:position w:val="0"/>
          <w:sz w:val="18"/>
          <w:u w:val="none"/>
          <w:vertAlign w:val="baseline"/>
        </w:rPr>
        <w:t xml:space="preserve"> the question of whether the evidence was sufficient to support his conviction.").</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39" w:name="Bookmark_fnpara_3"/>
      <w:bookmarkEnd w:id="39"/>
      <w:bookmarkStart w:id="40" w:name="Bookmark_I67D3CYH2HM61K0030000400"/>
      <w:bookmarkEnd w:id="40"/>
      <w:hyperlink r:id="rId4" w:history="1">
        <w:r>
          <w:rPr>
            <w:rFonts w:ascii="arial" w:eastAsia="arial" w:hAnsi="arial" w:cs="arial"/>
            <w:b w:val="0"/>
            <w:i/>
            <w:strike w:val="0"/>
            <w:noProof w:val="0"/>
            <w:color w:val="0077CC"/>
            <w:position w:val="0"/>
            <w:sz w:val="18"/>
            <w:u w:val="single"/>
            <w:vertAlign w:val="baseline"/>
          </w:rPr>
          <w:t>United States v. Vargas-Ocampo</w:t>
        </w:r>
      </w:hyperlink>
      <w:hyperlink r:id="rId4" w:history="1">
        <w:r>
          <w:rPr>
            <w:rFonts w:ascii="arial" w:eastAsia="arial" w:hAnsi="arial" w:cs="arial"/>
            <w:b w:val="0"/>
            <w:i/>
            <w:strike w:val="0"/>
            <w:noProof w:val="0"/>
            <w:color w:val="0077CC"/>
            <w:position w:val="0"/>
            <w:sz w:val="18"/>
            <w:u w:val="single"/>
            <w:vertAlign w:val="baseline"/>
          </w:rPr>
          <w:t>, 747 F.3d 299, 301 (5th Cir. 2014)</w:t>
        </w:r>
      </w:hyperlink>
      <w:r>
        <w:rPr>
          <w:rFonts w:ascii="arial" w:eastAsia="arial" w:hAnsi="arial" w:cs="arial"/>
          <w:b w:val="0"/>
          <w:i w:val="0"/>
          <w:strike w:val="0"/>
          <w:noProof w:val="0"/>
          <w:color w:val="000000"/>
          <w:position w:val="0"/>
          <w:sz w:val="18"/>
          <w:u w:val="none"/>
          <w:vertAlign w:val="baseline"/>
        </w:rPr>
        <w:t xml:space="preserve"> (en banc) (citing </w:t>
      </w:r>
      <w:bookmarkStart w:id="41" w:name="Bookmark_I67D3CYH2HM61K0050000400"/>
      <w:bookmarkEnd w:id="41"/>
      <w:hyperlink r:id="rId5" w:history="1">
        <w:r>
          <w:rPr>
            <w:rFonts w:ascii="arial" w:eastAsia="arial" w:hAnsi="arial" w:cs="arial"/>
            <w:b w:val="0"/>
            <w:i/>
            <w:strike w:val="0"/>
            <w:noProof w:val="0"/>
            <w:color w:val="0077CC"/>
            <w:position w:val="0"/>
            <w:sz w:val="18"/>
            <w:u w:val="single"/>
            <w:vertAlign w:val="baseline"/>
          </w:rPr>
          <w:t>Jackson v. Virginia</w:t>
        </w:r>
      </w:hyperlink>
      <w:hyperlink r:id="rId5" w:history="1">
        <w:r>
          <w:rPr>
            <w:rFonts w:ascii="arial" w:eastAsia="arial" w:hAnsi="arial" w:cs="arial"/>
            <w:b w:val="0"/>
            <w:i/>
            <w:strike w:val="0"/>
            <w:noProof w:val="0"/>
            <w:color w:val="0077CC"/>
            <w:position w:val="0"/>
            <w:sz w:val="18"/>
            <w:u w:val="single"/>
            <w:vertAlign w:val="baseline"/>
          </w:rPr>
          <w:t>, 443 U.S. 307, 319, 99 S. Ct. 2781, 61 L. Ed. 2d 560 (1979)</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42" w:name="Bookmark_fnpara_4"/>
      <w:bookmarkEnd w:id="42"/>
      <w:r>
        <w:rPr>
          <w:rFonts w:ascii="arial" w:eastAsia="arial" w:hAnsi="arial" w:cs="arial"/>
          <w:b w:val="0"/>
          <w:i/>
          <w:strike w:val="0"/>
          <w:noProof w:val="0"/>
          <w:color w:val="000000"/>
          <w:position w:val="0"/>
          <w:sz w:val="18"/>
          <w:u w:val="none"/>
          <w:vertAlign w:val="baseline"/>
        </w:rPr>
        <w:t xml:space="preserve">See </w:t>
      </w:r>
      <w:bookmarkStart w:id="43" w:name="Bookmark_I67D3CYH28T3WM0020000400"/>
      <w:bookmarkEnd w:id="43"/>
      <w:hyperlink r:id="rId6" w:history="1">
        <w:r>
          <w:rPr>
            <w:rFonts w:ascii="arial" w:eastAsia="arial" w:hAnsi="arial" w:cs="arial"/>
            <w:b w:val="0"/>
            <w:i/>
            <w:strike w:val="0"/>
            <w:noProof w:val="0"/>
            <w:color w:val="0077CC"/>
            <w:position w:val="0"/>
            <w:sz w:val="18"/>
            <w:u w:val="single"/>
            <w:vertAlign w:val="baseline"/>
          </w:rPr>
          <w:t>United States v. Burton</w:t>
        </w:r>
      </w:hyperlink>
      <w:hyperlink r:id="rId6" w:history="1">
        <w:r>
          <w:rPr>
            <w:rFonts w:ascii="arial" w:eastAsia="arial" w:hAnsi="arial" w:cs="arial"/>
            <w:b w:val="0"/>
            <w:i/>
            <w:strike w:val="0"/>
            <w:noProof w:val="0"/>
            <w:color w:val="0077CC"/>
            <w:position w:val="0"/>
            <w:sz w:val="18"/>
            <w:u w:val="single"/>
            <w:vertAlign w:val="baseline"/>
          </w:rPr>
          <w:t>, 126 F.3d 666, 677 (5th Cir. 1997)</w:t>
        </w:r>
      </w:hyperlink>
      <w:r>
        <w:rPr>
          <w:rFonts w:ascii="arial" w:eastAsia="arial" w:hAnsi="arial" w:cs="arial"/>
          <w:b w:val="0"/>
          <w:i w:val="0"/>
          <w:strike w:val="0"/>
          <w:noProof w:val="0"/>
          <w:color w:val="000000"/>
          <w:position w:val="0"/>
          <w:sz w:val="18"/>
          <w:u w:val="none"/>
          <w:vertAlign w:val="baseline"/>
        </w:rPr>
        <w:t>.</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44" w:name="Bookmark_fnpara_5"/>
      <w:bookmarkEnd w:id="44"/>
      <w:bookmarkStart w:id="45" w:name="Bookmark_I67D3CYH28T3WM0040000400"/>
      <w:bookmarkEnd w:id="45"/>
      <w:hyperlink r:id="rId7" w:history="1">
        <w:r>
          <w:rPr>
            <w:rFonts w:ascii="arial" w:eastAsia="arial" w:hAnsi="arial" w:cs="arial"/>
            <w:b w:val="0"/>
            <w:i/>
            <w:strike w:val="0"/>
            <w:noProof w:val="0"/>
            <w:color w:val="0077CC"/>
            <w:position w:val="0"/>
            <w:sz w:val="18"/>
            <w:u w:val="single"/>
            <w:vertAlign w:val="baseline"/>
          </w:rPr>
          <w:t>United States v. Scott</w:t>
        </w:r>
      </w:hyperlink>
      <w:hyperlink r:id="rId7" w:history="1">
        <w:r>
          <w:rPr>
            <w:rFonts w:ascii="arial" w:eastAsia="arial" w:hAnsi="arial" w:cs="arial"/>
            <w:b w:val="0"/>
            <w:i/>
            <w:strike w:val="0"/>
            <w:noProof w:val="0"/>
            <w:color w:val="0077CC"/>
            <w:position w:val="0"/>
            <w:sz w:val="18"/>
            <w:u w:val="single"/>
            <w:vertAlign w:val="baseline"/>
          </w:rPr>
          <w:t>, 892 F.3d 791, 796-97 (5th Cir. 2018)</w:t>
        </w:r>
      </w:hyperlink>
      <w:r>
        <w:rPr>
          <w:rFonts w:ascii="arial" w:eastAsia="arial" w:hAnsi="arial" w:cs="arial"/>
          <w:b w:val="0"/>
          <w:i w:val="0"/>
          <w:strike w:val="0"/>
          <w:noProof w:val="0"/>
          <w:color w:val="000000"/>
          <w:position w:val="0"/>
          <w:sz w:val="18"/>
          <w:u w:val="none"/>
          <w:vertAlign w:val="baseline"/>
        </w:rPr>
        <w:t xml:space="preserve"> (quoting </w:t>
      </w:r>
      <w:bookmarkStart w:id="46" w:name="Bookmark_I67D3CYJ28T3WR0010000400"/>
      <w:bookmarkEnd w:id="46"/>
      <w:hyperlink r:id="rId8" w:history="1">
        <w:r>
          <w:rPr>
            <w:rFonts w:ascii="arial" w:eastAsia="arial" w:hAnsi="arial" w:cs="arial"/>
            <w:b w:val="0"/>
            <w:i/>
            <w:strike w:val="0"/>
            <w:noProof w:val="0"/>
            <w:color w:val="0077CC"/>
            <w:position w:val="0"/>
            <w:sz w:val="18"/>
            <w:u w:val="single"/>
            <w:vertAlign w:val="baseline"/>
          </w:rPr>
          <w:t>United States v. Grant</w:t>
        </w:r>
      </w:hyperlink>
      <w:hyperlink r:id="rId8" w:history="1">
        <w:r>
          <w:rPr>
            <w:rFonts w:ascii="arial" w:eastAsia="arial" w:hAnsi="arial" w:cs="arial"/>
            <w:b w:val="0"/>
            <w:i/>
            <w:strike w:val="0"/>
            <w:noProof w:val="0"/>
            <w:color w:val="0077CC"/>
            <w:position w:val="0"/>
            <w:sz w:val="18"/>
            <w:u w:val="single"/>
            <w:vertAlign w:val="baseline"/>
          </w:rPr>
          <w:t>, 683 F.3d 639, 642 (5th Cir. 2012)</w:t>
        </w:r>
      </w:hyperlink>
      <w:r>
        <w:rPr>
          <w:rFonts w:ascii="arial" w:eastAsia="arial" w:hAnsi="arial" w:cs="arial"/>
          <w:b w:val="0"/>
          <w:i w:val="0"/>
          <w:strike w:val="0"/>
          <w:noProof w:val="0"/>
          <w:color w:val="000000"/>
          <w:position w:val="0"/>
          <w:sz w:val="18"/>
          <w:u w:val="none"/>
          <w:vertAlign w:val="baseline"/>
        </w:rPr>
        <w:t>).</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49" w:name="Bookmark_fnpara_6"/>
      <w:bookmarkEnd w:id="49"/>
      <w:r>
        <w:rPr>
          <w:rFonts w:ascii="arial" w:eastAsia="arial" w:hAnsi="arial" w:cs="arial"/>
          <w:b w:val="0"/>
          <w:i/>
          <w:strike w:val="0"/>
          <w:noProof w:val="0"/>
          <w:color w:val="000000"/>
          <w:position w:val="0"/>
          <w:sz w:val="18"/>
          <w:u w:val="none"/>
          <w:vertAlign w:val="baseline"/>
        </w:rPr>
        <w:t xml:space="preserve">See </w:t>
      </w:r>
      <w:bookmarkStart w:id="50" w:name="Bookmark_I67D3CYJ28T3WR0030000400"/>
      <w:bookmarkEnd w:id="50"/>
      <w:hyperlink r:id="rId9" w:history="1">
        <w:r>
          <w:rPr>
            <w:rFonts w:ascii="arial" w:eastAsia="arial" w:hAnsi="arial" w:cs="arial"/>
            <w:b w:val="0"/>
            <w:i/>
            <w:strike w:val="0"/>
            <w:noProof w:val="0"/>
            <w:color w:val="0077CC"/>
            <w:position w:val="0"/>
            <w:sz w:val="18"/>
            <w:u w:val="single"/>
            <w:vertAlign w:val="baseline"/>
          </w:rPr>
          <w:t>United States v. Jimenez-Elvirez</w:t>
        </w:r>
      </w:hyperlink>
      <w:hyperlink r:id="rId9" w:history="1">
        <w:r>
          <w:rPr>
            <w:rFonts w:ascii="arial" w:eastAsia="arial" w:hAnsi="arial" w:cs="arial"/>
            <w:b w:val="0"/>
            <w:i/>
            <w:strike w:val="0"/>
            <w:noProof w:val="0"/>
            <w:color w:val="0077CC"/>
            <w:position w:val="0"/>
            <w:sz w:val="18"/>
            <w:u w:val="single"/>
            <w:vertAlign w:val="baseline"/>
          </w:rPr>
          <w:t>, 862 F.3d 527, 534 (5th Cir. 2017)</w:t>
        </w:r>
      </w:hyperlink>
      <w:r>
        <w:rPr>
          <w:rFonts w:ascii="arial" w:eastAsia="arial" w:hAnsi="arial" w:cs="arial"/>
          <w:b w:val="0"/>
          <w:i w:val="0"/>
          <w:strike w:val="0"/>
          <w:noProof w:val="0"/>
          <w:color w:val="000000"/>
          <w:position w:val="0"/>
          <w:sz w:val="18"/>
          <w:u w:val="none"/>
          <w:vertAlign w:val="baseline"/>
        </w:rPr>
        <w:t xml:space="preserve"> </w:t>
      </w:r>
      <w:bookmarkStart w:id="51" w:name="Bookmark_LNHNREFclscc3"/>
      <w:bookmarkEnd w:id="51"/>
      <w:hyperlink r:id="rId10" w:history="1">
        <w:r>
          <w:rPr>
            <w:rFonts w:ascii="arial" w:eastAsia="arial" w:hAnsi="arial" w:cs="arial"/>
            <w:b/>
            <w:i/>
            <w:strike w:val="0"/>
            <w:noProof w:val="0"/>
            <w:color w:val="0077CC"/>
            <w:position w:val="0"/>
            <w:sz w:val="18"/>
            <w:u w:val="single"/>
            <w:vertAlign w:val="baseline"/>
          </w:rPr>
          <w:t>HN3</w:t>
        </w:r>
      </w:hyperlink>
      <w:r>
        <w:rPr>
          <w:rFonts w:ascii="arial" w:eastAsia="arial" w:hAnsi="arial" w:cs="arial"/>
          <w:b w:val="0"/>
          <w:i w:val="0"/>
          <w:strike w:val="0"/>
          <w:noProof w:val="0"/>
          <w:color w:val="000000"/>
          <w:position w:val="0"/>
          <w:sz w:val="18"/>
          <w:u w:val="none"/>
          <w:vertAlign w:val="baseline"/>
        </w:rPr>
        <w:t>[</w:t>
      </w:r>
      <w:hyperlink w:anchor="Bookmark_clscc3" w:history="1">
        <w:r>
          <w:pict>
            <v:shape id="_x0000_i1039" type="#_x0000_t75" style="width:10.5pt;height:10.5pt">
              <v:imagedata r:id="rId3" o:title=""/>
            </v:shape>
          </w:pict>
        </w:r>
      </w:hyperlink>
      <w:r>
        <w:rPr>
          <w:rFonts w:ascii="arial" w:eastAsia="arial" w:hAnsi="arial" w:cs="arial"/>
          <w:b w:val="0"/>
          <w:i w:val="0"/>
          <w:strike w:val="0"/>
          <w:noProof w:val="0"/>
          <w:color w:val="000000"/>
          <w:position w:val="0"/>
          <w:sz w:val="18"/>
          <w:u w:val="none"/>
          <w:vertAlign w:val="baseline"/>
        </w:rPr>
        <w:t xml:space="preserve">] ("The elements of conspiracy may be established solely by circumstantial evidence, including 'the presence, association, and concerted action of the defendant with others.'" (quoting </w:t>
      </w:r>
      <w:bookmarkStart w:id="52" w:name="Bookmark_I67D3CYJ28T3WR0050000400"/>
      <w:bookmarkEnd w:id="52"/>
      <w:hyperlink r:id="rId11" w:history="1">
        <w:r>
          <w:rPr>
            <w:rFonts w:ascii="arial" w:eastAsia="arial" w:hAnsi="arial" w:cs="arial"/>
            <w:b w:val="0"/>
            <w:i/>
            <w:strike w:val="0"/>
            <w:noProof w:val="0"/>
            <w:color w:val="0077CC"/>
            <w:position w:val="0"/>
            <w:sz w:val="18"/>
            <w:u w:val="single"/>
            <w:vertAlign w:val="baseline"/>
          </w:rPr>
          <w:t>United States v. Thomas</w:t>
        </w:r>
      </w:hyperlink>
      <w:hyperlink r:id="rId11" w:history="1">
        <w:r>
          <w:rPr>
            <w:rFonts w:ascii="arial" w:eastAsia="arial" w:hAnsi="arial" w:cs="arial"/>
            <w:b w:val="0"/>
            <w:i/>
            <w:strike w:val="0"/>
            <w:noProof w:val="0"/>
            <w:color w:val="0077CC"/>
            <w:position w:val="0"/>
            <w:sz w:val="18"/>
            <w:u w:val="single"/>
            <w:vertAlign w:val="baseline"/>
          </w:rPr>
          <w:t>, 690 F.3d 358, 366 (5th Cir. 2012)</w:t>
        </w:r>
      </w:hyperlink>
      <w:r>
        <w:rPr>
          <w:rFonts w:ascii="arial" w:eastAsia="arial" w:hAnsi="arial" w:cs="arial"/>
          <w:b w:val="0"/>
          <w:i w:val="0"/>
          <w:strike w:val="0"/>
          <w:noProof w:val="0"/>
          <w:color w:val="000000"/>
          <w:position w:val="0"/>
          <w:sz w:val="18"/>
          <w:u w:val="none"/>
          <w:vertAlign w:val="baseline"/>
        </w:rPr>
        <w:t>)).</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59" w:name="Bookmark_fnpara_7"/>
      <w:bookmarkEnd w:id="59"/>
      <w:r>
        <w:rPr>
          <w:rFonts w:ascii="arial" w:eastAsia="arial" w:hAnsi="arial" w:cs="arial"/>
          <w:b w:val="0"/>
          <w:i/>
          <w:strike w:val="0"/>
          <w:noProof w:val="0"/>
          <w:color w:val="000000"/>
          <w:position w:val="0"/>
          <w:sz w:val="18"/>
          <w:u w:val="none"/>
          <w:vertAlign w:val="baseline"/>
        </w:rPr>
        <w:t xml:space="preserve">See </w:t>
      </w:r>
      <w:bookmarkStart w:id="60" w:name="Bookmark_I67D3CYJ2N1RH60020000400"/>
      <w:bookmarkEnd w:id="60"/>
      <w:hyperlink r:id="rId12" w:history="1">
        <w:r>
          <w:rPr>
            <w:rFonts w:ascii="arial" w:eastAsia="arial" w:hAnsi="arial" w:cs="arial"/>
            <w:b w:val="0"/>
            <w:i/>
            <w:strike w:val="0"/>
            <w:noProof w:val="0"/>
            <w:color w:val="0077CC"/>
            <w:position w:val="0"/>
            <w:sz w:val="18"/>
            <w:u w:val="single"/>
            <w:vertAlign w:val="baseline"/>
          </w:rPr>
          <w:t>United States v. Bell</w:t>
        </w:r>
      </w:hyperlink>
      <w:hyperlink r:id="rId12" w:history="1">
        <w:r>
          <w:rPr>
            <w:rFonts w:ascii="arial" w:eastAsia="arial" w:hAnsi="arial" w:cs="arial"/>
            <w:b w:val="0"/>
            <w:i/>
            <w:strike w:val="0"/>
            <w:noProof w:val="0"/>
            <w:color w:val="0077CC"/>
            <w:position w:val="0"/>
            <w:sz w:val="18"/>
            <w:u w:val="single"/>
            <w:vertAlign w:val="baseline"/>
          </w:rPr>
          <w:t>, 367 F.3d 452, 465 (5th Cir. 2004)</w:t>
        </w:r>
      </w:hyperlink>
      <w:r>
        <w:rPr>
          <w:rFonts w:ascii="arial" w:eastAsia="arial" w:hAnsi="arial" w:cs="arial"/>
          <w:b w:val="0"/>
          <w:i w:val="0"/>
          <w:strike w:val="0"/>
          <w:noProof w:val="0"/>
          <w:color w:val="000000"/>
          <w:position w:val="0"/>
          <w:sz w:val="18"/>
          <w:u w:val="none"/>
          <w:vertAlign w:val="baseline"/>
        </w:rPr>
        <w:t xml:space="preserve"> (citing </w:t>
      </w:r>
      <w:bookmarkStart w:id="61" w:name="Bookmark_I67D3CYJ2N1RH60040000400"/>
      <w:bookmarkEnd w:id="61"/>
      <w:hyperlink r:id="rId13" w:history="1">
        <w:r>
          <w:rPr>
            <w:rFonts w:ascii="arial" w:eastAsia="arial" w:hAnsi="arial" w:cs="arial"/>
            <w:b w:val="0"/>
            <w:i/>
            <w:strike w:val="0"/>
            <w:noProof w:val="0"/>
            <w:color w:val="0077CC"/>
            <w:position w:val="0"/>
            <w:sz w:val="18"/>
            <w:u w:val="single"/>
            <w:vertAlign w:val="baseline"/>
          </w:rPr>
          <w:t>United States v. McCormick</w:t>
        </w:r>
      </w:hyperlink>
      <w:hyperlink r:id="rId13" w:history="1">
        <w:r>
          <w:rPr>
            <w:rFonts w:ascii="arial" w:eastAsia="arial" w:hAnsi="arial" w:cs="arial"/>
            <w:b w:val="0"/>
            <w:i/>
            <w:strike w:val="0"/>
            <w:noProof w:val="0"/>
            <w:color w:val="0077CC"/>
            <w:position w:val="0"/>
            <w:sz w:val="18"/>
            <w:u w:val="single"/>
            <w:vertAlign w:val="baseline"/>
          </w:rPr>
          <w:t>, 54 F.3d 214, 219 (5th Cir. 1995)</w:t>
        </w:r>
      </w:hyperlink>
      <w:r>
        <w:rPr>
          <w:rFonts w:ascii="arial" w:eastAsia="arial" w:hAnsi="arial" w:cs="arial"/>
          <w:b w:val="0"/>
          <w:i w:val="0"/>
          <w:strike w:val="0"/>
          <w:noProof w:val="0"/>
          <w:color w:val="000000"/>
          <w:position w:val="0"/>
          <w:sz w:val="18"/>
          <w:u w:val="none"/>
          <w:vertAlign w:val="baseline"/>
        </w:rPr>
        <w:t>).</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62" w:name="Bookmark_fnpara_8"/>
      <w:bookmarkEnd w:id="62"/>
      <w:r>
        <w:rPr>
          <w:rFonts w:ascii="arial" w:eastAsia="arial" w:hAnsi="arial" w:cs="arial"/>
          <w:b w:val="0"/>
          <w:i/>
          <w:strike w:val="0"/>
          <w:noProof w:val="0"/>
          <w:color w:val="000000"/>
          <w:position w:val="0"/>
          <w:sz w:val="18"/>
          <w:u w:val="none"/>
          <w:vertAlign w:val="baseline"/>
        </w:rPr>
        <w:t xml:space="preserve">See </w:t>
      </w:r>
      <w:bookmarkStart w:id="63" w:name="Bookmark_I67D3CYJ28T3WV0010000400"/>
      <w:bookmarkEnd w:id="63"/>
      <w:hyperlink r:id="rId14" w:history="1">
        <w:r>
          <w:rPr>
            <w:rFonts w:ascii="arial" w:eastAsia="arial" w:hAnsi="arial" w:cs="arial"/>
            <w:b w:val="0"/>
            <w:i/>
            <w:strike w:val="0"/>
            <w:noProof w:val="0"/>
            <w:color w:val="0077CC"/>
            <w:position w:val="0"/>
            <w:sz w:val="18"/>
            <w:u w:val="single"/>
            <w:vertAlign w:val="baseline"/>
          </w:rPr>
          <w:t>United States v. Sarli</w:t>
        </w:r>
      </w:hyperlink>
      <w:hyperlink r:id="rId14" w:history="1">
        <w:r>
          <w:rPr>
            <w:rFonts w:ascii="arial" w:eastAsia="arial" w:hAnsi="arial" w:cs="arial"/>
            <w:b w:val="0"/>
            <w:i/>
            <w:strike w:val="0"/>
            <w:noProof w:val="0"/>
            <w:color w:val="0077CC"/>
            <w:position w:val="0"/>
            <w:sz w:val="18"/>
            <w:u w:val="single"/>
            <w:vertAlign w:val="baseline"/>
          </w:rPr>
          <w:t>, 913 F.3d 491, 496 (5th Cir. 2019)</w:t>
        </w:r>
      </w:hyperlink>
      <w:r>
        <w:rPr>
          <w:rFonts w:ascii="arial" w:eastAsia="arial" w:hAnsi="arial" w:cs="arial"/>
          <w:b w:val="0"/>
          <w:i w:val="0"/>
          <w:strike w:val="0"/>
          <w:noProof w:val="0"/>
          <w:color w:val="000000"/>
          <w:position w:val="0"/>
          <w:sz w:val="18"/>
          <w:u w:val="none"/>
          <w:vertAlign w:val="baseline"/>
        </w:rPr>
        <w:t>.</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64" w:name="Bookmark_fnpara_9"/>
      <w:bookmarkEnd w:id="64"/>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(quoting </w:t>
      </w:r>
      <w:bookmarkStart w:id="65" w:name="Bookmark_I67D3CYJ28T3WV0030000400"/>
      <w:bookmarkEnd w:id="65"/>
      <w:hyperlink r:id="rId15" w:history="1">
        <w:r>
          <w:rPr>
            <w:rFonts w:ascii="arial" w:eastAsia="arial" w:hAnsi="arial" w:cs="arial"/>
            <w:b w:val="0"/>
            <w:i/>
            <w:strike w:val="0"/>
            <w:noProof w:val="0"/>
            <w:color w:val="0077CC"/>
            <w:position w:val="0"/>
            <w:sz w:val="18"/>
            <w:u w:val="single"/>
            <w:vertAlign w:val="baseline"/>
          </w:rPr>
          <w:t>United States v. Jimenez</w:t>
        </w:r>
      </w:hyperlink>
      <w:hyperlink r:id="rId15" w:history="1">
        <w:r>
          <w:rPr>
            <w:rFonts w:ascii="arial" w:eastAsia="arial" w:hAnsi="arial" w:cs="arial"/>
            <w:b w:val="0"/>
            <w:i/>
            <w:strike w:val="0"/>
            <w:noProof w:val="0"/>
            <w:color w:val="0077CC"/>
            <w:position w:val="0"/>
            <w:sz w:val="18"/>
            <w:u w:val="single"/>
            <w:vertAlign w:val="baseline"/>
          </w:rPr>
          <w:t>, 464 F.3d 555, 562 (5th Cir. 2006)</w:t>
        </w:r>
      </w:hyperlink>
      <w:r>
        <w:rPr>
          <w:rFonts w:ascii="arial" w:eastAsia="arial" w:hAnsi="arial" w:cs="arial"/>
          <w:b w:val="0"/>
          <w:i w:val="0"/>
          <w:strike w:val="0"/>
          <w:noProof w:val="0"/>
          <w:color w:val="000000"/>
          <w:position w:val="0"/>
          <w:sz w:val="18"/>
          <w:u w:val="none"/>
          <w:vertAlign w:val="baseline"/>
        </w:rPr>
        <w:t>).</w:t>
      </w:r>
    </w:p>
  </w:footnote>
  <w:footnote w:id="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66" w:name="Bookmark_fnpara_10"/>
      <w:bookmarkEnd w:id="66"/>
      <w:bookmarkStart w:id="67" w:name="Bookmark_I67D3CYJ28T3WV0050000400"/>
      <w:bookmarkEnd w:id="67"/>
      <w:hyperlink r:id="rId16" w:history="1">
        <w:r>
          <w:rPr>
            <w:rFonts w:ascii="arial" w:eastAsia="arial" w:hAnsi="arial" w:cs="arial"/>
            <w:b w:val="0"/>
            <w:i/>
            <w:strike w:val="0"/>
            <w:noProof w:val="0"/>
            <w:color w:val="0077CC"/>
            <w:position w:val="0"/>
            <w:sz w:val="18"/>
            <w:u w:val="single"/>
            <w:vertAlign w:val="baseline"/>
          </w:rPr>
          <w:t>United States v. Buluc</w:t>
        </w:r>
      </w:hyperlink>
      <w:hyperlink r:id="rId16" w:history="1">
        <w:r>
          <w:rPr>
            <w:rFonts w:ascii="arial" w:eastAsia="arial" w:hAnsi="arial" w:cs="arial"/>
            <w:b w:val="0"/>
            <w:i/>
            <w:strike w:val="0"/>
            <w:noProof w:val="0"/>
            <w:color w:val="0077CC"/>
            <w:position w:val="0"/>
            <w:sz w:val="18"/>
            <w:u w:val="single"/>
            <w:vertAlign w:val="baseline"/>
          </w:rPr>
          <w:t>, 930 F.3d 383, 392 (5th Cir. 2019)</w:t>
        </w:r>
      </w:hyperlink>
      <w:r>
        <w:rPr>
          <w:rFonts w:ascii="arial" w:eastAsia="arial" w:hAnsi="arial" w:cs="arial"/>
          <w:b w:val="0"/>
          <w:i w:val="0"/>
          <w:strike w:val="0"/>
          <w:noProof w:val="0"/>
          <w:color w:val="000000"/>
          <w:position w:val="0"/>
          <w:sz w:val="18"/>
          <w:u w:val="none"/>
          <w:vertAlign w:val="baseline"/>
        </w:rPr>
        <w:t xml:space="preserve"> (quoting </w:t>
      </w:r>
      <w:bookmarkStart w:id="68" w:name="Bookmark_I67D3CYK2HM6240020000400"/>
      <w:bookmarkEnd w:id="68"/>
      <w:hyperlink r:id="rId17" w:history="1">
        <w:r>
          <w:rPr>
            <w:rFonts w:ascii="arial" w:eastAsia="arial" w:hAnsi="arial" w:cs="arial"/>
            <w:b w:val="0"/>
            <w:i/>
            <w:strike w:val="0"/>
            <w:noProof w:val="0"/>
            <w:color w:val="0077CC"/>
            <w:position w:val="0"/>
            <w:sz w:val="18"/>
            <w:u w:val="single"/>
            <w:vertAlign w:val="baseline"/>
          </w:rPr>
          <w:t>United States v. Jones</w:t>
        </w:r>
      </w:hyperlink>
      <w:hyperlink r:id="rId17" w:history="1">
        <w:r>
          <w:rPr>
            <w:rFonts w:ascii="arial" w:eastAsia="arial" w:hAnsi="arial" w:cs="arial"/>
            <w:b w:val="0"/>
            <w:i/>
            <w:strike w:val="0"/>
            <w:noProof w:val="0"/>
            <w:color w:val="0077CC"/>
            <w:position w:val="0"/>
            <w:sz w:val="18"/>
            <w:u w:val="single"/>
            <w:vertAlign w:val="baseline"/>
          </w:rPr>
          <w:t>, 930 F.3d 366, 379 (5th Cir. 2019)</w:t>
        </w:r>
      </w:hyperlink>
      <w:r>
        <w:rPr>
          <w:rFonts w:ascii="arial" w:eastAsia="arial" w:hAnsi="arial" w:cs="arial"/>
          <w:b w:val="0"/>
          <w:i w:val="0"/>
          <w:strike w:val="0"/>
          <w:noProof w:val="0"/>
          <w:color w:val="000000"/>
          <w:position w:val="0"/>
          <w:sz w:val="18"/>
          <w:u w:val="none"/>
          <w:vertAlign w:val="baseline"/>
        </w:rPr>
        <w:t>).</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74" w:name="Bookmark_fnpara_11"/>
      <w:bookmarkEnd w:id="74"/>
      <w:bookmarkStart w:id="75" w:name="Bookmark_I67D3CYK2HM6240040000400"/>
      <w:bookmarkEnd w:id="75"/>
      <w:hyperlink r:id="rId18" w:history="1">
        <w:r>
          <w:rPr>
            <w:rFonts w:ascii="arial" w:eastAsia="arial" w:hAnsi="arial" w:cs="arial"/>
            <w:b w:val="0"/>
            <w:i/>
            <w:strike w:val="0"/>
            <w:noProof w:val="0"/>
            <w:color w:val="0077CC"/>
            <w:position w:val="0"/>
            <w:sz w:val="18"/>
            <w:u w:val="single"/>
            <w:vertAlign w:val="baseline"/>
          </w:rPr>
          <w:t>United States v. Moparty</w:t>
        </w:r>
      </w:hyperlink>
      <w:hyperlink r:id="rId18" w:history="1">
        <w:r>
          <w:rPr>
            <w:rFonts w:ascii="arial" w:eastAsia="arial" w:hAnsi="arial" w:cs="arial"/>
            <w:b w:val="0"/>
            <w:i/>
            <w:strike w:val="0"/>
            <w:noProof w:val="0"/>
            <w:color w:val="0077CC"/>
            <w:position w:val="0"/>
            <w:sz w:val="18"/>
            <w:u w:val="single"/>
            <w:vertAlign w:val="baseline"/>
          </w:rPr>
          <w:t>, 11 F.4th 280, 292 (5th Cir. 2021)</w:t>
        </w:r>
      </w:hyperlink>
      <w:r>
        <w:rPr>
          <w:rFonts w:ascii="arial" w:eastAsia="arial" w:hAnsi="arial" w:cs="arial"/>
          <w:b w:val="0"/>
          <w:i w:val="0"/>
          <w:strike w:val="0"/>
          <w:noProof w:val="0"/>
          <w:color w:val="000000"/>
          <w:position w:val="0"/>
          <w:sz w:val="18"/>
          <w:u w:val="none"/>
          <w:vertAlign w:val="baseline"/>
        </w:rPr>
        <w:t xml:space="preserve"> (first quoting </w:t>
      </w:r>
      <w:bookmarkStart w:id="76" w:name="Bookmark_I67D3CYK2N1RHH0010000400"/>
      <w:bookmarkEnd w:id="76"/>
      <w:hyperlink r:id="rId19" w:history="1">
        <w:r>
          <w:rPr>
            <w:rFonts w:ascii="arial" w:eastAsia="arial" w:hAnsi="arial" w:cs="arial"/>
            <w:b w:val="0"/>
            <w:i/>
            <w:strike w:val="0"/>
            <w:noProof w:val="0"/>
            <w:color w:val="0077CC"/>
            <w:position w:val="0"/>
            <w:sz w:val="18"/>
            <w:u w:val="single"/>
            <w:vertAlign w:val="baseline"/>
          </w:rPr>
          <w:t>United States v. Ramos-Cardenas</w:t>
        </w:r>
      </w:hyperlink>
      <w:hyperlink r:id="rId19" w:history="1">
        <w:r>
          <w:rPr>
            <w:rFonts w:ascii="arial" w:eastAsia="arial" w:hAnsi="arial" w:cs="arial"/>
            <w:b w:val="0"/>
            <w:i/>
            <w:strike w:val="0"/>
            <w:noProof w:val="0"/>
            <w:color w:val="0077CC"/>
            <w:position w:val="0"/>
            <w:sz w:val="18"/>
            <w:u w:val="single"/>
            <w:vertAlign w:val="baseline"/>
          </w:rPr>
          <w:t>, 524 F.3d 600, 611 (5th Cir. 2008)</w:t>
        </w:r>
      </w:hyperlink>
      <w:r>
        <w:rPr>
          <w:rFonts w:ascii="arial" w:eastAsia="arial" w:hAnsi="arial" w:cs="arial"/>
          <w:b w:val="0"/>
          <w:i w:val="0"/>
          <w:strike w:val="0"/>
          <w:noProof w:val="0"/>
          <w:color w:val="000000"/>
          <w:position w:val="0"/>
          <w:sz w:val="18"/>
          <w:u w:val="none"/>
          <w:vertAlign w:val="baseline"/>
        </w:rPr>
        <w:t xml:space="preserve">; and then quoting </w:t>
      </w:r>
      <w:bookmarkStart w:id="77" w:name="Bookmark_I67D3CYK2N1RHH0030000400"/>
      <w:bookmarkEnd w:id="77"/>
      <w:hyperlink r:id="rId20" w:history="1">
        <w:r>
          <w:rPr>
            <w:rFonts w:ascii="arial" w:eastAsia="arial" w:hAnsi="arial" w:cs="arial"/>
            <w:b w:val="0"/>
            <w:i/>
            <w:strike w:val="0"/>
            <w:noProof w:val="0"/>
            <w:color w:val="0077CC"/>
            <w:position w:val="0"/>
            <w:sz w:val="18"/>
            <w:u w:val="single"/>
            <w:vertAlign w:val="baseline"/>
          </w:rPr>
          <w:t>Greer v. Miller</w:t>
        </w:r>
      </w:hyperlink>
      <w:hyperlink r:id="rId20" w:history="1">
        <w:r>
          <w:rPr>
            <w:rFonts w:ascii="arial" w:eastAsia="arial" w:hAnsi="arial" w:cs="arial"/>
            <w:b w:val="0"/>
            <w:i/>
            <w:strike w:val="0"/>
            <w:noProof w:val="0"/>
            <w:color w:val="0077CC"/>
            <w:position w:val="0"/>
            <w:sz w:val="18"/>
            <w:u w:val="single"/>
            <w:vertAlign w:val="baseline"/>
          </w:rPr>
          <w:t>, 483 U.S. 756, 766 n.8, 107 S. Ct. 3102, 97 L. Ed. 2d 618 (1987)</w:t>
        </w:r>
      </w:hyperlink>
      <w:r>
        <w:rPr>
          <w:rFonts w:ascii="arial" w:eastAsia="arial" w:hAnsi="arial" w:cs="arial"/>
          <w:b w:val="0"/>
          <w:i w:val="0"/>
          <w:strike w:val="0"/>
          <w:noProof w:val="0"/>
          <w:color w:val="000000"/>
          <w:position w:val="0"/>
          <w:sz w:val="18"/>
          <w:u w:val="none"/>
          <w:vertAlign w:val="baseline"/>
        </w:rPr>
        <w:t xml:space="preserve">) (internal quotation marks and citations omitted); </w:t>
      </w:r>
      <w:r>
        <w:rPr>
          <w:rFonts w:ascii="arial" w:eastAsia="arial" w:hAnsi="arial" w:cs="arial"/>
          <w:b w:val="0"/>
          <w:i/>
          <w:strike w:val="0"/>
          <w:noProof w:val="0"/>
          <w:color w:val="000000"/>
          <w:position w:val="0"/>
          <w:sz w:val="18"/>
          <w:u w:val="none"/>
          <w:vertAlign w:val="baseline"/>
        </w:rPr>
        <w:t xml:space="preserve">see also </w:t>
      </w:r>
      <w:bookmarkStart w:id="78" w:name="Bookmark_I67D3CYK2N1RHH0050000400"/>
      <w:bookmarkEnd w:id="78"/>
      <w:hyperlink r:id="rId21" w:history="1">
        <w:r>
          <w:rPr>
            <w:rFonts w:ascii="arial" w:eastAsia="arial" w:hAnsi="arial" w:cs="arial"/>
            <w:b w:val="0"/>
            <w:i/>
            <w:strike w:val="0"/>
            <w:noProof w:val="0"/>
            <w:color w:val="0077CC"/>
            <w:position w:val="0"/>
            <w:sz w:val="18"/>
            <w:u w:val="single"/>
            <w:vertAlign w:val="baseline"/>
          </w:rPr>
          <w:t>United States v. Acosta</w:t>
        </w:r>
      </w:hyperlink>
      <w:hyperlink r:id="rId21" w:history="1">
        <w:r>
          <w:rPr>
            <w:rFonts w:ascii="arial" w:eastAsia="arial" w:hAnsi="arial" w:cs="arial"/>
            <w:b w:val="0"/>
            <w:i/>
            <w:strike w:val="0"/>
            <w:noProof w:val="0"/>
            <w:color w:val="0077CC"/>
            <w:position w:val="0"/>
            <w:sz w:val="18"/>
            <w:u w:val="single"/>
            <w:vertAlign w:val="baseline"/>
          </w:rPr>
          <w:t>, 475 F.3d 677, 683 (5th Cir. 2007)</w:t>
        </w:r>
      </w:hyperlink>
      <w:r>
        <w:rPr>
          <w:rFonts w:ascii="arial" w:eastAsia="arial" w:hAnsi="arial" w:cs="arial"/>
          <w:b w:val="0"/>
          <w:i w:val="0"/>
          <w:strike w:val="0"/>
          <w:noProof w:val="0"/>
          <w:color w:val="000000"/>
          <w:position w:val="0"/>
          <w:sz w:val="18"/>
          <w:u w:val="none"/>
          <w:vertAlign w:val="baseline"/>
        </w:rPr>
        <w:t xml:space="preserve"> </w:t>
      </w:r>
      <w:bookmarkStart w:id="79" w:name="Bookmark_LNHNREFclscc6"/>
      <w:bookmarkEnd w:id="79"/>
      <w:hyperlink r:id="rId22" w:history="1">
        <w:r>
          <w:rPr>
            <w:rFonts w:ascii="arial" w:eastAsia="arial" w:hAnsi="arial" w:cs="arial"/>
            <w:b/>
            <w:i/>
            <w:strike w:val="0"/>
            <w:noProof w:val="0"/>
            <w:color w:val="0077CC"/>
            <w:position w:val="0"/>
            <w:sz w:val="18"/>
            <w:u w:val="single"/>
            <w:vertAlign w:val="baseline"/>
          </w:rPr>
          <w:t>HN6</w:t>
        </w:r>
      </w:hyperlink>
      <w:r>
        <w:rPr>
          <w:rFonts w:ascii="arial" w:eastAsia="arial" w:hAnsi="arial" w:cs="arial"/>
          <w:b w:val="0"/>
          <w:i w:val="0"/>
          <w:strike w:val="0"/>
          <w:noProof w:val="0"/>
          <w:color w:val="000000"/>
          <w:position w:val="0"/>
          <w:sz w:val="18"/>
          <w:u w:val="none"/>
          <w:vertAlign w:val="baseline"/>
        </w:rPr>
        <w:t>[</w:t>
      </w:r>
      <w:hyperlink w:anchor="Bookmark_clscc6" w:history="1">
        <w:r>
          <w:pict>
            <v:shape id="_x0000_i1042" type="#_x0000_t75" style="width:10.5pt;height:10.5pt">
              <v:imagedata r:id="rId3" o:title=""/>
            </v:shape>
          </w:pict>
        </w:r>
      </w:hyperlink>
      <w:r>
        <w:rPr>
          <w:rFonts w:ascii="arial" w:eastAsia="arial" w:hAnsi="arial" w:cs="arial"/>
          <w:b w:val="0"/>
          <w:i w:val="0"/>
          <w:strike w:val="0"/>
          <w:noProof w:val="0"/>
          <w:color w:val="000000"/>
          <w:position w:val="0"/>
          <w:sz w:val="18"/>
          <w:u w:val="none"/>
          <w:vertAlign w:val="baseline"/>
        </w:rPr>
        <w:t xml:space="preserve">] ("Juries are presumed to follow limiting instructions. Because the statement was not admitted to establish the truth of the matter asserted, it does not contravene </w:t>
      </w:r>
      <w:r>
        <w:rPr>
          <w:rFonts w:ascii="arial" w:eastAsia="arial" w:hAnsi="arial" w:cs="arial"/>
          <w:b w:val="0"/>
          <w:i/>
          <w:strike w:val="0"/>
          <w:noProof w:val="0"/>
          <w:color w:val="000000"/>
          <w:position w:val="0"/>
          <w:sz w:val="18"/>
          <w:u w:val="none"/>
          <w:vertAlign w:val="baseline"/>
        </w:rPr>
        <w:t>Crawford</w:t>
      </w:r>
      <w:r>
        <w:rPr>
          <w:rFonts w:ascii="arial" w:eastAsia="arial" w:hAnsi="arial" w:cs="arial"/>
          <w:b w:val="0"/>
          <w:i w:val="0"/>
          <w:strike w:val="0"/>
          <w:noProof w:val="0"/>
          <w:color w:val="000000"/>
          <w:position w:val="0"/>
          <w:sz w:val="18"/>
          <w:u w:val="none"/>
          <w:vertAlign w:val="baseline"/>
        </w:rPr>
        <w:t xml:space="preserve">." (citing </w:t>
      </w:r>
      <w:bookmarkStart w:id="80" w:name="Bookmark_I67D3CYM2SF87W0020000400"/>
      <w:bookmarkEnd w:id="80"/>
      <w:hyperlink r:id="rId23" w:history="1">
        <w:r>
          <w:rPr>
            <w:rFonts w:ascii="arial" w:eastAsia="arial" w:hAnsi="arial" w:cs="arial"/>
            <w:b w:val="0"/>
            <w:i/>
            <w:strike w:val="0"/>
            <w:noProof w:val="0"/>
            <w:color w:val="0077CC"/>
            <w:position w:val="0"/>
            <w:sz w:val="18"/>
            <w:u w:val="single"/>
            <w:vertAlign w:val="baseline"/>
          </w:rPr>
          <w:t>United States v. Bieganowski</w:t>
        </w:r>
      </w:hyperlink>
      <w:hyperlink r:id="rId23" w:history="1">
        <w:r>
          <w:rPr>
            <w:rFonts w:ascii="arial" w:eastAsia="arial" w:hAnsi="arial" w:cs="arial"/>
            <w:b w:val="0"/>
            <w:i/>
            <w:strike w:val="0"/>
            <w:noProof w:val="0"/>
            <w:color w:val="0077CC"/>
            <w:position w:val="0"/>
            <w:sz w:val="18"/>
            <w:u w:val="single"/>
            <w:vertAlign w:val="baseline"/>
          </w:rPr>
          <w:t>, 313 F.3d 264, 288 (5th Cir. 2002)</w:t>
        </w:r>
      </w:hyperlink>
      <w:r>
        <w:rPr>
          <w:rFonts w:ascii="arial" w:eastAsia="arial" w:hAnsi="arial" w:cs="arial"/>
          <w:b w:val="0"/>
          <w:i w:val="0"/>
          <w:strike w:val="0"/>
          <w:noProof w:val="0"/>
          <w:color w:val="000000"/>
          <w:position w:val="0"/>
          <w:sz w:val="18"/>
          <w:u w:val="none"/>
          <w:vertAlign w:val="baseline"/>
        </w:rPr>
        <w:t xml:space="preserve">); </w:t>
      </w:r>
      <w:bookmarkStart w:id="81" w:name="Bookmark_I67D3CYM2SF87W0040000400"/>
      <w:bookmarkEnd w:id="81"/>
      <w:hyperlink r:id="rId24" w:history="1">
        <w:r>
          <w:rPr>
            <w:rFonts w:ascii="arial" w:eastAsia="arial" w:hAnsi="arial" w:cs="arial"/>
            <w:b w:val="0"/>
            <w:i/>
            <w:strike w:val="0"/>
            <w:noProof w:val="0"/>
            <w:color w:val="0077CC"/>
            <w:position w:val="0"/>
            <w:sz w:val="18"/>
            <w:u w:val="single"/>
            <w:vertAlign w:val="baseline"/>
          </w:rPr>
          <w:t>Tennessee v. Street</w:t>
        </w:r>
      </w:hyperlink>
      <w:hyperlink r:id="rId24" w:history="1">
        <w:r>
          <w:rPr>
            <w:rFonts w:ascii="arial" w:eastAsia="arial" w:hAnsi="arial" w:cs="arial"/>
            <w:b w:val="0"/>
            <w:i/>
            <w:strike w:val="0"/>
            <w:noProof w:val="0"/>
            <w:color w:val="0077CC"/>
            <w:position w:val="0"/>
            <w:sz w:val="18"/>
            <w:u w:val="single"/>
            <w:vertAlign w:val="baseline"/>
          </w:rPr>
          <w:t>, 471 U.S. 409, 415 n.6, 105 S. Ct. 2078, 85 L. Ed. 2d 425 (1985)</w:t>
        </w:r>
      </w:hyperlink>
      <w:r>
        <w:rPr>
          <w:rFonts w:ascii="arial" w:eastAsia="arial" w:hAnsi="arial" w:cs="arial"/>
          <w:b w:val="0"/>
          <w:i w:val="0"/>
          <w:strike w:val="0"/>
          <w:noProof w:val="0"/>
          <w:color w:val="000000"/>
          <w:position w:val="0"/>
          <w:sz w:val="18"/>
          <w:u w:val="none"/>
          <w:vertAlign w:val="baseline"/>
        </w:rPr>
        <w:t xml:space="preserve">) ("The assumption that jurors are able to follow the court's instructions fully applies when rights guaranteed by the </w:t>
      </w:r>
      <w:hyperlink r:id="rId25" w:history="1">
        <w:r>
          <w:rPr>
            <w:rFonts w:ascii="arial" w:eastAsia="arial" w:hAnsi="arial" w:cs="arial"/>
            <w:b w:val="0"/>
            <w:i/>
            <w:strike w:val="0"/>
            <w:noProof w:val="0"/>
            <w:color w:val="0077CC"/>
            <w:position w:val="0"/>
            <w:sz w:val="18"/>
            <w:u w:val="single"/>
            <w:vertAlign w:val="baseline"/>
          </w:rPr>
          <w:t>Confrontation Clause</w:t>
        </w:r>
      </w:hyperlink>
      <w:r>
        <w:rPr>
          <w:rFonts w:ascii="arial" w:eastAsia="arial" w:hAnsi="arial" w:cs="arial"/>
          <w:b w:val="0"/>
          <w:i w:val="0"/>
          <w:strike w:val="0"/>
          <w:noProof w:val="0"/>
          <w:color w:val="000000"/>
          <w:position w:val="0"/>
          <w:sz w:val="18"/>
          <w:u w:val="none"/>
          <w:vertAlign w:val="baseline"/>
        </w:rPr>
        <w:t xml:space="preserve"> are at issue." (citing </w:t>
      </w:r>
      <w:bookmarkStart w:id="82" w:name="Bookmark_I67D3CYM2D6N2M0010000400"/>
      <w:bookmarkEnd w:id="82"/>
      <w:hyperlink r:id="rId26" w:history="1">
        <w:r>
          <w:rPr>
            <w:rFonts w:ascii="arial" w:eastAsia="arial" w:hAnsi="arial" w:cs="arial"/>
            <w:b w:val="0"/>
            <w:i/>
            <w:strike w:val="0"/>
            <w:noProof w:val="0"/>
            <w:color w:val="0077CC"/>
            <w:position w:val="0"/>
            <w:sz w:val="18"/>
            <w:u w:val="single"/>
            <w:vertAlign w:val="baseline"/>
          </w:rPr>
          <w:t>Frazier v. Cupp</w:t>
        </w:r>
      </w:hyperlink>
      <w:hyperlink r:id="rId26" w:history="1">
        <w:r>
          <w:rPr>
            <w:rFonts w:ascii="arial" w:eastAsia="arial" w:hAnsi="arial" w:cs="arial"/>
            <w:b w:val="0"/>
            <w:i/>
            <w:strike w:val="0"/>
            <w:noProof w:val="0"/>
            <w:color w:val="0077CC"/>
            <w:position w:val="0"/>
            <w:sz w:val="18"/>
            <w:u w:val="single"/>
            <w:vertAlign w:val="baseline"/>
          </w:rPr>
          <w:t>, 394 U.S. 731, 735, 89 S. Ct. 1420, 22 L. Ed. 2d 684 (1969)</w:t>
        </w:r>
      </w:hyperlink>
      <w:r>
        <w:rPr>
          <w:rFonts w:ascii="arial" w:eastAsia="arial" w:hAnsi="arial" w:cs="arial"/>
          <w:b w:val="0"/>
          <w:i w:val="0"/>
          <w:strike w:val="0"/>
          <w:noProof w:val="0"/>
          <w:color w:val="000000"/>
          <w:position w:val="0"/>
          <w:sz w:val="18"/>
          <w:u w:val="none"/>
          <w:vertAlign w:val="baseline"/>
        </w:rPr>
        <w:t>)).</w:t>
      </w:r>
    </w:p>
  </w:footnote>
  <w:footnote w:id="1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85" w:name="Bookmark_fnpara_12"/>
      <w:bookmarkEnd w:id="85"/>
      <w:r>
        <w:rPr>
          <w:rFonts w:ascii="arial" w:eastAsia="arial" w:hAnsi="arial" w:cs="arial"/>
          <w:b w:val="0"/>
          <w:i/>
          <w:strike w:val="0"/>
          <w:noProof w:val="0"/>
          <w:color w:val="000000"/>
          <w:position w:val="0"/>
          <w:sz w:val="18"/>
          <w:u w:val="none"/>
          <w:vertAlign w:val="baseline"/>
        </w:rPr>
        <w:t xml:space="preserve">See </w:t>
      </w:r>
      <w:bookmarkStart w:id="86" w:name="Bookmark_I67D3CYM2D6N2M0030000400"/>
      <w:bookmarkEnd w:id="86"/>
      <w:hyperlink r:id="rId27" w:history="1">
        <w:r>
          <w:rPr>
            <w:rFonts w:ascii="arial" w:eastAsia="arial" w:hAnsi="arial" w:cs="arial"/>
            <w:b w:val="0"/>
            <w:i/>
            <w:strike w:val="0"/>
            <w:noProof w:val="0"/>
            <w:color w:val="0077CC"/>
            <w:position w:val="0"/>
            <w:sz w:val="18"/>
            <w:u w:val="single"/>
            <w:vertAlign w:val="baseline"/>
          </w:rPr>
          <w:t>United States v. McClaren</w:t>
        </w:r>
      </w:hyperlink>
      <w:hyperlink r:id="rId27" w:history="1">
        <w:r>
          <w:rPr>
            <w:rFonts w:ascii="arial" w:eastAsia="arial" w:hAnsi="arial" w:cs="arial"/>
            <w:b w:val="0"/>
            <w:i/>
            <w:strike w:val="0"/>
            <w:noProof w:val="0"/>
            <w:color w:val="0077CC"/>
            <w:position w:val="0"/>
            <w:sz w:val="18"/>
            <w:u w:val="single"/>
            <w:vertAlign w:val="baseline"/>
          </w:rPr>
          <w:t>, 13 F.4th 386, 416 (5th Cir. 2021)</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cert. denied sub nom. </w:t>
      </w:r>
      <w:bookmarkStart w:id="87" w:name="Bookmark_I67D3CYM2D6N2M0050000400"/>
      <w:bookmarkEnd w:id="87"/>
      <w:hyperlink r:id="rId28" w:history="1">
        <w:r>
          <w:rPr>
            <w:rFonts w:ascii="arial" w:eastAsia="arial" w:hAnsi="arial" w:cs="arial"/>
            <w:b w:val="0"/>
            <w:i/>
            <w:strike w:val="0"/>
            <w:noProof w:val="0"/>
            <w:color w:val="0077CC"/>
            <w:position w:val="0"/>
            <w:sz w:val="18"/>
            <w:u w:val="single"/>
            <w:vertAlign w:val="baseline"/>
          </w:rPr>
          <w:t>Fortia v. United States</w:t>
        </w:r>
      </w:hyperlink>
      <w:hyperlink r:id="rId28" w:history="1">
        <w:r>
          <w:rPr>
            <w:rFonts w:ascii="arial" w:eastAsia="arial" w:hAnsi="arial" w:cs="arial"/>
            <w:b w:val="0"/>
            <w:i/>
            <w:strike w:val="0"/>
            <w:noProof w:val="0"/>
            <w:color w:val="0077CC"/>
            <w:position w:val="0"/>
            <w:sz w:val="18"/>
            <w:u w:val="single"/>
            <w:vertAlign w:val="baseline"/>
          </w:rPr>
          <w:t>, 142 S. Ct. 1244, 212 L. Ed. 2d 243 (2022)</w:t>
        </w:r>
      </w:hyperlink>
      <w:r>
        <w:rPr>
          <w:rFonts w:ascii="arial" w:eastAsia="arial" w:hAnsi="arial" w:cs="arial"/>
          <w:b w:val="0"/>
          <w:i w:val="0"/>
          <w:strike w:val="0"/>
          <w:noProof w:val="0"/>
          <w:color w:val="000000"/>
          <w:position w:val="0"/>
          <w:sz w:val="18"/>
          <w:u w:val="none"/>
          <w:vertAlign w:val="baseline"/>
        </w:rPr>
        <w:t xml:space="preserve"> ("The factual basis contained information from three people who purchased crack from Gracin and did not testify, which was cumulative evidence of Gracin's own involvement in the drug conspiracy, which he admitted at trial."); </w:t>
      </w:r>
      <w:bookmarkStart w:id="88" w:name="Bookmark_I67D3CYN2SF8810020000400"/>
      <w:bookmarkEnd w:id="88"/>
      <w:hyperlink r:id="rId29" w:history="1">
        <w:r>
          <w:rPr>
            <w:rFonts w:ascii="arial" w:eastAsia="arial" w:hAnsi="arial" w:cs="arial"/>
            <w:b w:val="0"/>
            <w:i/>
            <w:strike w:val="0"/>
            <w:noProof w:val="0"/>
            <w:color w:val="0077CC"/>
            <w:position w:val="0"/>
            <w:sz w:val="18"/>
            <w:u w:val="single"/>
            <w:vertAlign w:val="baseline"/>
          </w:rPr>
          <w:t>United States v. Bedoy</w:t>
        </w:r>
      </w:hyperlink>
      <w:hyperlink r:id="rId29" w:history="1">
        <w:r>
          <w:rPr>
            <w:rFonts w:ascii="arial" w:eastAsia="arial" w:hAnsi="arial" w:cs="arial"/>
            <w:b w:val="0"/>
            <w:i/>
            <w:strike w:val="0"/>
            <w:noProof w:val="0"/>
            <w:color w:val="0077CC"/>
            <w:position w:val="0"/>
            <w:sz w:val="18"/>
            <w:u w:val="single"/>
            <w:vertAlign w:val="baseline"/>
          </w:rPr>
          <w:t>, 827 F.3d 495, 512 (5th Cir. 2016)</w:t>
        </w:r>
      </w:hyperlink>
      <w:r>
        <w:rPr>
          <w:rFonts w:ascii="arial" w:eastAsia="arial" w:hAnsi="arial" w:cs="arial"/>
          <w:b w:val="0"/>
          <w:i w:val="0"/>
          <w:strike w:val="0"/>
          <w:noProof w:val="0"/>
          <w:color w:val="000000"/>
          <w:position w:val="0"/>
          <w:sz w:val="18"/>
          <w:u w:val="none"/>
          <w:vertAlign w:val="baseline"/>
        </w:rPr>
        <w:t xml:space="preserve"> ("Even assuming—without deciding—that </w:t>
      </w:r>
      <w:r>
        <w:rPr>
          <w:rFonts w:ascii="arial" w:eastAsia="arial" w:hAnsi="arial" w:cs="arial"/>
          <w:b w:val="0"/>
          <w:i/>
          <w:strike w:val="0"/>
          <w:noProof w:val="0"/>
          <w:color w:val="000000"/>
          <w:position w:val="0"/>
          <w:sz w:val="18"/>
          <w:u w:val="none"/>
          <w:vertAlign w:val="baseline"/>
        </w:rPr>
        <w:t>Crawford</w:t>
      </w:r>
      <w:r>
        <w:rPr>
          <w:rFonts w:ascii="arial" w:eastAsia="arial" w:hAnsi="arial" w:cs="arial"/>
          <w:b w:val="0"/>
          <w:i w:val="0"/>
          <w:strike w:val="0"/>
          <w:noProof w:val="0"/>
          <w:color w:val="000000"/>
          <w:position w:val="0"/>
          <w:sz w:val="18"/>
          <w:u w:val="none"/>
          <w:vertAlign w:val="baseline"/>
        </w:rPr>
        <w:t xml:space="preserve"> proscribes Agent Minor's testimony, we find that any error in admitting the tapes was harmless beyond a reasonable doubt. The content of the Mazzei phone calls was cumulative: there was substantial evidence that Bedoy knew of or foresaw a federal grand jury investigation—namely, Bedoy's and Sysy's own statements, which Bedoy concedes were properly admitted.").</w:t>
      </w:r>
    </w:p>
  </w:footnote>
  <w:footnote w:id="1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94" w:name="Bookmark_fnpara_13"/>
      <w:bookmarkEnd w:id="94"/>
      <w:bookmarkStart w:id="95" w:name="Bookmark_I67D3CYN2SF8810040000400"/>
      <w:bookmarkEnd w:id="95"/>
      <w:hyperlink r:id="rId30" w:history="1">
        <w:r>
          <w:rPr>
            <w:rFonts w:ascii="arial" w:eastAsia="arial" w:hAnsi="arial" w:cs="arial"/>
            <w:b w:val="0"/>
            <w:i/>
            <w:strike w:val="0"/>
            <w:noProof w:val="0"/>
            <w:color w:val="0077CC"/>
            <w:position w:val="0"/>
            <w:sz w:val="18"/>
            <w:u w:val="single"/>
            <w:vertAlign w:val="baseline"/>
          </w:rPr>
          <w:t>United States v. Hamann</w:t>
        </w:r>
      </w:hyperlink>
      <w:hyperlink r:id="rId30" w:history="1">
        <w:r>
          <w:rPr>
            <w:rFonts w:ascii="arial" w:eastAsia="arial" w:hAnsi="arial" w:cs="arial"/>
            <w:b w:val="0"/>
            <w:i/>
            <w:strike w:val="0"/>
            <w:noProof w:val="0"/>
            <w:color w:val="0077CC"/>
            <w:position w:val="0"/>
            <w:sz w:val="18"/>
            <w:u w:val="single"/>
            <w:vertAlign w:val="baseline"/>
          </w:rPr>
          <w:t>, 33 F.4th 759, 771 (5th Cir. 2022)</w:t>
        </w:r>
      </w:hyperlink>
      <w:r>
        <w:rPr>
          <w:rFonts w:ascii="arial" w:eastAsia="arial" w:hAnsi="arial" w:cs="arial"/>
          <w:b w:val="0"/>
          <w:i w:val="0"/>
          <w:strike w:val="0"/>
          <w:noProof w:val="0"/>
          <w:color w:val="000000"/>
          <w:position w:val="0"/>
          <w:sz w:val="18"/>
          <w:u w:val="none"/>
          <w:vertAlign w:val="baseline"/>
        </w:rPr>
        <w:t xml:space="preserve"> (first citing </w:t>
      </w:r>
      <w:bookmarkStart w:id="96" w:name="Bookmark_I67D3CYN2SF8840010000400"/>
      <w:bookmarkEnd w:id="96"/>
      <w:hyperlink r:id="rId31" w:history="1">
        <w:r>
          <w:rPr>
            <w:rFonts w:ascii="arial" w:eastAsia="arial" w:hAnsi="arial" w:cs="arial"/>
            <w:b w:val="0"/>
            <w:i/>
            <w:strike w:val="0"/>
            <w:noProof w:val="0"/>
            <w:color w:val="0077CC"/>
            <w:position w:val="0"/>
            <w:sz w:val="18"/>
            <w:u w:val="single"/>
            <w:vertAlign w:val="baseline"/>
          </w:rPr>
          <w:t>United States v. Alvarado-Valdez</w:t>
        </w:r>
      </w:hyperlink>
      <w:hyperlink r:id="rId31" w:history="1">
        <w:r>
          <w:rPr>
            <w:rFonts w:ascii="arial" w:eastAsia="arial" w:hAnsi="arial" w:cs="arial"/>
            <w:b w:val="0"/>
            <w:i/>
            <w:strike w:val="0"/>
            <w:noProof w:val="0"/>
            <w:color w:val="0077CC"/>
            <w:position w:val="0"/>
            <w:sz w:val="18"/>
            <w:u w:val="single"/>
            <w:vertAlign w:val="baseline"/>
          </w:rPr>
          <w:t>, 521 F.3d 337, 342 (5th Cir. 2008)</w:t>
        </w:r>
      </w:hyperlink>
      <w:r>
        <w:rPr>
          <w:rFonts w:ascii="arial" w:eastAsia="arial" w:hAnsi="arial" w:cs="arial"/>
          <w:b w:val="0"/>
          <w:i w:val="0"/>
          <w:strike w:val="0"/>
          <w:noProof w:val="0"/>
          <w:color w:val="000000"/>
          <w:position w:val="0"/>
          <w:sz w:val="18"/>
          <w:u w:val="none"/>
          <w:vertAlign w:val="baseline"/>
        </w:rPr>
        <w:t xml:space="preserve">; and then citing </w:t>
      </w:r>
      <w:bookmarkStart w:id="97" w:name="Bookmark_I67D3CYN2SF8840030000400"/>
      <w:bookmarkEnd w:id="97"/>
      <w:hyperlink r:id="rId14" w:history="1">
        <w:r>
          <w:rPr>
            <w:rFonts w:ascii="arial" w:eastAsia="arial" w:hAnsi="arial" w:cs="arial"/>
            <w:b w:val="0"/>
            <w:i/>
            <w:strike w:val="0"/>
            <w:noProof w:val="0"/>
            <w:color w:val="0077CC"/>
            <w:position w:val="0"/>
            <w:sz w:val="18"/>
            <w:u w:val="single"/>
            <w:vertAlign w:val="baseline"/>
          </w:rPr>
          <w:t>United States v. Sarli</w:t>
        </w:r>
      </w:hyperlink>
      <w:hyperlink r:id="rId14" w:history="1">
        <w:r>
          <w:rPr>
            <w:rFonts w:ascii="arial" w:eastAsia="arial" w:hAnsi="arial" w:cs="arial"/>
            <w:b w:val="0"/>
            <w:i/>
            <w:strike w:val="0"/>
            <w:noProof w:val="0"/>
            <w:color w:val="0077CC"/>
            <w:position w:val="0"/>
            <w:sz w:val="18"/>
            <w:u w:val="single"/>
            <w:vertAlign w:val="baseline"/>
          </w:rPr>
          <w:t>, 913 F.3d 491, 498 (5th Cir. 2019)</w:t>
        </w:r>
      </w:hyperlink>
      <w:r>
        <w:rPr>
          <w:rFonts w:ascii="arial" w:eastAsia="arial" w:hAnsi="arial" w:cs="arial"/>
          <w:b w:val="0"/>
          <w:i w:val="0"/>
          <w:strike w:val="0"/>
          <w:noProof w:val="0"/>
          <w:color w:val="000000"/>
          <w:position w:val="0"/>
          <w:sz w:val="18"/>
          <w:u w:val="none"/>
          <w:vertAlign w:val="baseline"/>
        </w:rPr>
        <w:t>).</w:t>
      </w:r>
    </w:p>
  </w:footnote>
  <w:footnote w:id="1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98" w:name="Bookmark_fnpara_14"/>
      <w:bookmarkEnd w:id="98"/>
      <w:bookmarkStart w:id="99" w:name="Bookmark_I67D3CYN2SF8840050000400"/>
      <w:bookmarkEnd w:id="99"/>
      <w:hyperlink r:id="rId14" w:history="1">
        <w:r>
          <w:rPr>
            <w:rFonts w:ascii="arial" w:eastAsia="arial" w:hAnsi="arial" w:cs="arial"/>
            <w:b w:val="0"/>
            <w:i/>
            <w:strike w:val="0"/>
            <w:noProof w:val="0"/>
            <w:color w:val="0077CC"/>
            <w:position w:val="0"/>
            <w:sz w:val="18"/>
            <w:u w:val="single"/>
            <w:vertAlign w:val="baseline"/>
          </w:rPr>
          <w:t>Sarli</w:t>
        </w:r>
      </w:hyperlink>
      <w:hyperlink r:id="rId14" w:history="1">
        <w:r>
          <w:rPr>
            <w:rFonts w:ascii="arial" w:eastAsia="arial" w:hAnsi="arial" w:cs="arial"/>
            <w:b w:val="0"/>
            <w:i/>
            <w:strike w:val="0"/>
            <w:noProof w:val="0"/>
            <w:color w:val="0077CC"/>
            <w:position w:val="0"/>
            <w:sz w:val="18"/>
            <w:u w:val="single"/>
            <w:vertAlign w:val="baseline"/>
          </w:rPr>
          <w:t>, 913 F.3d at 497</w:t>
        </w:r>
      </w:hyperlink>
      <w:r>
        <w:rPr>
          <w:rFonts w:ascii="arial" w:eastAsia="arial" w:hAnsi="arial" w:cs="arial"/>
          <w:b w:val="0"/>
          <w:i w:val="0"/>
          <w:strike w:val="0"/>
          <w:noProof w:val="0"/>
          <w:color w:val="000000"/>
          <w:position w:val="0"/>
          <w:sz w:val="18"/>
          <w:u w:val="none"/>
          <w:vertAlign w:val="baseline"/>
        </w:rPr>
        <w:t>.</w:t>
      </w:r>
    </w:p>
  </w:footnote>
  <w:footnote w:id="1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100" w:name="Bookmark_fnpara_15"/>
      <w:bookmarkEnd w:id="100"/>
      <w:bookmarkStart w:id="101" w:name="Bookmark_I67D3CYN2D6N2V0020000400"/>
      <w:bookmarkEnd w:id="101"/>
      <w:hyperlink r:id="rId14" w:history="1">
        <w:r>
          <w:rPr>
            <w:rFonts w:ascii="arial" w:eastAsia="arial" w:hAnsi="arial" w:cs="arial"/>
            <w:b w:val="0"/>
            <w:i/>
            <w:strike w:val="0"/>
            <w:noProof w:val="0"/>
            <w:color w:val="0077CC"/>
            <w:position w:val="0"/>
            <w:sz w:val="18"/>
            <w:u w:val="single"/>
            <w:vertAlign w:val="baseline"/>
          </w:rPr>
          <w:t>Id.</w:t>
        </w:r>
      </w:hyperlink>
      <w:hyperlink r:id="rId14" w:history="1">
        <w:r>
          <w:rPr>
            <w:rFonts w:ascii="arial" w:eastAsia="arial" w:hAnsi="arial" w:cs="arial"/>
            <w:b w:val="0"/>
            <w:i/>
            <w:strike w:val="0"/>
            <w:noProof w:val="0"/>
            <w:color w:val="0077CC"/>
            <w:position w:val="0"/>
            <w:sz w:val="18"/>
            <w:u w:val="single"/>
            <w:vertAlign w:val="baseline"/>
          </w:rPr>
          <w:t xml:space="preserve"> at 496-98</w:t>
        </w:r>
      </w:hyperlink>
      <w:r>
        <w:rPr>
          <w:rFonts w:ascii="arial" w:eastAsia="arial" w:hAnsi="arial" w:cs="arial"/>
          <w:b w:val="0"/>
          <w:i w:val="0"/>
          <w:strike w:val="0"/>
          <w:noProof w:val="0"/>
          <w:color w:val="000000"/>
          <w:position w:val="0"/>
          <w:sz w:val="18"/>
          <w:u w:val="none"/>
          <w:vertAlign w:val="baseline"/>
        </w:rPr>
        <w:t xml:space="preserve"> ("</w:t>
      </w:r>
      <w:bookmarkStart w:id="102" w:name="Bookmark_LNHNREFclscc8"/>
      <w:bookmarkEnd w:id="102"/>
      <w:hyperlink r:id="rId32" w:history="1">
        <w:r>
          <w:rPr>
            <w:rFonts w:ascii="arial" w:eastAsia="arial" w:hAnsi="arial" w:cs="arial"/>
            <w:b/>
            <w:i/>
            <w:strike w:val="0"/>
            <w:noProof w:val="0"/>
            <w:color w:val="0077CC"/>
            <w:position w:val="0"/>
            <w:sz w:val="18"/>
            <w:u w:val="single"/>
            <w:vertAlign w:val="baseline"/>
          </w:rPr>
          <w:t>HN8</w:t>
        </w:r>
      </w:hyperlink>
      <w:r>
        <w:rPr>
          <w:rFonts w:ascii="arial" w:eastAsia="arial" w:hAnsi="arial" w:cs="arial"/>
          <w:b w:val="0"/>
          <w:i w:val="0"/>
          <w:strike w:val="0"/>
          <w:noProof w:val="0"/>
          <w:color w:val="000000"/>
          <w:position w:val="0"/>
          <w:sz w:val="18"/>
          <w:u w:val="none"/>
          <w:vertAlign w:val="baseline"/>
        </w:rPr>
        <w:t>[</w:t>
      </w:r>
      <w:hyperlink w:anchor="Bookmark_clscc8" w:history="1">
        <w:r>
          <w:pict>
            <v:shape id="_x0000_i1044" type="#_x0000_t75" style="width:10.5pt;height:10.5pt">
              <v:imagedata r:id="rId3" o:title=""/>
            </v:shape>
          </w:pict>
        </w:r>
      </w:hyperlink>
      <w:r>
        <w:rPr>
          <w:rFonts w:ascii="arial" w:eastAsia="arial" w:hAnsi="arial" w:cs="arial"/>
          <w:b w:val="0"/>
          <w:i w:val="0"/>
          <w:strike w:val="0"/>
          <w:noProof w:val="0"/>
          <w:color w:val="000000"/>
          <w:position w:val="0"/>
          <w:sz w:val="18"/>
          <w:u w:val="none"/>
          <w:vertAlign w:val="baseline"/>
        </w:rPr>
        <w:t>] To overturn a conviction based on mere fleeting references to out-of-court statements would be tantamount to establishing a rule of per se harm. Our precedents, by contrast, require not just speculation, but a 'reasonable possibility' that the error contributed to the conviction. Meeting that standard requires far more than this case involves.").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Naranjo, 2023 U.S. App. LEXIS 1353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7C1-CF11-F60C-X141-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cases&amp;id=urn:contentItem:67C1-CF11-F60C-X141-00000-00&amp;context=1519360&amp;link=LNHNREFclscc2" TargetMode="External" /><Relationship Id="rId13" Type="http://schemas.openxmlformats.org/officeDocument/2006/relationships/hyperlink" Target="https://advance.lexis.com/api/document?collection=cases&amp;id=urn:contentItem:67C1-CF11-F60C-X141-00000-00&amp;context=1519360&amp;link=LNHNREFclscc3" TargetMode="External" /><Relationship Id="rId14" Type="http://schemas.openxmlformats.org/officeDocument/2006/relationships/hyperlink" Target="https://advance.lexis.com/api/document?collection=cases&amp;id=urn:contentItem:67C1-CF11-F60C-X141-00000-00&amp;context=1519360&amp;link=LNHNREFclscc4" TargetMode="External" /><Relationship Id="rId15" Type="http://schemas.openxmlformats.org/officeDocument/2006/relationships/hyperlink" Target="https://advance.lexis.com/api/document?collection=statutes-legislation&amp;id=urn:contentItem:8T9R-T4F2-D6RV-H37N-00000-00&amp;context=1519360" TargetMode="External" /><Relationship Id="rId16" Type="http://schemas.openxmlformats.org/officeDocument/2006/relationships/hyperlink" Target="https://advance.lexis.com/api/document?collection=cases&amp;id=urn:contentItem:67C1-CF11-F60C-X141-00000-00&amp;context=1519360&amp;link=LNHNREFclscc5" TargetMode="External" /><Relationship Id="rId17" Type="http://schemas.openxmlformats.org/officeDocument/2006/relationships/hyperlink" Target="https://advance.lexis.com/api/document?collection=cases&amp;id=urn:contentItem:67C1-CF11-F60C-X141-00000-00&amp;context=1519360&amp;link=LNHNREFclscc6" TargetMode="External" /><Relationship Id="rId18" Type="http://schemas.openxmlformats.org/officeDocument/2006/relationships/hyperlink" Target="https://advance.lexis.com/api/document?collection=cases&amp;id=urn:contentItem:67C1-CF11-F60C-X141-00000-00&amp;context=1519360&amp;link=LNHNREFclscc7" TargetMode="External" /><Relationship Id="rId19" Type="http://schemas.openxmlformats.org/officeDocument/2006/relationships/hyperlink" Target="https://advance.lexis.com/api/document?collection=cases&amp;id=urn:contentItem:67C1-CF11-F60C-X141-00000-00&amp;context=1519360&amp;link=LNHNREFclscc8"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8S6M-T0S2-D6RV-H49T-00000-00&amp;context=1519360" TargetMode="External" /><Relationship Id="rId21" Type="http://schemas.openxmlformats.org/officeDocument/2006/relationships/hyperlink" Target="https://advance.lexis.com/api/document?collection=cases&amp;id=urn:contentItem:67C1-CF11-F60C-X141-00000-00&amp;context=1519360&amp;link=clscc1" TargetMode="External" /><Relationship Id="rId22" Type="http://schemas.openxmlformats.org/officeDocument/2006/relationships/image" Target="media/image3.png" /><Relationship Id="rId23" Type="http://schemas.openxmlformats.org/officeDocument/2006/relationships/hyperlink" Target="https://advance.lexis.com/api/document?collection=cases&amp;id=urn:contentItem:67C1-CF11-F60C-X141-00000-00&amp;context=1519360&amp;link=clscc4" TargetMode="External" /><Relationship Id="rId24" Type="http://schemas.openxmlformats.org/officeDocument/2006/relationships/hyperlink" Target="https://advance.lexis.com/api/document?collection=cases&amp;id=urn:contentItem:67C1-CF11-F60C-X141-00000-00&amp;context=1519360&amp;link=clscc5" TargetMode="External" /><Relationship Id="rId25" Type="http://schemas.openxmlformats.org/officeDocument/2006/relationships/hyperlink" Target="https://advance.lexis.com/api/document?collection=cases&amp;id=urn:contentItem:67C1-CF11-F60C-X141-00000-00&amp;context=1519360&amp;link=clscc7" TargetMode="External" /><Relationship Id="rId26" Type="http://schemas.openxmlformats.org/officeDocument/2006/relationships/theme" Target="theme/theme1.xml" /><Relationship Id="rId27"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C1-CF11-F60C-X141-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870-J301-F04K-N000-00000-00&amp;context=1519360" TargetMode="External" /><Relationship Id="rId10" Type="http://schemas.openxmlformats.org/officeDocument/2006/relationships/hyperlink" Target="https://advance.lexis.com/api/document?collection=cases&amp;id=urn:contentItem:67C1-CF11-F60C-X141-00000-00&amp;context=1519360&amp;link=clscc3" TargetMode="External" /><Relationship Id="rId11" Type="http://schemas.openxmlformats.org/officeDocument/2006/relationships/hyperlink" Target="https://advance.lexis.com/api/document?collection=cases&amp;id=urn:contentItem:567W-TBX1-F04K-N08H-00000-00&amp;context=1519360" TargetMode="External" /><Relationship Id="rId12" Type="http://schemas.openxmlformats.org/officeDocument/2006/relationships/hyperlink" Target="https://advance.lexis.com/api/document?collection=cases&amp;id=urn:contentItem:4C6M-0W20-0038-X3DR-00000-00&amp;context=1519360" TargetMode="External" /><Relationship Id="rId13" Type="http://schemas.openxmlformats.org/officeDocument/2006/relationships/hyperlink" Target="https://advance.lexis.com/api/document?collection=cases&amp;id=urn:contentItem:3S4X-F250-001T-D2PC-00000-00&amp;context=1519360" TargetMode="External" /><Relationship Id="rId14" Type="http://schemas.openxmlformats.org/officeDocument/2006/relationships/hyperlink" Target="https://advance.lexis.com/api/document?collection=cases&amp;id=urn:contentItem:5V6T-GC61-JP4G-6122-00000-00&amp;context=1519360" TargetMode="External" /><Relationship Id="rId15" Type="http://schemas.openxmlformats.org/officeDocument/2006/relationships/hyperlink" Target="https://advance.lexis.com/api/document?collection=cases&amp;id=urn:contentItem:4KW6-GV70-0038-X04C-00000-00&amp;context=1519360" TargetMode="External" /><Relationship Id="rId16" Type="http://schemas.openxmlformats.org/officeDocument/2006/relationships/hyperlink" Target="https://advance.lexis.com/api/document?collection=cases&amp;id=urn:contentItem:5WHT-CTG1-JC0G-63G8-00000-00&amp;context=1519360" TargetMode="External" /><Relationship Id="rId17" Type="http://schemas.openxmlformats.org/officeDocument/2006/relationships/hyperlink" Target="https://advance.lexis.com/api/document?collection=cases&amp;id=urn:contentItem:5WGD-FG01-JS5Y-B3BY-00000-00&amp;context=1519360" TargetMode="External" /><Relationship Id="rId18" Type="http://schemas.openxmlformats.org/officeDocument/2006/relationships/hyperlink" Target="https://advance.lexis.com/api/document?collection=cases&amp;id=urn:contentItem:63F9-BH31-F528-G4KK-00000-00&amp;context=1519360" TargetMode="External" /><Relationship Id="rId19" Type="http://schemas.openxmlformats.org/officeDocument/2006/relationships/hyperlink" Target="https://advance.lexis.com/api/document?collection=cases&amp;id=urn:contentItem:4S81-4BB0-TXFX-736B-00000-00&amp;context=1519360" TargetMode="External" /><Relationship Id="rId2" Type="http://schemas.openxmlformats.org/officeDocument/2006/relationships/hyperlink" Target="https://advance.lexis.com/api/document?collection=cases&amp;id=urn:contentItem:67C1-CF11-F60C-X141-00000-00&amp;context=1519360&amp;link=clscc2" TargetMode="External" /><Relationship Id="rId20" Type="http://schemas.openxmlformats.org/officeDocument/2006/relationships/hyperlink" Target="https://advance.lexis.com/api/document?collection=cases&amp;id=urn:contentItem:3S4X-H340-003B-44FS-00000-00&amp;context=1519360" TargetMode="External" /><Relationship Id="rId21" Type="http://schemas.openxmlformats.org/officeDocument/2006/relationships/hyperlink" Target="https://advance.lexis.com/api/document?collection=cases&amp;id=urn:contentItem:4MSK-1GC0-0038-X2PJ-00000-00&amp;context=1519360" TargetMode="External" /><Relationship Id="rId22" Type="http://schemas.openxmlformats.org/officeDocument/2006/relationships/hyperlink" Target="https://advance.lexis.com/api/document?collection=cases&amp;id=urn:contentItem:67C1-CF11-F60C-X141-00000-00&amp;context=1519360&amp;link=clscc6" TargetMode="External" /><Relationship Id="rId23" Type="http://schemas.openxmlformats.org/officeDocument/2006/relationships/hyperlink" Target="https://advance.lexis.com/api/document?collection=cases&amp;id=urn:contentItem:478S-YM70-0038-X52V-00000-00&amp;context=1519360" TargetMode="External" /><Relationship Id="rId24" Type="http://schemas.openxmlformats.org/officeDocument/2006/relationships/hyperlink" Target="https://advance.lexis.com/api/document?collection=cases&amp;id=urn:contentItem:3S4X-BP20-0039-N07F-00000-00&amp;context=1519360" TargetMode="External" /><Relationship Id="rId25" Type="http://schemas.openxmlformats.org/officeDocument/2006/relationships/hyperlink" Target="https://advance.lexis.com/api/document?collection=statutes-legislation&amp;id=urn:contentItem:8T9R-T4F2-D6RV-H37N-00000-00&amp;context=1519360" TargetMode="External" /><Relationship Id="rId26" Type="http://schemas.openxmlformats.org/officeDocument/2006/relationships/hyperlink" Target="https://advance.lexis.com/api/document?collection=cases&amp;id=urn:contentItem:3S4X-F8G0-003B-S1TS-00000-00&amp;context=1519360" TargetMode="External" /><Relationship Id="rId27" Type="http://schemas.openxmlformats.org/officeDocument/2006/relationships/hyperlink" Target="https://advance.lexis.com/api/document?collection=cases&amp;id=urn:contentItem:63K2-6B21-F7G6-62GB-00000-00&amp;context=1519360" TargetMode="External" /><Relationship Id="rId28" Type="http://schemas.openxmlformats.org/officeDocument/2006/relationships/hyperlink" Target="https://advance.lexis.com/api/document?collection=cases&amp;id=urn:contentItem:64Y2-BG51-JKPJ-G109-00000-00&amp;context=1519360" TargetMode="External" /><Relationship Id="rId29" Type="http://schemas.openxmlformats.org/officeDocument/2006/relationships/hyperlink" Target="https://advance.lexis.com/api/document?collection=cases&amp;id=urn:contentItem:5K4G-DYP1-F04K-N15C-00000-00&amp;context=1519360" TargetMode="External" /><Relationship Id="rId3" Type="http://schemas.openxmlformats.org/officeDocument/2006/relationships/image" Target="media/image3.png" /><Relationship Id="rId30" Type="http://schemas.openxmlformats.org/officeDocument/2006/relationships/hyperlink" Target="https://advance.lexis.com/api/document?collection=cases&amp;id=urn:contentItem:65FX-YYW1-JS5Y-B03F-00000-00&amp;context=1519360" TargetMode="External" /><Relationship Id="rId31" Type="http://schemas.openxmlformats.org/officeDocument/2006/relationships/hyperlink" Target="https://advance.lexis.com/api/document?collection=cases&amp;id=urn:contentItem:4S22-CY20-TXFX-72X2-00000-00&amp;context=1519360" TargetMode="External" /><Relationship Id="rId32" Type="http://schemas.openxmlformats.org/officeDocument/2006/relationships/hyperlink" Target="https://advance.lexis.com/api/document?collection=cases&amp;id=urn:contentItem:67C1-CF11-F60C-X141-00000-00&amp;context=1519360&amp;link=clscc8" TargetMode="External" /><Relationship Id="rId4" Type="http://schemas.openxmlformats.org/officeDocument/2006/relationships/hyperlink" Target="https://advance.lexis.com/api/document?collection=cases&amp;id=urn:contentItem:5BV4-J3H1-F04K-N017-00000-00&amp;context=1519360" TargetMode="External" /><Relationship Id="rId5" Type="http://schemas.openxmlformats.org/officeDocument/2006/relationships/hyperlink" Target="https://advance.lexis.com/api/document?collection=cases&amp;id=urn:contentItem:3S4X-8100-003B-S11K-00000-00&amp;context=1519360" TargetMode="External" /><Relationship Id="rId6" Type="http://schemas.openxmlformats.org/officeDocument/2006/relationships/hyperlink" Target="https://advance.lexis.com/api/document?collection=cases&amp;id=urn:contentItem:3RJ6-G930-0038-X45P-00000-00&amp;context=1519360" TargetMode="External" /><Relationship Id="rId7" Type="http://schemas.openxmlformats.org/officeDocument/2006/relationships/hyperlink" Target="https://advance.lexis.com/api/document?collection=cases&amp;id=urn:contentItem:5SKG-K111-JN14-G288-00000-00&amp;context=1519360" TargetMode="External" /><Relationship Id="rId8" Type="http://schemas.openxmlformats.org/officeDocument/2006/relationships/hyperlink" Target="https://advance.lexis.com/api/document?collection=cases&amp;id=urn:contentItem:55V5-D5Y1-F04K-N2NH-00000-00&amp;context=1519360" TargetMode="External" /><Relationship Id="rId9" Type="http://schemas.openxmlformats.org/officeDocument/2006/relationships/hyperlink" Target="https://advance.lexis.com/api/document?collection=cases&amp;id=urn:contentItem:5P0F-GTC1-F04K-N1WG-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Naranjo, 2023 U.S. App. LEXIS 1353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78</vt:lpwstr>
  </property>
  <property fmtid="{D5CDD505-2E9C-101B-9397-08002B2CF9AE}" pid="3" name="LADocCount">
    <vt:lpwstr>1</vt:lpwstr>
  </property>
  <property fmtid="{D5CDD505-2E9C-101B-9397-08002B2CF9AE}" pid="4" name="LADocumentID:78">
    <vt:lpwstr>Doc::urn:hlct:5|contextualFeaturePermID::1519360</vt:lpwstr>
  </property>
  <property fmtid="{D5CDD505-2E9C-101B-9397-08002B2CF9AE}" pid="5" name="UserPermID">
    <vt:lpwstr>urn:user:PA186186283</vt:lpwstr>
  </property>
</Properties>
</file>