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5"/>
          <w:footerReference w:type="default" r:id="rId6"/>
          <w:footerReference w:type="first" r:id="rId7"/>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8" o:title=""/>
          </v:shape>
        </w:pict>
      </w:r>
      <w:r>
        <w:cr/>
      </w:r>
    </w:p>
    <w:p>
      <w:pPr>
        <w:pStyle w:val="Heading1"/>
        <w:keepNext w:val="0"/>
        <w:spacing w:after="200" w:line="340" w:lineRule="atLeast"/>
        <w:ind w:left="0" w:right="0" w:firstLine="0"/>
        <w:jc w:val="center"/>
      </w:pPr>
      <w:hyperlink r:id="rId9" w:history="1">
        <w:r>
          <w:rPr>
            <w:rFonts w:ascii="arial" w:eastAsia="arial" w:hAnsi="arial" w:cs="arial"/>
            <w:b/>
            <w:i/>
            <w:strike w:val="0"/>
            <w:color w:val="0077CC"/>
            <w:sz w:val="28"/>
            <w:u w:val="single"/>
            <w:vertAlign w:val="baseline"/>
          </w:rPr>
          <w:t>United States v. Rodriguez-Diaz</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United States District Court for the Middle District of Florida, Tampa Division</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28, 2023, Decided; February 28, 2023, Filed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CASE NO. 8:20-cv-430-SDM-MRM; 8:18-cr-343-SDM-MRM</w:t>
      </w:r>
    </w:p>
    <w:p>
      <w:pPr>
        <w:keepNext w:val="0"/>
        <w:spacing w:after="0" w:line="240" w:lineRule="atLeast"/>
        <w:ind w:right="0"/>
        <w:jc w:val="both"/>
      </w:pPr>
      <w:bookmarkStart w:id="0" w:name="Bookmark_68"/>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2023 U.S. Dist. LEXIS 33238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2023 AMC 106</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2023 WL 2264140</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UNITED STATES OF AMERICA v. DOMINGO RODRIGUEZ-DIAZ</w:t>
      </w:r>
    </w:p>
    <w:p>
      <w:pPr>
        <w:keepNext/>
        <w:spacing w:before="240" w:after="0" w:line="340" w:lineRule="atLeast"/>
        <w:ind w:left="0" w:right="0" w:firstLine="0"/>
        <w:jc w:val="left"/>
      </w:pPr>
      <w:bookmarkStart w:id="2" w:name="Core Terms"/>
      <w:bookmarkEnd w:id="2"/>
      <w:r>
        <w:rPr>
          <w:rFonts w:ascii="arial" w:eastAsia="arial" w:hAnsi="arial" w:cs="arial"/>
          <w:b/>
          <w:i w:val="0"/>
          <w:strike w:val="0"/>
          <w:noProof w:val="0"/>
          <w:color w:val="000000"/>
          <w:position w:val="0"/>
          <w:sz w:val="28"/>
          <w:u w:val="none"/>
          <w:vertAlign w:val="baseline"/>
        </w:rPr>
        <w:t>Core Terms</w:t>
      </w:r>
    </w:p>
    <w:p>
      <w:pPr>
        <w:spacing w:line="60" w:lineRule="exact"/>
      </w:pPr>
      <w:r>
        <w:pict>
          <v:line id="_x0000_s1026" style="position:absolute;z-index:251658240"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guilty plea, vessel, cocaine, challenges, kilograms, vacate, waives, certificate</w:t>
      </w:r>
    </w:p>
    <w:p>
      <w:pPr>
        <w:keepNext/>
        <w:spacing w:before="240" w:after="0" w:line="340" w:lineRule="atLeast"/>
        <w:ind w:left="0" w:right="0" w:firstLine="0"/>
        <w:jc w:val="left"/>
      </w:pPr>
      <w:bookmarkStart w:id="3" w:name="LexisNexis® Headnotes"/>
      <w:bookmarkEnd w:id="3"/>
      <w:r>
        <w:rPr>
          <w:rFonts w:ascii="arial" w:eastAsia="arial" w:hAnsi="arial" w:cs="arial"/>
          <w:b/>
          <w:i w:val="0"/>
          <w:strike w:val="0"/>
          <w:noProof w:val="0"/>
          <w:color w:val="000000"/>
          <w:position w:val="0"/>
          <w:sz w:val="28"/>
          <w:u w:val="none"/>
          <w:vertAlign w:val="baseline"/>
        </w:rPr>
        <w:t>LexisNexis® Headnotes</w:t>
      </w:r>
    </w:p>
    <w:p>
      <w:pPr>
        <w:spacing w:line="60" w:lineRule="exact"/>
      </w:pPr>
      <w:r>
        <w:pict>
          <v:line id="_x0000_s1027" style="position:absolute;z-index:251659264" from="0,2pt" to="512pt,2pt" strokecolor="#009ddb" strokeweight="2pt">
            <v:stroke linestyle="single"/>
            <w10:wrap type="topAndBottom"/>
          </v:line>
        </w:pict>
      </w:r>
    </w:p>
    <w:p>
      <w:pPr>
        <w:spacing w:line="120" w:lineRule="exact"/>
      </w:pPr>
    </w:p>
    <w:p>
      <w:pPr>
        <w:keepNext w:val="0"/>
        <w:spacing w:before="240" w:after="0" w:line="260" w:lineRule="atLeast"/>
        <w:ind w:left="0" w:right="0" w:firstLine="0"/>
        <w:jc w:val="left"/>
      </w:pPr>
      <w:r>
        <w:br/>
      </w:r>
      <w:bookmarkStart w:id="4" w:name="Bookmark_clscc1"/>
      <w:bookmarkEnd w:id="4"/>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International Law &gt; Authority to Regulate</w:t>
      </w:r>
    </w:p>
    <w:p>
      <w:pPr>
        <w:keepNext w:val="0"/>
        <w:spacing w:before="240" w:after="0" w:line="260" w:lineRule="atLeast"/>
        <w:ind w:left="0" w:right="0" w:firstLine="0"/>
        <w:jc w:val="both"/>
      </w:pPr>
      <w:hyperlink r:id="rId10" w:history="1">
        <w:r>
          <w:rPr>
            <w:rFonts w:ascii="arial" w:eastAsia="arial" w:hAnsi="arial" w:cs="arial"/>
            <w:b/>
            <w:i/>
            <w:strike w:val="0"/>
            <w:color w:val="0077CC"/>
            <w:sz w:val="20"/>
            <w:u w:val="single"/>
            <w:vertAlign w:val="baseline"/>
          </w:rPr>
          <w:t>HN1</w:t>
        </w:r>
      </w:hyperlink>
      <w:r>
        <w:rPr>
          <w:rFonts w:ascii="arial" w:eastAsia="arial" w:hAnsi="arial" w:cs="arial"/>
          <w:b w:val="0"/>
          <w:i w:val="0"/>
          <w:strike w:val="0"/>
          <w:noProof w:val="0"/>
          <w:color w:val="000000"/>
          <w:position w:val="0"/>
          <w:sz w:val="20"/>
          <w:u w:val="none"/>
          <w:vertAlign w:val="baseline"/>
        </w:rPr>
        <w:t>[</w:t>
      </w:r>
      <w:hyperlink w:anchor="Bookmark_LNHNREFclscc1" w:history="1">
        <w:r>
          <w:pict>
            <v:shape id="_x0000_i1028" type="#_x0000_t75" style="width:10.5pt;height:10.5pt">
              <v:imagedata r:id="rId11"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International Law, Authority to Regulate</w:t>
      </w:r>
    </w:p>
    <w:p>
      <w:pPr>
        <w:keepNext w:val="0"/>
        <w:spacing w:before="240" w:after="0" w:line="260" w:lineRule="atLeast"/>
        <w:ind w:left="0" w:right="0" w:firstLine="0"/>
        <w:jc w:val="both"/>
      </w:pPr>
      <w:bookmarkStart w:id="5" w:name="Bookmark_hnpara_1"/>
      <w:bookmarkEnd w:id="5"/>
      <w:r>
        <w:rPr>
          <w:rFonts w:ascii="arial" w:eastAsia="arial" w:hAnsi="arial" w:cs="arial"/>
          <w:b w:val="0"/>
          <w:i w:val="0"/>
          <w:strike w:val="0"/>
          <w:noProof w:val="0"/>
          <w:color w:val="000000"/>
          <w:position w:val="0"/>
          <w:sz w:val="20"/>
          <w:u w:val="none"/>
          <w:vertAlign w:val="baseline"/>
        </w:rPr>
        <w:t>The Piracies and Felonies Clause empowers Congress to prosecute crimes committed on the high seas and, given that trafficking narcotics is condemned universally by law-abiding nations, it is not fundamentally unfair to punish those who traffic drugs on the high seas.</w:t>
      </w:r>
    </w:p>
    <w:p>
      <w:pPr>
        <w:spacing w:before="120"/>
      </w:pPr>
      <w:bookmarkStart w:id="6" w:name="Bookmark_clscc2"/>
      <w:bookmarkEnd w:id="6"/>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Entry of Pleas &gt; Guilty Pleas &gt; Allocution &amp; Colloquy</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Guilty Pleas &gt; Allocution &amp; Colloquy &gt; Waiver of Defenses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Entry of Pleas &gt; Guilty Pleas &gt; Voluntariness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Entry of Pleas &gt; Guilty Pleas &gt; Knowing &amp; Intelligent Requirement</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Entry of Pleas &gt; Guilty Pleas &gt; Appeals</w:t>
      </w:r>
    </w:p>
    <w:p>
      <w:pPr>
        <w:keepNext w:val="0"/>
        <w:spacing w:before="240" w:after="0" w:line="260" w:lineRule="atLeast"/>
        <w:ind w:left="0" w:right="0" w:firstLine="0"/>
        <w:jc w:val="both"/>
      </w:pPr>
      <w:hyperlink r:id="rId12" w:history="1">
        <w:r>
          <w:rPr>
            <w:rFonts w:ascii="arial" w:eastAsia="arial" w:hAnsi="arial" w:cs="arial"/>
            <w:b/>
            <w:i/>
            <w:strike w:val="0"/>
            <w:color w:val="0077CC"/>
            <w:sz w:val="20"/>
            <w:u w:val="single"/>
            <w:vertAlign w:val="baseline"/>
          </w:rPr>
          <w:t>HN2</w:t>
        </w:r>
      </w:hyperlink>
      <w:r>
        <w:rPr>
          <w:rFonts w:ascii="arial" w:eastAsia="arial" w:hAnsi="arial" w:cs="arial"/>
          <w:b w:val="0"/>
          <w:i w:val="0"/>
          <w:strike w:val="0"/>
          <w:noProof w:val="0"/>
          <w:color w:val="000000"/>
          <w:position w:val="0"/>
          <w:sz w:val="20"/>
          <w:u w:val="none"/>
          <w:vertAlign w:val="baseline"/>
        </w:rPr>
        <w:t>[</w:t>
      </w:r>
      <w:hyperlink w:anchor="Bookmark_LNHNREFclscc2" w:history="1">
        <w:r>
          <w:pict>
            <v:shape id="_x0000_i1029" type="#_x0000_t75" style="width:10.5pt;height:10.5pt">
              <v:imagedata r:id="rId11"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Guilty Pleas, Allocution &amp; Colloquy</w:t>
      </w:r>
    </w:p>
    <w:p>
      <w:pPr>
        <w:keepNext w:val="0"/>
        <w:spacing w:before="240" w:after="0" w:line="260" w:lineRule="atLeast"/>
        <w:ind w:left="0" w:right="0" w:firstLine="0"/>
        <w:jc w:val="both"/>
      </w:pPr>
      <w:bookmarkStart w:id="7" w:name="Bookmark_hnpara_2"/>
      <w:bookmarkEnd w:id="7"/>
      <w:r>
        <w:rPr>
          <w:rFonts w:ascii="arial" w:eastAsia="arial" w:hAnsi="arial" w:cs="arial"/>
          <w:b w:val="0"/>
          <w:i w:val="0"/>
          <w:strike w:val="0"/>
          <w:noProof w:val="0"/>
          <w:color w:val="000000"/>
          <w:position w:val="0"/>
          <w:sz w:val="20"/>
          <w:u w:val="none"/>
          <w:vertAlign w:val="baseline"/>
        </w:rPr>
        <w:t>A guilty plea waives a non-jurisdictional defect. A guilty plea represents a break in the chain of events which has preceded it in the criminal process. When a criminal defendant has solemnly admitted in open court that he is in fact guilty of the offense with which he is charged, he may not thereafter raise independent claims relating to the deprivation of constitutional rights that occurred prior to the entry of the guilty plea. This waiver of rights precludes most challenges to the conviction. When the judgment of conviction upon a guilty plea has become final and the offender seeks to reopen the proceeding, the inquiry is ordinarily confined to whether the underlying plea was both counseled and voluntary. A valid guilty plea relinquishes any claim that would contradict the admissions necessarily made upon entry of a voluntary plea of guilty. Generally, a voluntary, unconditional guilty plea waives all non-jurisdictional defects in the proceedings. A defendant who enters a plea of guilty waives all non-jurisdictional challenges to the constitutionality of the conviction, and only an attack on the voluntary and knowing nature of the plea can be sustained.</w:t>
      </w:r>
    </w:p>
    <w:p>
      <w:pPr>
        <w:spacing w:before="120"/>
      </w:pPr>
      <w:bookmarkStart w:id="8" w:name="Bookmark_clscc3"/>
      <w:bookmarkEnd w:id="8"/>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Entry of Pleas &gt; Guilty Pleas &gt; Allocution &amp; Colloquy</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Guilty Pleas &gt; Allocution &amp; Colloquy &gt; Waiver of Defenses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Counsel &gt; Effective Assistance of Counsel &gt; Pleas</w:t>
      </w:r>
    </w:p>
    <w:p>
      <w:pPr>
        <w:keepNext w:val="0"/>
        <w:spacing w:before="240" w:after="0" w:line="260" w:lineRule="atLeast"/>
        <w:ind w:left="0" w:right="0" w:firstLine="0"/>
        <w:jc w:val="both"/>
      </w:pPr>
      <w:hyperlink r:id="rId13" w:history="1">
        <w:r>
          <w:rPr>
            <w:rFonts w:ascii="arial" w:eastAsia="arial" w:hAnsi="arial" w:cs="arial"/>
            <w:b/>
            <w:i/>
            <w:strike w:val="0"/>
            <w:color w:val="0077CC"/>
            <w:sz w:val="20"/>
            <w:u w:val="single"/>
            <w:vertAlign w:val="baseline"/>
          </w:rPr>
          <w:t>HN3</w:t>
        </w:r>
      </w:hyperlink>
      <w:r>
        <w:rPr>
          <w:rFonts w:ascii="arial" w:eastAsia="arial" w:hAnsi="arial" w:cs="arial"/>
          <w:b w:val="0"/>
          <w:i w:val="0"/>
          <w:strike w:val="0"/>
          <w:noProof w:val="0"/>
          <w:color w:val="000000"/>
          <w:position w:val="0"/>
          <w:sz w:val="20"/>
          <w:u w:val="none"/>
          <w:vertAlign w:val="baseline"/>
        </w:rPr>
        <w:t>[</w:t>
      </w:r>
      <w:hyperlink w:anchor="Bookmark_LNHNREFclscc3" w:history="1">
        <w:r>
          <w:pict>
            <v:shape id="_x0000_i1030" type="#_x0000_t75" style="width:10.5pt;height:10.5pt">
              <v:imagedata r:id="rId11"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Guilty Pleas, Allocution &amp; Colloquy</w:t>
      </w:r>
    </w:p>
    <w:p>
      <w:pPr>
        <w:keepNext w:val="0"/>
        <w:spacing w:before="240" w:after="0" w:line="260" w:lineRule="atLeast"/>
        <w:ind w:left="0" w:right="0" w:firstLine="0"/>
        <w:jc w:val="both"/>
      </w:pPr>
      <w:bookmarkStart w:id="9" w:name="Bookmark_hnpara_3"/>
      <w:bookmarkEnd w:id="9"/>
      <w:r>
        <w:rPr>
          <w:rFonts w:ascii="arial" w:eastAsia="arial" w:hAnsi="arial" w:cs="arial"/>
          <w:b w:val="0"/>
          <w:i w:val="0"/>
          <w:strike w:val="0"/>
          <w:noProof w:val="0"/>
          <w:color w:val="000000"/>
          <w:position w:val="0"/>
          <w:sz w:val="20"/>
          <w:u w:val="none"/>
          <w:vertAlign w:val="baseline"/>
        </w:rPr>
        <w:t>A guilty plea waives a claim based on a pre-plea event, including a claim of ineffective assistance of counsel. Consequently, the entry of a guilty plea waives a claim that occurred before entry of the plea, including both a substantive claim and a purported failing of counsel but neither a jurisdictional challenge nor a voluntariness challenge to the plea.</w:t>
      </w:r>
    </w:p>
    <w:p>
      <w:pPr>
        <w:spacing w:before="120"/>
      </w:pPr>
      <w:bookmarkStart w:id="10" w:name="Bookmark_clscc4"/>
      <w:bookmarkEnd w:id="10"/>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Transportation Law &gt; Water Transportation &gt; Maritime Drug Enforcement Act</w:t>
      </w:r>
    </w:p>
    <w:p>
      <w:pPr>
        <w:keepNext w:val="0"/>
        <w:spacing w:before="240" w:after="0" w:line="260" w:lineRule="atLeast"/>
        <w:ind w:left="0" w:right="0" w:firstLine="0"/>
        <w:jc w:val="both"/>
      </w:pPr>
      <w:hyperlink r:id="rId14" w:history="1">
        <w:r>
          <w:rPr>
            <w:rFonts w:ascii="arial" w:eastAsia="arial" w:hAnsi="arial" w:cs="arial"/>
            <w:b/>
            <w:i/>
            <w:strike w:val="0"/>
            <w:color w:val="0077CC"/>
            <w:sz w:val="20"/>
            <w:u w:val="single"/>
            <w:vertAlign w:val="baseline"/>
          </w:rPr>
          <w:t>HN4</w:t>
        </w:r>
      </w:hyperlink>
      <w:r>
        <w:rPr>
          <w:rFonts w:ascii="arial" w:eastAsia="arial" w:hAnsi="arial" w:cs="arial"/>
          <w:b w:val="0"/>
          <w:i w:val="0"/>
          <w:strike w:val="0"/>
          <w:noProof w:val="0"/>
          <w:color w:val="000000"/>
          <w:position w:val="0"/>
          <w:sz w:val="20"/>
          <w:u w:val="none"/>
          <w:vertAlign w:val="baseline"/>
        </w:rPr>
        <w:t>[</w:t>
      </w:r>
      <w:hyperlink w:anchor="Bookmark_LNHNREFclscc4" w:history="1">
        <w:r>
          <w:pict>
            <v:shape id="_x0000_i1031" type="#_x0000_t75" style="width:10.5pt;height:10.5pt">
              <v:imagedata r:id="rId11"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Water Transportation, Maritime Drug Enforcement Act</w:t>
      </w:r>
    </w:p>
    <w:p>
      <w:pPr>
        <w:keepNext w:val="0"/>
        <w:spacing w:before="240" w:after="0" w:line="260" w:lineRule="atLeast"/>
        <w:ind w:left="0" w:right="0" w:firstLine="0"/>
        <w:jc w:val="both"/>
      </w:pPr>
      <w:bookmarkStart w:id="11" w:name="Bookmark_hnpara_4"/>
      <w:bookmarkEnd w:id="11"/>
      <w:r>
        <w:rPr>
          <w:rFonts w:ascii="arial" w:eastAsia="arial" w:hAnsi="arial" w:cs="arial"/>
          <w:b w:val="0"/>
          <w:i w:val="0"/>
          <w:strike w:val="0"/>
          <w:noProof w:val="0"/>
          <w:color w:val="000000"/>
          <w:position w:val="0"/>
          <w:sz w:val="20"/>
          <w:u w:val="none"/>
          <w:vertAlign w:val="baseline"/>
        </w:rPr>
        <w:t xml:space="preserve">The Maritime Drug Law Enforcement Act, 46 U.S.C.S. § 70503(a) et seq., provides that the question of whether a vessel is subject to the Act is not an element of the offense and is a preliminary question to be determined solely by the trial judge. </w:t>
      </w:r>
      <w:hyperlink r:id="rId15" w:history="1">
        <w:r>
          <w:rPr>
            <w:rFonts w:ascii="arial" w:eastAsia="arial" w:hAnsi="arial" w:cs="arial"/>
            <w:b w:val="0"/>
            <w:i/>
            <w:strike w:val="0"/>
            <w:noProof w:val="0"/>
            <w:color w:val="0077CC"/>
            <w:position w:val="0"/>
            <w:sz w:val="20"/>
            <w:u w:val="single"/>
            <w:vertAlign w:val="baseline"/>
          </w:rPr>
          <w:t>46 U.S.C.S. § 70504(a)</w:t>
        </w:r>
      </w:hyperlink>
      <w:r>
        <w:rPr>
          <w:rFonts w:ascii="arial" w:eastAsia="arial" w:hAnsi="arial" w:cs="arial"/>
          <w:b w:val="0"/>
          <w:i w:val="0"/>
          <w:strike w:val="0"/>
          <w:noProof w:val="0"/>
          <w:color w:val="000000"/>
          <w:position w:val="0"/>
          <w:sz w:val="20"/>
          <w:u w:val="none"/>
          <w:vertAlign w:val="baseline"/>
        </w:rPr>
        <w:t>.</w:t>
      </w:r>
    </w:p>
    <w:p>
      <w:pPr>
        <w:spacing w:before="120"/>
      </w:pPr>
      <w:bookmarkStart w:id="12" w:name="Bookmark_clscc5"/>
      <w:bookmarkEnd w:id="12"/>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Entry of Pleas &gt; Guilty Pleas &gt; Appeals</w:t>
      </w:r>
    </w:p>
    <w:p>
      <w:pPr>
        <w:keepNext w:val="0"/>
        <w:spacing w:before="240" w:after="0" w:line="260" w:lineRule="atLeast"/>
        <w:ind w:left="0" w:right="0" w:firstLine="0"/>
        <w:jc w:val="both"/>
      </w:pPr>
      <w:hyperlink r:id="rId16" w:history="1">
        <w:r>
          <w:rPr>
            <w:rFonts w:ascii="arial" w:eastAsia="arial" w:hAnsi="arial" w:cs="arial"/>
            <w:b/>
            <w:i/>
            <w:strike w:val="0"/>
            <w:color w:val="0077CC"/>
            <w:sz w:val="20"/>
            <w:u w:val="single"/>
            <w:vertAlign w:val="baseline"/>
          </w:rPr>
          <w:t>HN5</w:t>
        </w:r>
      </w:hyperlink>
      <w:r>
        <w:rPr>
          <w:rFonts w:ascii="arial" w:eastAsia="arial" w:hAnsi="arial" w:cs="arial"/>
          <w:b w:val="0"/>
          <w:i w:val="0"/>
          <w:strike w:val="0"/>
          <w:noProof w:val="0"/>
          <w:color w:val="000000"/>
          <w:position w:val="0"/>
          <w:sz w:val="20"/>
          <w:u w:val="none"/>
          <w:vertAlign w:val="baseline"/>
        </w:rPr>
        <w:t>[</w:t>
      </w:r>
      <w:hyperlink w:anchor="Bookmark_LNHNREFclscc5" w:history="1">
        <w:r>
          <w:pict>
            <v:shape id="_x0000_i1032" type="#_x0000_t75" style="width:10.5pt;height:10.5pt">
              <v:imagedata r:id="rId11"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Guilty Pleas, Appeals</w:t>
      </w:r>
    </w:p>
    <w:p>
      <w:pPr>
        <w:keepNext w:val="0"/>
        <w:spacing w:before="240" w:after="0" w:line="260" w:lineRule="atLeast"/>
        <w:ind w:left="0" w:right="0" w:firstLine="0"/>
        <w:jc w:val="both"/>
      </w:pPr>
      <w:bookmarkStart w:id="13" w:name="Bookmark_hnpara_5"/>
      <w:bookmarkEnd w:id="13"/>
      <w:r>
        <w:rPr>
          <w:rFonts w:ascii="arial" w:eastAsia="arial" w:hAnsi="arial" w:cs="arial"/>
          <w:b w:val="0"/>
          <w:i w:val="0"/>
          <w:strike w:val="0"/>
          <w:noProof w:val="0"/>
          <w:color w:val="000000"/>
          <w:position w:val="0"/>
          <w:sz w:val="20"/>
          <w:u w:val="none"/>
          <w:vertAlign w:val="baseline"/>
        </w:rPr>
        <w:t>A valid guilty plea renders irrelevant, and thereby prevents the defendant from appealing, the constitutionality of case-related government conduct that takes place before the plea is entered.</w:t>
      </w:r>
    </w:p>
    <w:p>
      <w:pPr>
        <w:spacing w:before="120"/>
      </w:pPr>
      <w:bookmarkStart w:id="14" w:name="Bookmark_clscc6"/>
      <w:bookmarkEnd w:id="14"/>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Habeas Corpus &gt; Review &gt; Burdens of Proof</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Habeas Corpus &gt; Appeals &gt; Certificate of Appealability</w:t>
      </w:r>
    </w:p>
    <w:p>
      <w:pPr>
        <w:keepNext w:val="0"/>
        <w:spacing w:before="240" w:after="0" w:line="260" w:lineRule="atLeast"/>
        <w:ind w:left="0" w:right="0" w:firstLine="0"/>
        <w:jc w:val="both"/>
      </w:pPr>
      <w:hyperlink r:id="rId17" w:history="1">
        <w:r>
          <w:rPr>
            <w:rFonts w:ascii="arial" w:eastAsia="arial" w:hAnsi="arial" w:cs="arial"/>
            <w:b/>
            <w:i/>
            <w:strike w:val="0"/>
            <w:color w:val="0077CC"/>
            <w:sz w:val="20"/>
            <w:u w:val="single"/>
            <w:vertAlign w:val="baseline"/>
          </w:rPr>
          <w:t>HN6</w:t>
        </w:r>
      </w:hyperlink>
      <w:r>
        <w:rPr>
          <w:rFonts w:ascii="arial" w:eastAsia="arial" w:hAnsi="arial" w:cs="arial"/>
          <w:b w:val="0"/>
          <w:i w:val="0"/>
          <w:strike w:val="0"/>
          <w:noProof w:val="0"/>
          <w:color w:val="000000"/>
          <w:position w:val="0"/>
          <w:sz w:val="20"/>
          <w:u w:val="none"/>
          <w:vertAlign w:val="baseline"/>
        </w:rPr>
        <w:t>[</w:t>
      </w:r>
      <w:hyperlink w:anchor="Bookmark_LNHNREFclscc6" w:history="1">
        <w:r>
          <w:pict>
            <v:shape id="_x0000_i1033" type="#_x0000_t75" style="width:10.5pt;height:10.5pt">
              <v:imagedata r:id="rId11"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Review, Burdens of Proof</w:t>
      </w:r>
    </w:p>
    <w:p>
      <w:pPr>
        <w:keepNext w:val="0"/>
        <w:spacing w:before="240" w:after="0" w:line="260" w:lineRule="atLeast"/>
        <w:ind w:left="0" w:right="0" w:firstLine="0"/>
        <w:jc w:val="both"/>
      </w:pPr>
      <w:bookmarkStart w:id="15" w:name="Bookmark_hnpara_6"/>
      <w:bookmarkEnd w:id="15"/>
      <w:r>
        <w:rPr>
          <w:rFonts w:ascii="arial" w:eastAsia="arial" w:hAnsi="arial" w:cs="arial"/>
          <w:b w:val="0"/>
          <w:i w:val="0"/>
          <w:strike w:val="0"/>
          <w:noProof w:val="0"/>
          <w:color w:val="000000"/>
          <w:position w:val="0"/>
          <w:sz w:val="20"/>
          <w:u w:val="none"/>
          <w:vertAlign w:val="baseline"/>
        </w:rPr>
        <w:t>A prisoner moving under 28 U.S.C.S. § 2255 has no absolute entitlement to appeal a district court's denial of his motion to vacate. 28 U.S.C.S. § 2253(c)(1). Rather, a district court must first issue a certificate of appealability (COA). 28 U.S.C.S. § 2253(c)(2) permits issuing a COA only if the applicant has made a substantial showing of the denial of a constitutional right. To merit a certificate of appealability, prisoner must show that reasonable jurists would find debatable both (1) the merits of the underlying claims and (2) the procedural issues he seeks to raise. 28 U.S.C.S. § 2253(c)(2).</w:t>
      </w:r>
    </w:p>
    <w:p>
      <w:pPr>
        <w:keepNext w:val="0"/>
        <w:spacing w:before="240" w:after="0" w:line="260" w:lineRule="atLeast"/>
        <w:ind w:left="0" w:right="0" w:firstLine="0"/>
        <w:jc w:val="left"/>
      </w:pPr>
      <w:bookmarkStart w:id="16" w:name="Counsel"/>
      <w:bookmarkEnd w:id="16"/>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For USA, Plaintiff (8:18-cr-00343-SDM-MRM All Defendants): Toni Andrea Goodin, LEAD ATTORNEY, United States Department of Justice, United State Attorney's Office, Tampa, FL.</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Domingo Amable Rodriguez Diaz, Plaintiff (8:20-cv-00430-SDM-MRM), Pro se, OAKDALE, LA.</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United States of America, Defendant (8:20-cv-00430-SDM-MRM): Toni Andrea Goodin, LEAD ATTORNEY, United States Department of Justice, United State Attorney's Office, Tampa, FL.</w:t>
      </w:r>
    </w:p>
    <w:p>
      <w:pPr>
        <w:keepNext w:val="0"/>
        <w:spacing w:before="240" w:after="0" w:line="260" w:lineRule="atLeast"/>
        <w:ind w:left="0" w:right="0" w:firstLine="0"/>
        <w:jc w:val="left"/>
      </w:pPr>
      <w:bookmarkStart w:id="17" w:name="Judges"/>
      <w:bookmarkEnd w:id="17"/>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STEVEN D. MERRYDAY, UNITED STATES DISTRICT JUDGE.</w:t>
      </w:r>
    </w:p>
    <w:p>
      <w:pPr>
        <w:keepNext w:val="0"/>
        <w:spacing w:before="240" w:after="0" w:line="260" w:lineRule="atLeast"/>
        <w:ind w:left="0" w:right="0" w:firstLine="0"/>
        <w:jc w:val="left"/>
      </w:pPr>
      <w:bookmarkStart w:id="18" w:name="Opinion by"/>
      <w:bookmarkEnd w:id="18"/>
      <w:r>
        <w:rPr>
          <w:rFonts w:ascii="arial" w:eastAsia="arial" w:hAnsi="arial" w:cs="arial"/>
          <w:b/>
          <w:i w:val="0"/>
          <w:strike w:val="0"/>
          <w:noProof w:val="0"/>
          <w:color w:val="000000"/>
          <w:position w:val="0"/>
          <w:sz w:val="20"/>
          <w:u w:val="none"/>
          <w:vertAlign w:val="baseline"/>
        </w:rPr>
        <w:t>Opinion by:</w:t>
      </w:r>
      <w:r>
        <w:rPr>
          <w:rFonts w:ascii="arial" w:eastAsia="arial" w:hAnsi="arial" w:cs="arial"/>
          <w:b w:val="0"/>
          <w:i w:val="0"/>
          <w:strike w:val="0"/>
          <w:noProof w:val="0"/>
          <w:color w:val="000000"/>
          <w:position w:val="0"/>
          <w:sz w:val="20"/>
          <w:u w:val="none"/>
          <w:vertAlign w:val="baseline"/>
        </w:rPr>
        <w:t> STEVEN D. MERRYDAY</w:t>
      </w:r>
    </w:p>
    <w:p>
      <w:pPr>
        <w:keepNext/>
        <w:spacing w:before="240" w:after="0" w:line="340" w:lineRule="atLeast"/>
        <w:ind w:left="0" w:right="0" w:firstLine="0"/>
        <w:jc w:val="left"/>
      </w:pPr>
      <w:bookmarkStart w:id="19" w:name="Opinion"/>
      <w:bookmarkEnd w:id="19"/>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34" style="position:absolute;z-index:251660288" from="0,2pt" to="512pt,2pt" strokecolor="#009ddb" strokeweight="2pt">
            <v:stroke linestyle="single"/>
            <w10:wrap type="topAndBottom"/>
          </v:line>
        </w:pict>
      </w:r>
    </w:p>
    <w:p>
      <w:pPr>
        <w:spacing w:line="120" w:lineRule="exact"/>
      </w:pP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single"/>
          <w:vertAlign w:val="baseline"/>
        </w:rPr>
        <w:t>ORDER</w:t>
      </w:r>
    </w:p>
    <w:p>
      <w:pPr>
        <w:keepNext w:val="0"/>
        <w:spacing w:before="240" w:after="0" w:line="260" w:lineRule="atLeast"/>
        <w:ind w:left="0" w:right="0" w:firstLine="0"/>
        <w:jc w:val="both"/>
      </w:pPr>
      <w:bookmarkStart w:id="20" w:name="Bookmark_para_1"/>
      <w:bookmarkEnd w:id="20"/>
      <w:r>
        <w:rPr>
          <w:rFonts w:ascii="arial" w:eastAsia="arial" w:hAnsi="arial" w:cs="arial"/>
          <w:b w:val="0"/>
          <w:i w:val="0"/>
          <w:strike w:val="0"/>
          <w:noProof w:val="0"/>
          <w:color w:val="000000"/>
          <w:position w:val="0"/>
          <w:sz w:val="20"/>
          <w:u w:val="none"/>
          <w:vertAlign w:val="baseline"/>
        </w:rPr>
        <w:t xml:space="preserve">Rodriguez moves under </w:t>
      </w:r>
      <w:hyperlink r:id="rId18" w:history="1">
        <w:r>
          <w:rPr>
            <w:rFonts w:ascii="arial" w:eastAsia="arial" w:hAnsi="arial" w:cs="arial"/>
            <w:b w:val="0"/>
            <w:i/>
            <w:strike w:val="0"/>
            <w:noProof w:val="0"/>
            <w:color w:val="0077CC"/>
            <w:position w:val="0"/>
            <w:sz w:val="20"/>
            <w:u w:val="single"/>
            <w:vertAlign w:val="baseline"/>
          </w:rPr>
          <w:t>28 U.S.C. § 2255</w:t>
        </w:r>
      </w:hyperlink>
      <w:r>
        <w:rPr>
          <w:rFonts w:ascii="arial" w:eastAsia="arial" w:hAnsi="arial" w:cs="arial"/>
          <w:b w:val="0"/>
          <w:i w:val="0"/>
          <w:strike w:val="0"/>
          <w:noProof w:val="0"/>
          <w:color w:val="000000"/>
          <w:position w:val="0"/>
          <w:sz w:val="20"/>
          <w:u w:val="none"/>
          <w:vertAlign w:val="baseline"/>
        </w:rPr>
        <w:t xml:space="preserve"> (Doc. 1) to vacate and challenges the validity of his conviction for conspiracy to possess with the intent to distribute five kilograms or more of cocaine while on the high seas and aboard a vessel subject to the jurisdiction of the United States, for which offense he is imprisoned for 135 months. Both the conviction and sentence accord with the plea agreement.</w:t>
      </w:r>
    </w:p>
    <w:p>
      <w:pPr>
        <w:keepNext w:val="0"/>
        <w:spacing w:before="200" w:after="0" w:line="260" w:lineRule="atLeast"/>
        <w:ind w:left="0" w:right="0" w:firstLine="0"/>
        <w:jc w:val="both"/>
      </w:pPr>
      <w:bookmarkStart w:id="21" w:name="Bookmark_para_2"/>
      <w:bookmarkEnd w:id="21"/>
      <w:r>
        <w:rPr>
          <w:rFonts w:ascii="arial" w:eastAsia="arial" w:hAnsi="arial" w:cs="arial"/>
          <w:b w:val="0"/>
          <w:i w:val="0"/>
          <w:strike w:val="0"/>
          <w:noProof w:val="0"/>
          <w:color w:val="000000"/>
          <w:position w:val="0"/>
          <w:sz w:val="20"/>
          <w:u w:val="none"/>
          <w:vertAlign w:val="baseline"/>
        </w:rPr>
        <w:t>An earlier order (Doc. 5) directs Rodriguez to show cause why the motion to vacate is not time-barred. After considering Rodriguez's explanation (Doc. 6), the district court ordered (Doc. 7) the United States to respond to the motion to vacate.</w:t>
      </w:r>
      <w:r>
        <w:rPr>
          <w:rFonts w:ascii="arial" w:eastAsia="arial" w:hAnsi="arial" w:cs="arial"/>
          <w:vertAlign w:val="superscript"/>
        </w:rPr>
        <w:footnoteReference w:customMarkFollows="1" w:id="2"/>
        <w:t xml:space="preserve">1</w:t>
      </w:r>
      <w:r>
        <w:rPr>
          <w:rFonts w:ascii="arial" w:eastAsia="arial" w:hAnsi="arial" w:cs="arial"/>
          <w:b w:val="0"/>
          <w:i w:val="0"/>
          <w:strike w:val="0"/>
          <w:noProof w:val="0"/>
          <w:color w:val="000000"/>
          <w:position w:val="0"/>
          <w:sz w:val="20"/>
          <w:u w:val="none"/>
          <w:vertAlign w:val="baseline"/>
        </w:rPr>
        <w:t xml:space="preserve"> The United States requests a denial of the motion because all</w:t>
      </w:r>
      <w:r>
        <w:rPr>
          <w:rFonts w:ascii="arial" w:eastAsia="arial" w:hAnsi="arial" w:cs="arial"/>
          <w:b/>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grounds are procedurally defaulted. Affording his reply a generous interpretation, Rodriguez erroneously argues that the United States lacked jurisdiction over his vessel.</w:t>
      </w:r>
      <w:r>
        <w:rPr>
          <w:rFonts w:ascii="arial" w:eastAsia="arial" w:hAnsi="arial" w:cs="arial"/>
          <w:vertAlign w:val="superscript"/>
        </w:rPr>
        <w:footnoteReference w:customMarkFollows="1" w:id="3"/>
        <w:t xml:space="preserve">2</w:t>
      </w:r>
    </w:p>
    <w:p>
      <w:pPr>
        <w:keepNext w:val="0"/>
        <w:spacing w:before="200" w:after="0" w:line="260" w:lineRule="atLeast"/>
        <w:ind w:left="0" w:right="0" w:firstLine="0"/>
        <w:jc w:val="both"/>
      </w:pPr>
      <w:bookmarkStart w:id="24" w:name="Bookmark_para_3"/>
      <w:bookmarkEnd w:id="24"/>
      <w:r>
        <w:rPr>
          <w:rFonts w:ascii="arial" w:eastAsia="arial" w:hAnsi="arial" w:cs="arial"/>
          <w:b w:val="0"/>
          <w:i w:val="0"/>
          <w:strike w:val="0"/>
          <w:noProof w:val="0"/>
          <w:color w:val="000000"/>
          <w:position w:val="0"/>
          <w:sz w:val="20"/>
          <w:u w:val="none"/>
          <w:vertAlign w:val="baseline"/>
        </w:rPr>
        <w:t>In the plea agreement Rodriguez admitted that he "conspired to possess with intent to distribute five (5) kilograms or more of cocaine while on board a vessel subject to the jurisdiction of the United States." (Doc. 45 at 2 in 18-cr-343) Also, Rodriguez stipulated to the following facts (Doc. 45 at 20-22):</w:t>
      </w:r>
    </w:p>
    <w:p>
      <w:pPr>
        <w:keepNext w:val="0"/>
        <w:spacing w:after="0" w:line="260" w:lineRule="atLeast"/>
        <w:ind w:left="400" w:right="0" w:firstLine="0"/>
        <w:jc w:val="both"/>
      </w:pPr>
      <w:bookmarkStart w:id="25" w:name="Bookmark_para_4"/>
      <w:bookmarkEnd w:id="25"/>
      <w:r>
        <w:rPr>
          <w:rFonts w:ascii="arial" w:eastAsia="arial" w:hAnsi="arial" w:cs="arial"/>
          <w:b w:val="0"/>
          <w:i w:val="0"/>
          <w:strike w:val="0"/>
          <w:noProof w:val="0"/>
          <w:color w:val="000000"/>
          <w:position w:val="0"/>
          <w:sz w:val="20"/>
          <w:u w:val="none"/>
          <w:vertAlign w:val="baseline"/>
        </w:rPr>
        <w:t>On July 13, 2018, a stateless go-fast vessel (GFV) containing the four co-defendants, was interdicted by the Coast Guard Cutter (CGC) Hamilton in international waters of the Eastern Pacific Ocean, approximately 267 nautical miles (nm) west of the Galapagos Islands.</w:t>
      </w:r>
    </w:p>
    <w:p>
      <w:pPr>
        <w:keepNext w:val="0"/>
        <w:spacing w:before="200" w:after="0" w:line="260" w:lineRule="atLeast"/>
        <w:ind w:left="400" w:right="0" w:firstLine="0"/>
        <w:jc w:val="both"/>
      </w:pPr>
      <w:bookmarkStart w:id="26" w:name="Bookmark_para_5"/>
      <w:bookmarkEnd w:id="26"/>
      <w:r>
        <w:rPr>
          <w:rFonts w:ascii="arial" w:eastAsia="arial" w:hAnsi="arial" w:cs="arial"/>
          <w:b w:val="0"/>
          <w:i w:val="0"/>
          <w:strike w:val="0"/>
          <w:noProof w:val="0"/>
          <w:color w:val="000000"/>
          <w:position w:val="0"/>
          <w:sz w:val="20"/>
          <w:u w:val="none"/>
          <w:vertAlign w:val="baseline"/>
        </w:rPr>
        <w:t>While on routine patrol, the CGC Hamilton detected two GFVs with bales of suspected contraband on deck approximately 500 yards from each other. CGC Hamilton launched its helicopter and over the horizon (OTH) vessel to interdict the GFVs and conduct a right of visit inquiry on both GFVs. Coast Guard personnel observed GFV #1 jettisoning the bales of suspected contraband before getting underway. The second GFV . . . did the same. Both GFVs failed to heave-to</w:t>
      </w:r>
      <w:r>
        <w:rPr>
          <w:rFonts w:ascii="arial" w:eastAsia="arial" w:hAnsi="arial" w:cs="arial"/>
          <w:b/>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after being instructed to do so by the Coast Guard. The Hamilton's helicopter disabled both GFV's and identified the two separate, distinct debris fields. The OTH conducted a right of visit for GFV #1. No master was identified, there was no claim of registry for the GFV, no indicia of nationality other than an Ecuadorian flag painted on the hull. The USCG contacted the government of Ecuador, which responded it could neither confirm nor deny registry for GFV #1. The Hamilton recovered twenty-five-(25) bales from the debris field for GFV # 1. The Coast Guard suspected that the substance recovered from the bale field was cocaine. The suspected cocaine was field tested and the results tested positive for cocaine. The weight of the substance was at least five (5) kilograms, over 450 kilograms, specifically the weight of the cocaine was 846 kilograms. Each crewmember was equally responsible for transporting the cocaine.</w:t>
      </w:r>
    </w:p>
    <w:p>
      <w:pPr>
        <w:keepNext w:val="0"/>
        <w:spacing w:after="0" w:line="260" w:lineRule="atLeast"/>
        <w:ind w:left="400" w:right="0" w:firstLine="0"/>
        <w:jc w:val="both"/>
      </w:pPr>
      <w:bookmarkStart w:id="27" w:name="Bookmark_para_6"/>
      <w:bookmarkEnd w:id="27"/>
      <w:r>
        <w:rPr>
          <w:rFonts w:ascii="arial" w:eastAsia="arial" w:hAnsi="arial" w:cs="arial"/>
          <w:b w:val="0"/>
          <w:i w:val="0"/>
          <w:strike w:val="0"/>
          <w:noProof w:val="0"/>
          <w:color w:val="000000"/>
          <w:position w:val="0"/>
          <w:sz w:val="20"/>
          <w:u w:val="none"/>
          <w:vertAlign w:val="baseline"/>
        </w:rPr>
        <w:t>On board GFV#l were four mariners, Domingo Amable Rodriguez-Diaz (Ecuadorian national), Feliciano Dolores Castro-Ordonez (Colombian national), Eulogio Ramiro Yoza-Tigua (Ecuadorian national), and Freddy Oswaldo Torres-Castro (Ecuadorian national).</w:t>
      </w:r>
    </w:p>
    <w:p>
      <w:pPr>
        <w:keepNext w:val="0"/>
        <w:spacing w:before="240" w:after="0" w:line="260" w:lineRule="atLeast"/>
        <w:ind w:left="0" w:right="0" w:firstLine="0"/>
        <w:jc w:val="both"/>
      </w:pPr>
      <w:bookmarkStart w:id="28" w:name="Bookmark_para_7"/>
      <w:bookmarkEnd w:id="28"/>
      <w:r>
        <w:rPr>
          <w:rFonts w:ascii="arial" w:eastAsia="arial" w:hAnsi="arial" w:cs="arial"/>
          <w:b w:val="0"/>
          <w:i w:val="0"/>
          <w:strike w:val="0"/>
          <w:noProof w:val="0"/>
          <w:color w:val="000000"/>
          <w:position w:val="0"/>
          <w:sz w:val="20"/>
          <w:u w:val="none"/>
          <w:vertAlign w:val="baseline"/>
        </w:rPr>
        <w:t>In his motion to vacate Rodriguez</w:t>
      </w:r>
      <w:r>
        <w:rPr>
          <w:rFonts w:ascii="arial" w:eastAsia="arial" w:hAnsi="arial" w:cs="arial"/>
          <w:b/>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 alleges (1) that the United States lacked jurisdiction over his vessel under the </w:t>
      </w:r>
      <w:hyperlink r:id="rId19" w:history="1">
        <w:r>
          <w:rPr>
            <w:rFonts w:ascii="arial" w:eastAsia="arial" w:hAnsi="arial" w:cs="arial"/>
            <w:b w:val="0"/>
            <w:i/>
            <w:strike w:val="0"/>
            <w:noProof w:val="0"/>
            <w:color w:val="0077CC"/>
            <w:position w:val="0"/>
            <w:sz w:val="20"/>
            <w:u w:val="single"/>
            <w:vertAlign w:val="baseline"/>
          </w:rPr>
          <w:t xml:space="preserve">Maritime Drug Law Enforcement Act ("MDLEA"), 46 U.S.C. §70503(a), </w:t>
        </w:r>
      </w:hyperlink>
      <w:hyperlink r:id="rId19" w:history="1">
        <w:r>
          <w:rPr>
            <w:rFonts w:ascii="arial" w:eastAsia="arial" w:hAnsi="arial" w:cs="arial"/>
            <w:b w:val="0"/>
            <w:i/>
            <w:strike w:val="0"/>
            <w:noProof w:val="0"/>
            <w:color w:val="0077CC"/>
            <w:position w:val="0"/>
            <w:sz w:val="20"/>
            <w:u w:val="single"/>
            <w:vertAlign w:val="baseline"/>
          </w:rPr>
          <w:t>et. seq.</w:t>
        </w:r>
      </w:hyperlink>
      <w:r>
        <w:rPr>
          <w:rFonts w:ascii="arial" w:eastAsia="arial" w:hAnsi="arial" w:cs="arial"/>
          <w:b w:val="0"/>
          <w:i w:val="0"/>
          <w:strike w:val="0"/>
          <w:noProof w:val="0"/>
          <w:color w:val="000000"/>
          <w:position w:val="0"/>
          <w:sz w:val="20"/>
          <w:u w:val="none"/>
          <w:vertAlign w:val="baseline"/>
        </w:rPr>
        <w:t>, (2) that the indictment was defective for not asserting jurisdiction as an element under the MDLEA, and (3) that the Coast Guard exercised "hostile aggression" toward the vessel and subjected him to "cruel, inhumane and degrading treatment."</w:t>
      </w:r>
    </w:p>
    <w:p>
      <w:pPr>
        <w:keepNext w:val="0"/>
        <w:spacing w:before="200" w:after="0" w:line="260" w:lineRule="atLeast"/>
        <w:ind w:left="0" w:right="0" w:firstLine="0"/>
        <w:jc w:val="both"/>
      </w:pPr>
      <w:bookmarkStart w:id="29" w:name="Bookmark_para_8"/>
      <w:bookmarkEnd w:id="29"/>
      <w:r>
        <w:rPr>
          <w:rFonts w:ascii="arial" w:eastAsia="arial" w:hAnsi="arial" w:cs="arial"/>
          <w:b w:val="0"/>
          <w:i w:val="0"/>
          <w:strike w:val="0"/>
          <w:noProof w:val="0"/>
          <w:color w:val="000000"/>
          <w:position w:val="0"/>
          <w:sz w:val="20"/>
          <w:u w:val="none"/>
          <w:vertAlign w:val="baseline"/>
        </w:rPr>
        <w:t xml:space="preserve">As admitted above, United States law enforcement authorities apprehended Rodriguez on a stateless vessel in international water carrying 846 kilograms of cocaine in violation of the MDLEA. </w:t>
      </w:r>
      <w:bookmarkStart w:id="30" w:name="Bookmark_I67P6B272HM5V40020000400"/>
      <w:bookmarkEnd w:id="30"/>
      <w:r>
        <w:rPr>
          <w:rFonts w:ascii="arial" w:eastAsia="arial" w:hAnsi="arial" w:cs="arial"/>
          <w:b w:val="0"/>
          <w:i w:val="0"/>
          <w:strike w:val="0"/>
          <w:noProof w:val="0"/>
          <w:color w:val="000000"/>
          <w:position w:val="0"/>
          <w:sz w:val="20"/>
          <w:u w:val="none"/>
          <w:vertAlign w:val="baseline"/>
        </w:rPr>
        <w:t xml:space="preserve">Rodriguez challenges the constitutionality of MDLEA and contests the district court's subject matter jurisdiction over his admittedly illegal drug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w:t>
      </w:r>
      <w:bookmarkStart w:id="31" w:name="Bookmark_I67P6B272N1PPG0010000400"/>
      <w:bookmarkEnd w:id="31"/>
      <w:bookmarkStart w:id="32" w:name="Bookmark_LNHNREFclscc1"/>
      <w:bookmarkEnd w:id="32"/>
      <w:hyperlink r:id="rId20" w:history="1">
        <w:r>
          <w:rPr>
            <w:rFonts w:ascii="arial" w:eastAsia="arial" w:hAnsi="arial" w:cs="arial"/>
            <w:b/>
            <w:i/>
            <w:strike w:val="0"/>
            <w:noProof w:val="0"/>
            <w:color w:val="0077CC"/>
            <w:position w:val="0"/>
            <w:sz w:val="20"/>
            <w:u w:val="single"/>
            <w:vertAlign w:val="baseline"/>
          </w:rPr>
          <w:t>HN1</w:t>
        </w:r>
      </w:hyperlink>
      <w:r>
        <w:rPr>
          <w:rFonts w:ascii="arial" w:eastAsia="arial" w:hAnsi="arial" w:cs="arial"/>
          <w:b w:val="0"/>
          <w:i w:val="0"/>
          <w:strike w:val="0"/>
          <w:noProof w:val="0"/>
          <w:color w:val="000000"/>
          <w:position w:val="0"/>
          <w:sz w:val="20"/>
          <w:u w:val="none"/>
          <w:vertAlign w:val="baseline"/>
        </w:rPr>
        <w:t>[</w:t>
      </w:r>
      <w:hyperlink w:anchor="Bookmark_clscc1" w:history="1">
        <w:r>
          <w:pict>
            <v:shape id="_x0000_i1035" type="#_x0000_t75" style="width:10.5pt;height:10.5pt">
              <v:imagedata r:id="rId21" o:title=""/>
            </v:shape>
          </w:pict>
        </w:r>
      </w:hyperlink>
      <w:r>
        <w:rPr>
          <w:rFonts w:ascii="arial" w:eastAsia="arial" w:hAnsi="arial" w:cs="arial"/>
          <w:b w:val="0"/>
          <w:i w:val="0"/>
          <w:strike w:val="0"/>
          <w:noProof w:val="0"/>
          <w:color w:val="000000"/>
          <w:position w:val="0"/>
          <w:sz w:val="20"/>
          <w:u w:val="none"/>
          <w:vertAlign w:val="baseline"/>
        </w:rPr>
        <w:t xml:space="preserve">] The constitutionality of the MDLEA is well established by precedent in this circuit. </w:t>
      </w:r>
      <w:r>
        <w:rPr>
          <w:rFonts w:ascii="arial" w:eastAsia="arial" w:hAnsi="arial" w:cs="arial"/>
          <w:b w:val="0"/>
          <w:i/>
          <w:strike w:val="0"/>
          <w:noProof w:val="0"/>
          <w:color w:val="000000"/>
          <w:position w:val="0"/>
          <w:sz w:val="20"/>
          <w:u w:val="none"/>
          <w:vertAlign w:val="baseline"/>
        </w:rPr>
        <w:t xml:space="preserve">See, e.g., </w:t>
      </w:r>
      <w:bookmarkStart w:id="33" w:name="Bookmark_I67P6B272HM5V40010000400"/>
      <w:bookmarkEnd w:id="33"/>
      <w:hyperlink r:id="rId22" w:history="1">
        <w:r>
          <w:rPr>
            <w:rFonts w:ascii="arial" w:eastAsia="arial" w:hAnsi="arial" w:cs="arial"/>
            <w:b w:val="0"/>
            <w:i/>
            <w:strike w:val="0"/>
            <w:noProof w:val="0"/>
            <w:color w:val="0077CC"/>
            <w:position w:val="0"/>
            <w:sz w:val="20"/>
            <w:u w:val="single"/>
            <w:vertAlign w:val="baseline"/>
          </w:rPr>
          <w:t>United States v. Tinoco</w:t>
        </w:r>
      </w:hyperlink>
      <w:hyperlink r:id="rId22" w:history="1">
        <w:r>
          <w:rPr>
            <w:rFonts w:ascii="arial" w:eastAsia="arial" w:hAnsi="arial" w:cs="arial"/>
            <w:b w:val="0"/>
            <w:i/>
            <w:strike w:val="0"/>
            <w:noProof w:val="0"/>
            <w:color w:val="0077CC"/>
            <w:position w:val="0"/>
            <w:sz w:val="20"/>
            <w:u w:val="single"/>
            <w:vertAlign w:val="baseline"/>
          </w:rPr>
          <w:t>, 304 F.3d 1088 (11th Cir. 2002)</w:t>
        </w:r>
      </w:hyperlink>
      <w:r>
        <w:rPr>
          <w:rFonts w:ascii="arial" w:eastAsia="arial" w:hAnsi="arial" w:cs="arial"/>
          <w:b w:val="0"/>
          <w:i w:val="0"/>
          <w:strike w:val="0"/>
          <w:noProof w:val="0"/>
          <w:color w:val="000000"/>
          <w:position w:val="0"/>
          <w:sz w:val="20"/>
          <w:u w:val="none"/>
          <w:vertAlign w:val="baseline"/>
        </w:rPr>
        <w:t xml:space="preserve">; </w:t>
      </w:r>
      <w:bookmarkStart w:id="34" w:name="Bookmark_I67P6B272HM5V40030000400"/>
      <w:bookmarkEnd w:id="34"/>
      <w:hyperlink r:id="rId23" w:history="1">
        <w:r>
          <w:rPr>
            <w:rFonts w:ascii="arial" w:eastAsia="arial" w:hAnsi="arial" w:cs="arial"/>
            <w:b w:val="0"/>
            <w:i/>
            <w:strike w:val="0"/>
            <w:noProof w:val="0"/>
            <w:color w:val="0077CC"/>
            <w:position w:val="0"/>
            <w:sz w:val="20"/>
            <w:u w:val="single"/>
            <w:vertAlign w:val="baseline"/>
          </w:rPr>
          <w:t>United States v. Bellaizac-Hurtado</w:t>
        </w:r>
      </w:hyperlink>
      <w:hyperlink r:id="rId23" w:history="1">
        <w:r>
          <w:rPr>
            <w:rFonts w:ascii="arial" w:eastAsia="arial" w:hAnsi="arial" w:cs="arial"/>
            <w:b w:val="0"/>
            <w:i/>
            <w:strike w:val="0"/>
            <w:noProof w:val="0"/>
            <w:color w:val="0077CC"/>
            <w:position w:val="0"/>
            <w:sz w:val="20"/>
            <w:u w:val="single"/>
            <w:vertAlign w:val="baseline"/>
          </w:rPr>
          <w:t>, 700 F.3d 1245 (11th Cir. 2012)</w:t>
        </w:r>
      </w:hyperlink>
      <w:r>
        <w:rPr>
          <w:rFonts w:ascii="arial" w:eastAsia="arial" w:hAnsi="arial" w:cs="arial"/>
          <w:b w:val="0"/>
          <w:i w:val="0"/>
          <w:strike w:val="0"/>
          <w:noProof w:val="0"/>
          <w:color w:val="000000"/>
          <w:position w:val="0"/>
          <w:sz w:val="20"/>
          <w:u w:val="none"/>
          <w:vertAlign w:val="baseline"/>
        </w:rPr>
        <w:t xml:space="preserve">. </w:t>
      </w:r>
      <w:bookmarkStart w:id="35" w:name="Bookmark_I67P6B272N1PPG0010000400_2"/>
      <w:bookmarkEnd w:id="35"/>
      <w:r>
        <w:rPr>
          <w:rFonts w:ascii="arial" w:eastAsia="arial" w:hAnsi="arial" w:cs="arial"/>
          <w:b w:val="0"/>
          <w:i/>
          <w:strike w:val="0"/>
          <w:noProof w:val="0"/>
          <w:color w:val="000000"/>
          <w:position w:val="0"/>
          <w:sz w:val="20"/>
          <w:u w:val="none"/>
          <w:vertAlign w:val="baseline"/>
        </w:rPr>
        <w:t xml:space="preserve">See also </w:t>
      </w:r>
      <w:bookmarkStart w:id="36" w:name="Bookmark_I67P6B272HM5V40050000400"/>
      <w:bookmarkEnd w:id="36"/>
      <w:hyperlink r:id="rId24" w:history="1">
        <w:r>
          <w:rPr>
            <w:rFonts w:ascii="arial" w:eastAsia="arial" w:hAnsi="arial" w:cs="arial"/>
            <w:b w:val="0"/>
            <w:i/>
            <w:strike w:val="0"/>
            <w:noProof w:val="0"/>
            <w:color w:val="0077CC"/>
            <w:position w:val="0"/>
            <w:sz w:val="20"/>
            <w:u w:val="single"/>
            <w:vertAlign w:val="baseline"/>
          </w:rPr>
          <w:t>United States v. Napa Moreira</w:t>
        </w:r>
      </w:hyperlink>
      <w:hyperlink r:id="rId24" w:history="1">
        <w:r>
          <w:rPr>
            <w:rFonts w:ascii="arial" w:eastAsia="arial" w:hAnsi="arial" w:cs="arial"/>
            <w:b w:val="0"/>
            <w:i/>
            <w:strike w:val="0"/>
            <w:noProof w:val="0"/>
            <w:color w:val="0077CC"/>
            <w:position w:val="0"/>
            <w:sz w:val="20"/>
            <w:u w:val="single"/>
            <w:vertAlign w:val="baseline"/>
          </w:rPr>
          <w:t>, 810 F. App'x 702, 705 (11th Cir.)</w:t>
        </w:r>
      </w:hyperlink>
      <w:r>
        <w:rPr>
          <w:rFonts w:ascii="arial" w:eastAsia="arial" w:hAnsi="arial" w:cs="arial"/>
          <w:vertAlign w:val="superscript"/>
        </w:rPr>
        <w:footnoteReference w:customMarkFollows="1" w:id="4"/>
        <w:t xml:space="preserve">3</w:t>
      </w:r>
      <w:r>
        <w:rPr>
          <w:rFonts w:ascii="arial" w:eastAsia="arial" w:hAnsi="arial" w:cs="arial"/>
          <w:b w:val="0"/>
          <w:i w:val="0"/>
          <w:strike w:val="0"/>
          <w:noProof w:val="0"/>
          <w:color w:val="000000"/>
          <w:position w:val="0"/>
          <w:sz w:val="20"/>
          <w:u w:val="none"/>
          <w:vertAlign w:val="baseline"/>
        </w:rPr>
        <w:t xml:space="preserve"> ("[T]he Piracies and Felonies Clause empowers Congress to prosecute crimes committed on the high seas and, given that trafficking narcotics is 'condemned universally by law-abiding nations,' it is not 'fundamentally unfair' to punish those who traffic drugs on the high seas."), </w:t>
      </w:r>
      <w:r>
        <w:rPr>
          <w:rFonts w:ascii="arial" w:eastAsia="arial" w:hAnsi="arial" w:cs="arial"/>
          <w:b w:val="0"/>
          <w:i/>
          <w:strike w:val="0"/>
          <w:noProof w:val="0"/>
          <w:color w:val="000000"/>
          <w:position w:val="0"/>
          <w:sz w:val="20"/>
          <w:u w:val="none"/>
          <w:vertAlign w:val="baseline"/>
        </w:rPr>
        <w:t>cert. denied</w:t>
      </w:r>
      <w:r>
        <w:rPr>
          <w:rFonts w:ascii="arial" w:eastAsia="arial" w:hAnsi="arial" w:cs="arial"/>
          <w:b w:val="0"/>
          <w:i w:val="0"/>
          <w:strike w:val="0"/>
          <w:noProof w:val="0"/>
          <w:color w:val="000000"/>
          <w:position w:val="0"/>
          <w:sz w:val="20"/>
          <w:u w:val="none"/>
          <w:vertAlign w:val="baseline"/>
        </w:rPr>
        <w:t xml:space="preserve">, </w:t>
      </w:r>
      <w:bookmarkStart w:id="38" w:name="Bookmark_I67P6B272N1PPG0020000400"/>
      <w:bookmarkEnd w:id="38"/>
      <w:r>
        <w:rPr>
          <w:rFonts w:ascii="arial" w:eastAsia="arial" w:hAnsi="arial" w:cs="arial"/>
          <w:b w:val="0"/>
          <w:i/>
          <w:strike w:val="0"/>
          <w:noProof w:val="0"/>
          <w:color w:val="000000"/>
          <w:position w:val="0"/>
          <w:sz w:val="20"/>
          <w:u w:val="none"/>
          <w:vertAlign w:val="baseline"/>
        </w:rPr>
        <w:t>141 S. Ct. 627, 208 L. Ed. 2d 232 (2020)</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39" w:name="Bookmark_para_9"/>
      <w:bookmarkEnd w:id="39"/>
      <w:bookmarkStart w:id="40" w:name="Bookmark_I67P6B272N1PPG0050000400"/>
      <w:bookmarkEnd w:id="40"/>
      <w:r>
        <w:rPr>
          <w:rFonts w:ascii="arial" w:eastAsia="arial" w:hAnsi="arial" w:cs="arial"/>
          <w:b w:val="0"/>
          <w:i w:val="0"/>
          <w:strike w:val="0"/>
          <w:noProof w:val="0"/>
          <w:color w:val="000000"/>
          <w:position w:val="0"/>
          <w:sz w:val="20"/>
          <w:u w:val="none"/>
          <w:vertAlign w:val="baseline"/>
        </w:rPr>
        <w:t xml:space="preserve">Rodriguez's guilty plea generally waived his challenges. </w:t>
      </w:r>
      <w:bookmarkStart w:id="41" w:name="Bookmark_I67P6B272N1PPG0040000400"/>
      <w:bookmarkEnd w:id="41"/>
      <w:hyperlink r:id="rId25" w:history="1">
        <w:r>
          <w:rPr>
            <w:rFonts w:ascii="arial" w:eastAsia="arial" w:hAnsi="arial" w:cs="arial"/>
            <w:b w:val="0"/>
            <w:i/>
            <w:strike w:val="0"/>
            <w:noProof w:val="0"/>
            <w:color w:val="0077CC"/>
            <w:position w:val="0"/>
            <w:sz w:val="20"/>
            <w:u w:val="single"/>
            <w:vertAlign w:val="baseline"/>
          </w:rPr>
          <w:t>Tollett v. Henderson</w:t>
        </w:r>
      </w:hyperlink>
      <w:hyperlink r:id="rId25" w:history="1">
        <w:r>
          <w:rPr>
            <w:rFonts w:ascii="arial" w:eastAsia="arial" w:hAnsi="arial" w:cs="arial"/>
            <w:b w:val="0"/>
            <w:i/>
            <w:strike w:val="0"/>
            <w:noProof w:val="0"/>
            <w:color w:val="0077CC"/>
            <w:position w:val="0"/>
            <w:sz w:val="20"/>
            <w:u w:val="single"/>
            <w:vertAlign w:val="baseline"/>
          </w:rPr>
          <w:t>, 411 U.S. 258, 267, 93 S. Ct. 1602, 36 L. Ed. 2d 235 (1973)</w:t>
        </w:r>
      </w:hyperlink>
      <w:r>
        <w:rPr>
          <w:rFonts w:ascii="arial" w:eastAsia="arial" w:hAnsi="arial" w:cs="arial"/>
          <w:b w:val="0"/>
          <w:i w:val="0"/>
          <w:strike w:val="0"/>
          <w:noProof w:val="0"/>
          <w:color w:val="000000"/>
          <w:position w:val="0"/>
          <w:sz w:val="20"/>
          <w:u w:val="none"/>
          <w:vertAlign w:val="baseline"/>
        </w:rPr>
        <w:t xml:space="preserve">, </w:t>
      </w:r>
      <w:bookmarkStart w:id="42" w:name="Bookmark_LNHNREFclscc2"/>
      <w:bookmarkEnd w:id="42"/>
      <w:hyperlink r:id="rId26" w:history="1">
        <w:r>
          <w:rPr>
            <w:rFonts w:ascii="arial" w:eastAsia="arial" w:hAnsi="arial" w:cs="arial"/>
            <w:b/>
            <w:i/>
            <w:strike w:val="0"/>
            <w:noProof w:val="0"/>
            <w:color w:val="0077CC"/>
            <w:position w:val="0"/>
            <w:sz w:val="20"/>
            <w:u w:val="single"/>
            <w:vertAlign w:val="baseline"/>
          </w:rPr>
          <w:t>HN2</w:t>
        </w:r>
      </w:hyperlink>
      <w:r>
        <w:rPr>
          <w:rFonts w:ascii="arial" w:eastAsia="arial" w:hAnsi="arial" w:cs="arial"/>
          <w:b w:val="0"/>
          <w:i w:val="0"/>
          <w:strike w:val="0"/>
          <w:noProof w:val="0"/>
          <w:color w:val="000000"/>
          <w:position w:val="0"/>
          <w:sz w:val="20"/>
          <w:u w:val="none"/>
          <w:vertAlign w:val="baseline"/>
        </w:rPr>
        <w:t>[</w:t>
      </w:r>
      <w:hyperlink w:anchor="Bookmark_clscc2" w:history="1">
        <w:r>
          <w:pict>
            <v:shape id="_x0000_i1036" type="#_x0000_t75" style="width:10.5pt;height:10.5pt">
              <v:imagedata r:id="rId21" o:title=""/>
            </v:shape>
          </w:pict>
        </w:r>
      </w:hyperlink>
      <w:r>
        <w:rPr>
          <w:rFonts w:ascii="arial" w:eastAsia="arial" w:hAnsi="arial" w:cs="arial"/>
          <w:b w:val="0"/>
          <w:i w:val="0"/>
          <w:strike w:val="0"/>
          <w:noProof w:val="0"/>
          <w:color w:val="000000"/>
          <w:position w:val="0"/>
          <w:sz w:val="20"/>
          <w:u w:val="none"/>
          <w:vertAlign w:val="baseline"/>
        </w:rPr>
        <w:t>] holds that a guilty plea waives a non-jurisdictional defect:</w:t>
      </w:r>
    </w:p>
    <w:p>
      <w:pPr>
        <w:keepNext w:val="0"/>
        <w:spacing w:before="200" w:after="0" w:line="260" w:lineRule="atLeast"/>
        <w:ind w:left="400" w:right="0" w:firstLine="0"/>
        <w:jc w:val="both"/>
      </w:pPr>
      <w:bookmarkStart w:id="43" w:name="Bookmark_para_10"/>
      <w:bookmarkEnd w:id="43"/>
      <w:bookmarkStart w:id="44" w:name="Bookmark_I67P6B272N1PPG0050000400_2"/>
      <w:bookmarkEnd w:id="44"/>
      <w:r>
        <w:rPr>
          <w:rFonts w:ascii="arial" w:eastAsia="arial" w:hAnsi="arial" w:cs="arial"/>
          <w:b w:val="0"/>
          <w:i w:val="0"/>
          <w:strike w:val="0"/>
          <w:noProof w:val="0"/>
          <w:color w:val="000000"/>
          <w:position w:val="0"/>
          <w:sz w:val="20"/>
          <w:u w:val="none"/>
          <w:vertAlign w:val="baseline"/>
        </w:rPr>
        <w:t>[A] guilty plea represents a break</w:t>
      </w:r>
      <w:r>
        <w:rPr>
          <w:rFonts w:ascii="arial" w:eastAsia="arial" w:hAnsi="arial" w:cs="arial"/>
          <w:b/>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 xml:space="preserve"> in the chain of events which has preceded it in the criminal process</w:t>
      </w:r>
      <w:bookmarkStart w:id="45" w:name="Bookmark_I67P6B282HM5VG0020000400"/>
      <w:bookmarkEnd w:id="45"/>
      <w:r>
        <w:rPr>
          <w:rFonts w:ascii="arial" w:eastAsia="arial" w:hAnsi="arial" w:cs="arial"/>
          <w:b w:val="0"/>
          <w:i w:val="0"/>
          <w:strike w:val="0"/>
          <w:noProof w:val="0"/>
          <w:color w:val="000000"/>
          <w:position w:val="0"/>
          <w:sz w:val="20"/>
          <w:u w:val="none"/>
          <w:vertAlign w:val="baseline"/>
        </w:rPr>
        <w:t>. When a criminal defendant has solemnly admitted in open court that he is in fact guilty of the offense with which he is charged, he may not thereafter raise independent claims relating to the deprivation of constitutional rights that occurred prior to the entry of the guilty plea.</w:t>
      </w:r>
    </w:p>
    <w:p>
      <w:pPr>
        <w:keepNext w:val="0"/>
        <w:spacing w:before="240" w:after="0" w:line="260" w:lineRule="atLeast"/>
        <w:ind w:left="0" w:right="0" w:firstLine="0"/>
        <w:jc w:val="both"/>
      </w:pPr>
      <w:bookmarkStart w:id="46" w:name="Bookmark_I67P6B282HM5VG0020000400_2"/>
      <w:bookmarkEnd w:id="46"/>
      <w:r>
        <w:rPr>
          <w:rFonts w:ascii="arial" w:eastAsia="arial" w:hAnsi="arial" w:cs="arial"/>
          <w:b w:val="0"/>
          <w:i w:val="0"/>
          <w:strike w:val="0"/>
          <w:noProof w:val="0"/>
          <w:color w:val="000000"/>
          <w:position w:val="0"/>
          <w:sz w:val="20"/>
          <w:u w:val="none"/>
          <w:vertAlign w:val="baseline"/>
        </w:rPr>
        <w:t xml:space="preserve">This waiver of rights precludes most challenges to the conviction. "[W]hen the judgment of conviction upon a guilty plea has become final and the offender seeks to reopen the proceeding, the inquiry is ordinarily confined to whether the underlying plea was both counseled and voluntary." </w:t>
      </w:r>
      <w:bookmarkStart w:id="47" w:name="Bookmark_I67P6B282HM5VG0010000400"/>
      <w:bookmarkEnd w:id="47"/>
      <w:hyperlink r:id="rId27" w:history="1">
        <w:r>
          <w:rPr>
            <w:rFonts w:ascii="arial" w:eastAsia="arial" w:hAnsi="arial" w:cs="arial"/>
            <w:b w:val="0"/>
            <w:i/>
            <w:strike w:val="0"/>
            <w:noProof w:val="0"/>
            <w:color w:val="0077CC"/>
            <w:position w:val="0"/>
            <w:sz w:val="20"/>
            <w:u w:val="single"/>
            <w:vertAlign w:val="baseline"/>
          </w:rPr>
          <w:t>United States v. Broce</w:t>
        </w:r>
      </w:hyperlink>
      <w:hyperlink r:id="rId27" w:history="1">
        <w:r>
          <w:rPr>
            <w:rFonts w:ascii="arial" w:eastAsia="arial" w:hAnsi="arial" w:cs="arial"/>
            <w:b w:val="0"/>
            <w:i/>
            <w:strike w:val="0"/>
            <w:noProof w:val="0"/>
            <w:color w:val="0077CC"/>
            <w:position w:val="0"/>
            <w:sz w:val="20"/>
            <w:u w:val="single"/>
            <w:vertAlign w:val="baseline"/>
          </w:rPr>
          <w:t>, 488 U.S. 563, 569, 109 S. Ct. 757, 102 L. Ed. 2d 927 (1989)</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also </w:t>
      </w:r>
      <w:bookmarkStart w:id="48" w:name="Bookmark_I67P6B282HM5VG0030000400"/>
      <w:bookmarkEnd w:id="48"/>
      <w:hyperlink r:id="rId28" w:history="1">
        <w:r>
          <w:rPr>
            <w:rFonts w:ascii="arial" w:eastAsia="arial" w:hAnsi="arial" w:cs="arial"/>
            <w:b w:val="0"/>
            <w:i/>
            <w:strike w:val="0"/>
            <w:noProof w:val="0"/>
            <w:color w:val="0077CC"/>
            <w:position w:val="0"/>
            <w:sz w:val="20"/>
            <w:u w:val="single"/>
            <w:vertAlign w:val="baseline"/>
          </w:rPr>
          <w:t>Class v. United States</w:t>
        </w:r>
      </w:hyperlink>
      <w:hyperlink r:id="rId28" w:history="1">
        <w:r>
          <w:rPr>
            <w:rFonts w:ascii="arial" w:eastAsia="arial" w:hAnsi="arial" w:cs="arial"/>
            <w:b w:val="0"/>
            <w:i/>
            <w:strike w:val="0"/>
            <w:noProof w:val="0"/>
            <w:color w:val="0077CC"/>
            <w:position w:val="0"/>
            <w:sz w:val="20"/>
            <w:u w:val="single"/>
            <w:vertAlign w:val="baseline"/>
          </w:rPr>
          <w:t>, 138 S. Ct. 798, 805-06, 200 L. Ed. 2d 37 (2018)</w:t>
        </w:r>
      </w:hyperlink>
      <w:r>
        <w:rPr>
          <w:rFonts w:ascii="arial" w:eastAsia="arial" w:hAnsi="arial" w:cs="arial"/>
          <w:b w:val="0"/>
          <w:i w:val="0"/>
          <w:strike w:val="0"/>
          <w:noProof w:val="0"/>
          <w:color w:val="000000"/>
          <w:position w:val="0"/>
          <w:sz w:val="20"/>
          <w:u w:val="none"/>
          <w:vertAlign w:val="baseline"/>
        </w:rPr>
        <w:t xml:space="preserve"> ("[A] valid guilty plea relinquishes any claim that would contradict the 'admissions necessarily made upon entry of a voluntary plea of guilty.'") (quoting </w:t>
      </w:r>
      <w:bookmarkStart w:id="49" w:name="Bookmark_I67P6B282HM5VG0020000400_3"/>
      <w:bookmarkEnd w:id="49"/>
      <w:bookmarkStart w:id="50" w:name="Bookmark_I67P6B282HM5VG0050000400"/>
      <w:bookmarkEnd w:id="50"/>
      <w:hyperlink r:id="rId27" w:history="1">
        <w:r>
          <w:rPr>
            <w:rFonts w:ascii="arial" w:eastAsia="arial" w:hAnsi="arial" w:cs="arial"/>
            <w:b w:val="0"/>
            <w:i/>
            <w:strike w:val="0"/>
            <w:noProof w:val="0"/>
            <w:color w:val="0077CC"/>
            <w:position w:val="0"/>
            <w:sz w:val="20"/>
            <w:u w:val="single"/>
            <w:vertAlign w:val="baseline"/>
          </w:rPr>
          <w:t>Broce</w:t>
        </w:r>
      </w:hyperlink>
      <w:bookmarkStart w:id="51" w:name="Bookmark_I67P6B2828T40Y0020000400"/>
      <w:bookmarkEnd w:id="51"/>
      <w:r>
        <w:rPr>
          <w:rFonts w:ascii="arial" w:eastAsia="arial" w:hAnsi="arial" w:cs="arial"/>
          <w:b w:val="0"/>
          <w:i w:val="0"/>
          <w:strike w:val="0"/>
          <w:noProof w:val="0"/>
          <w:color w:val="000000"/>
          <w:position w:val="0"/>
          <w:sz w:val="20"/>
          <w:u w:val="none"/>
          <w:vertAlign w:val="baseline"/>
        </w:rPr>
        <w:t xml:space="preserve">); </w:t>
      </w:r>
      <w:bookmarkStart w:id="52" w:name="Bookmark_I67P6B282N1PPS0020000400"/>
      <w:bookmarkEnd w:id="52"/>
      <w:hyperlink r:id="rId29" w:history="1">
        <w:r>
          <w:rPr>
            <w:rFonts w:ascii="arial" w:eastAsia="arial" w:hAnsi="arial" w:cs="arial"/>
            <w:b w:val="0"/>
            <w:i/>
            <w:strike w:val="0"/>
            <w:noProof w:val="0"/>
            <w:color w:val="0077CC"/>
            <w:position w:val="0"/>
            <w:sz w:val="20"/>
            <w:u w:val="single"/>
            <w:vertAlign w:val="baseline"/>
          </w:rPr>
          <w:t>United States v. Patti</w:t>
        </w:r>
      </w:hyperlink>
      <w:hyperlink r:id="rId29" w:history="1">
        <w:r>
          <w:rPr>
            <w:rFonts w:ascii="arial" w:eastAsia="arial" w:hAnsi="arial" w:cs="arial"/>
            <w:b w:val="0"/>
            <w:i/>
            <w:strike w:val="0"/>
            <w:noProof w:val="0"/>
            <w:color w:val="0077CC"/>
            <w:position w:val="0"/>
            <w:sz w:val="20"/>
            <w:u w:val="single"/>
            <w:vertAlign w:val="baseline"/>
          </w:rPr>
          <w:t>, 337 F.3d 1317, 1320 (11th Cir. 2003)</w:t>
        </w:r>
      </w:hyperlink>
      <w:r>
        <w:rPr>
          <w:rFonts w:ascii="arial" w:eastAsia="arial" w:hAnsi="arial" w:cs="arial"/>
          <w:b w:val="0"/>
          <w:i w:val="0"/>
          <w:strike w:val="0"/>
          <w:noProof w:val="0"/>
          <w:color w:val="000000"/>
          <w:position w:val="0"/>
          <w:sz w:val="20"/>
          <w:u w:val="none"/>
          <w:vertAlign w:val="baseline"/>
        </w:rPr>
        <w:t xml:space="preserve"> ("Generally, a voluntary, unconditional guilty plea waives all non-jurisdictional defects in the proceedings."); and </w:t>
      </w:r>
      <w:bookmarkStart w:id="53" w:name="Bookmark_I67P6B282N1PPS0040000400"/>
      <w:bookmarkEnd w:id="53"/>
      <w:r>
        <w:rPr>
          <w:rFonts w:ascii="arial" w:eastAsia="arial" w:hAnsi="arial" w:cs="arial"/>
          <w:b w:val="0"/>
          <w:i/>
          <w:strike w:val="0"/>
          <w:noProof w:val="0"/>
          <w:color w:val="000000"/>
          <w:position w:val="0"/>
          <w:sz w:val="20"/>
          <w:u w:val="none"/>
          <w:vertAlign w:val="baseline"/>
        </w:rPr>
        <w:t>Wilson v. United States</w:t>
      </w:r>
      <w:r>
        <w:rPr>
          <w:rFonts w:ascii="arial" w:eastAsia="arial" w:hAnsi="arial" w:cs="arial"/>
          <w:b w:val="0"/>
          <w:i/>
          <w:strike w:val="0"/>
          <w:noProof w:val="0"/>
          <w:color w:val="000000"/>
          <w:position w:val="0"/>
          <w:sz w:val="20"/>
          <w:u w:val="none"/>
          <w:vertAlign w:val="baseline"/>
        </w:rPr>
        <w:t>, 962 F.2d 996, 997 (11th Cir. 1992)</w:t>
      </w:r>
      <w:r>
        <w:rPr>
          <w:rFonts w:ascii="arial" w:eastAsia="arial" w:hAnsi="arial" w:cs="arial"/>
          <w:b w:val="0"/>
          <w:i w:val="0"/>
          <w:strike w:val="0"/>
          <w:noProof w:val="0"/>
          <w:color w:val="000000"/>
          <w:position w:val="0"/>
          <w:sz w:val="20"/>
          <w:u w:val="none"/>
          <w:vertAlign w:val="baseline"/>
        </w:rPr>
        <w:t xml:space="preserve"> ("A defendant who enters a plea of guilty waives all non-jurisdictional challenges to the constitutionality of the conviction, and only an attack on the voluntary and knowing nature of the plea can be sustained."). </w:t>
      </w:r>
      <w:bookmarkStart w:id="54" w:name="Bookmark_LNHNREFclscc3"/>
      <w:bookmarkEnd w:id="54"/>
      <w:hyperlink r:id="rId30" w:history="1">
        <w:r>
          <w:rPr>
            <w:rFonts w:ascii="arial" w:eastAsia="arial" w:hAnsi="arial" w:cs="arial"/>
            <w:b/>
            <w:i/>
            <w:strike w:val="0"/>
            <w:noProof w:val="0"/>
            <w:color w:val="0077CC"/>
            <w:position w:val="0"/>
            <w:sz w:val="20"/>
            <w:u w:val="single"/>
            <w:vertAlign w:val="baseline"/>
          </w:rPr>
          <w:t>HN3</w:t>
        </w:r>
      </w:hyperlink>
      <w:r>
        <w:rPr>
          <w:rFonts w:ascii="arial" w:eastAsia="arial" w:hAnsi="arial" w:cs="arial"/>
          <w:b w:val="0"/>
          <w:i w:val="0"/>
          <w:strike w:val="0"/>
          <w:noProof w:val="0"/>
          <w:color w:val="000000"/>
          <w:position w:val="0"/>
          <w:sz w:val="20"/>
          <w:u w:val="none"/>
          <w:vertAlign w:val="baseline"/>
        </w:rPr>
        <w:t>[</w:t>
      </w:r>
      <w:hyperlink w:anchor="Bookmark_clscc3" w:history="1">
        <w:r>
          <w:pict>
            <v:shape id="_x0000_i1037" type="#_x0000_t75" style="width:10.5pt;height:10.5pt">
              <v:imagedata r:id="rId21" o:title=""/>
            </v:shape>
          </w:pict>
        </w:r>
      </w:hyperlink>
      <w:r>
        <w:rPr>
          <w:rFonts w:ascii="arial" w:eastAsia="arial" w:hAnsi="arial" w:cs="arial"/>
          <w:b w:val="0"/>
          <w:i w:val="0"/>
          <w:strike w:val="0"/>
          <w:noProof w:val="0"/>
          <w:color w:val="000000"/>
          <w:position w:val="0"/>
          <w:sz w:val="20"/>
          <w:u w:val="none"/>
          <w:vertAlign w:val="baseline"/>
        </w:rPr>
        <w:t>] A guilty plea waives a claim based on a pre-plea event,</w:t>
      </w:r>
      <w:r>
        <w:rPr>
          <w:rFonts w:ascii="arial" w:eastAsia="arial" w:hAnsi="arial" w:cs="arial"/>
          <w:b/>
          <w:i w:val="0"/>
          <w:strike w:val="0"/>
          <w:noProof w:val="0"/>
          <w:color w:val="000000"/>
          <w:position w:val="0"/>
          <w:sz w:val="20"/>
          <w:u w:val="none"/>
          <w:vertAlign w:val="baseline"/>
        </w:rPr>
        <w:t> [*6] </w:t>
      </w:r>
      <w:r>
        <w:rPr>
          <w:rFonts w:ascii="arial" w:eastAsia="arial" w:hAnsi="arial" w:cs="arial"/>
          <w:b w:val="0"/>
          <w:i w:val="0"/>
          <w:strike w:val="0"/>
          <w:noProof w:val="0"/>
          <w:color w:val="000000"/>
          <w:position w:val="0"/>
          <w:sz w:val="20"/>
          <w:u w:val="none"/>
          <w:vertAlign w:val="baseline"/>
        </w:rPr>
        <w:t xml:space="preserve"> including a claim of ineffective assistance of counsel. </w:t>
      </w:r>
      <w:bookmarkStart w:id="55" w:name="Bookmark_I67P6B2828T40Y0010000400"/>
      <w:bookmarkEnd w:id="55"/>
      <w:r>
        <w:rPr>
          <w:rFonts w:ascii="arial" w:eastAsia="arial" w:hAnsi="arial" w:cs="arial"/>
          <w:b w:val="0"/>
          <w:i/>
          <w:strike w:val="0"/>
          <w:noProof w:val="0"/>
          <w:color w:val="000000"/>
          <w:position w:val="0"/>
          <w:sz w:val="20"/>
          <w:u w:val="none"/>
          <w:vertAlign w:val="baseline"/>
        </w:rPr>
        <w:t>Wilson</w:t>
      </w:r>
      <w:r>
        <w:rPr>
          <w:rFonts w:ascii="arial" w:eastAsia="arial" w:hAnsi="arial" w:cs="arial"/>
          <w:b w:val="0"/>
          <w:i/>
          <w:strike w:val="0"/>
          <w:noProof w:val="0"/>
          <w:color w:val="000000"/>
          <w:position w:val="0"/>
          <w:sz w:val="20"/>
          <w:u w:val="none"/>
          <w:vertAlign w:val="baseline"/>
        </w:rPr>
        <w:t>, 962 F.2d at 997</w:t>
      </w:r>
      <w:r>
        <w:rPr>
          <w:rFonts w:ascii="arial" w:eastAsia="arial" w:hAnsi="arial" w:cs="arial"/>
          <w:b w:val="0"/>
          <w:i w:val="0"/>
          <w:strike w:val="0"/>
          <w:noProof w:val="0"/>
          <w:color w:val="000000"/>
          <w:position w:val="0"/>
          <w:sz w:val="20"/>
          <w:u w:val="none"/>
          <w:vertAlign w:val="baseline"/>
        </w:rPr>
        <w:t>. Consequently, the entry of a guilty plea waives a claim that occurred before entry of the plea, including both a substantive claim and a purported failing of counsel but neither a jurisdictional challenge nor a voluntariness challenge to the plea.</w:t>
      </w:r>
      <w:r>
        <w:rPr>
          <w:rFonts w:ascii="arial" w:eastAsia="arial" w:hAnsi="arial" w:cs="arial"/>
          <w:vertAlign w:val="superscript"/>
        </w:rPr>
        <w:footnoteReference w:customMarkFollows="1" w:id="5"/>
        <w:t xml:space="preserve">4</w:t>
      </w:r>
      <w:r>
        <w:rPr>
          <w:rFonts w:ascii="arial" w:eastAsia="arial" w:hAnsi="arial" w:cs="arial"/>
          <w:b w:val="0"/>
          <w:i w:val="0"/>
          <w:strike w:val="0"/>
          <w:noProof w:val="0"/>
          <w:color w:val="000000"/>
          <w:position w:val="0"/>
          <w:sz w:val="20"/>
          <w:u w:val="none"/>
          <w:vertAlign w:val="baseline"/>
        </w:rPr>
        <w:t xml:space="preserve"> Moreover, the claim lacks merit because </w:t>
      </w:r>
      <w:bookmarkStart w:id="57" w:name="Bookmark_LNHNREFclscc4"/>
      <w:bookmarkEnd w:id="57"/>
      <w:hyperlink r:id="rId31" w:history="1">
        <w:r>
          <w:rPr>
            <w:rFonts w:ascii="arial" w:eastAsia="arial" w:hAnsi="arial" w:cs="arial"/>
            <w:b/>
            <w:i/>
            <w:strike w:val="0"/>
            <w:noProof w:val="0"/>
            <w:color w:val="0077CC"/>
            <w:position w:val="0"/>
            <w:sz w:val="20"/>
            <w:u w:val="single"/>
            <w:vertAlign w:val="baseline"/>
          </w:rPr>
          <w:t>HN4</w:t>
        </w:r>
      </w:hyperlink>
      <w:r>
        <w:rPr>
          <w:rFonts w:ascii="arial" w:eastAsia="arial" w:hAnsi="arial" w:cs="arial"/>
          <w:b w:val="0"/>
          <w:i w:val="0"/>
          <w:strike w:val="0"/>
          <w:noProof w:val="0"/>
          <w:color w:val="000000"/>
          <w:position w:val="0"/>
          <w:sz w:val="20"/>
          <w:u w:val="none"/>
          <w:vertAlign w:val="baseline"/>
        </w:rPr>
        <w:t>[</w:t>
      </w:r>
      <w:hyperlink w:anchor="Bookmark_clscc4" w:history="1">
        <w:r>
          <w:pict>
            <v:shape id="_x0000_i1038" type="#_x0000_t75" style="width:10.5pt;height:10.5pt">
              <v:imagedata r:id="rId21" o:title=""/>
            </v:shape>
          </w:pict>
        </w:r>
      </w:hyperlink>
      <w:r>
        <w:rPr>
          <w:rFonts w:ascii="arial" w:eastAsia="arial" w:hAnsi="arial" w:cs="arial"/>
          <w:b w:val="0"/>
          <w:i w:val="0"/>
          <w:strike w:val="0"/>
          <w:noProof w:val="0"/>
          <w:color w:val="000000"/>
          <w:position w:val="0"/>
          <w:sz w:val="20"/>
          <w:u w:val="none"/>
          <w:vertAlign w:val="baseline"/>
        </w:rPr>
        <w:t xml:space="preserve">] "[t]he MDLEA provides that the question of whether a vessel is subject to the Act 'is not an element of [the] offense' and is a 'preliminary question[ ] . . . to be determined solely by the trial judge.' </w:t>
      </w:r>
      <w:hyperlink r:id="rId15" w:history="1">
        <w:r>
          <w:rPr>
            <w:rFonts w:ascii="arial" w:eastAsia="arial" w:hAnsi="arial" w:cs="arial"/>
            <w:b w:val="0"/>
            <w:i/>
            <w:strike w:val="0"/>
            <w:noProof w:val="0"/>
            <w:color w:val="0077CC"/>
            <w:position w:val="0"/>
            <w:sz w:val="20"/>
            <w:u w:val="single"/>
            <w:vertAlign w:val="baseline"/>
          </w:rPr>
          <w:t>46 U.S.C. § 70504(a)</w:t>
        </w:r>
      </w:hyperlink>
      <w:r>
        <w:rPr>
          <w:rFonts w:ascii="arial" w:eastAsia="arial" w:hAnsi="arial" w:cs="arial"/>
          <w:b w:val="0"/>
          <w:i w:val="0"/>
          <w:strike w:val="0"/>
          <w:noProof w:val="0"/>
          <w:color w:val="000000"/>
          <w:position w:val="0"/>
          <w:sz w:val="20"/>
          <w:u w:val="none"/>
          <w:vertAlign w:val="baseline"/>
        </w:rPr>
        <w:t xml:space="preserve">." </w:t>
      </w:r>
      <w:bookmarkStart w:id="58" w:name="Bookmark_I67P6B2828T40Y0030000400"/>
      <w:bookmarkEnd w:id="58"/>
      <w:hyperlink r:id="rId32" w:history="1">
        <w:r>
          <w:rPr>
            <w:rFonts w:ascii="arial" w:eastAsia="arial" w:hAnsi="arial" w:cs="arial"/>
            <w:b w:val="0"/>
            <w:i/>
            <w:strike w:val="0"/>
            <w:noProof w:val="0"/>
            <w:color w:val="0077CC"/>
            <w:position w:val="0"/>
            <w:sz w:val="20"/>
            <w:u w:val="single"/>
            <w:vertAlign w:val="baseline"/>
          </w:rPr>
          <w:t>United States v. Vargas</w:t>
        </w:r>
      </w:hyperlink>
      <w:hyperlink r:id="rId32" w:history="1">
        <w:r>
          <w:rPr>
            <w:rFonts w:ascii="arial" w:eastAsia="arial" w:hAnsi="arial" w:cs="arial"/>
            <w:b w:val="0"/>
            <w:i/>
            <w:strike w:val="0"/>
            <w:noProof w:val="0"/>
            <w:color w:val="0077CC"/>
            <w:position w:val="0"/>
            <w:sz w:val="20"/>
            <w:u w:val="single"/>
            <w:vertAlign w:val="baseline"/>
          </w:rPr>
          <w:t>, 781 F. App'x 815, 820 (11th Cir. 2019)</w:t>
        </w:r>
      </w:hyperlink>
      <w:r>
        <w:rPr>
          <w:rFonts w:ascii="arial" w:eastAsia="arial" w:hAnsi="arial" w:cs="arial"/>
          <w:b w:val="0"/>
          <w:i w:val="0"/>
          <w:strike w:val="0"/>
          <w:noProof w:val="0"/>
          <w:color w:val="000000"/>
          <w:position w:val="0"/>
          <w:sz w:val="20"/>
          <w:u w:val="none"/>
          <w:vertAlign w:val="baseline"/>
        </w:rPr>
        <w:t xml:space="preserve"> (brackets original).</w:t>
      </w:r>
    </w:p>
    <w:p>
      <w:pPr>
        <w:keepNext w:val="0"/>
        <w:spacing w:before="200" w:after="0" w:line="260" w:lineRule="atLeast"/>
        <w:ind w:left="0" w:right="0" w:firstLine="0"/>
        <w:jc w:val="both"/>
      </w:pPr>
      <w:bookmarkStart w:id="59" w:name="Bookmark_para_11"/>
      <w:bookmarkEnd w:id="59"/>
      <w:bookmarkStart w:id="60" w:name="Bookmark_I67P6B292SF7JW0010000400"/>
      <w:bookmarkEnd w:id="60"/>
      <w:r>
        <w:rPr>
          <w:rFonts w:ascii="arial" w:eastAsia="arial" w:hAnsi="arial" w:cs="arial"/>
          <w:b w:val="0"/>
          <w:i w:val="0"/>
          <w:strike w:val="0"/>
          <w:noProof w:val="0"/>
          <w:color w:val="000000"/>
          <w:position w:val="0"/>
          <w:sz w:val="20"/>
          <w:u w:val="none"/>
          <w:vertAlign w:val="baseline"/>
        </w:rPr>
        <w:t xml:space="preserve">Lastly, Rodriguez can now challenge neither the force used to stop his vessel nor the conditions of his confinement as a basis for challenging his conviction. </w:t>
      </w:r>
      <w:bookmarkStart w:id="61" w:name="Bookmark_LNHNREFclscc5"/>
      <w:bookmarkEnd w:id="61"/>
      <w:hyperlink r:id="rId33" w:history="1">
        <w:r>
          <w:rPr>
            <w:rFonts w:ascii="arial" w:eastAsia="arial" w:hAnsi="arial" w:cs="arial"/>
            <w:b/>
            <w:i/>
            <w:strike w:val="0"/>
            <w:noProof w:val="0"/>
            <w:color w:val="0077CC"/>
            <w:position w:val="0"/>
            <w:sz w:val="20"/>
            <w:u w:val="single"/>
            <w:vertAlign w:val="baseline"/>
          </w:rPr>
          <w:t>HN5</w:t>
        </w:r>
      </w:hyperlink>
      <w:r>
        <w:rPr>
          <w:rFonts w:ascii="arial" w:eastAsia="arial" w:hAnsi="arial" w:cs="arial"/>
          <w:b w:val="0"/>
          <w:i w:val="0"/>
          <w:strike w:val="0"/>
          <w:noProof w:val="0"/>
          <w:color w:val="000000"/>
          <w:position w:val="0"/>
          <w:sz w:val="20"/>
          <w:u w:val="none"/>
          <w:vertAlign w:val="baseline"/>
        </w:rPr>
        <w:t>[</w:t>
      </w:r>
      <w:hyperlink w:anchor="Bookmark_clscc5" w:history="1">
        <w:r>
          <w:pict>
            <v:shape id="_x0000_i1039" type="#_x0000_t75" style="width:10.5pt;height:10.5pt">
              <v:imagedata r:id="rId21" o:title=""/>
            </v:shape>
          </w:pict>
        </w:r>
      </w:hyperlink>
      <w:r>
        <w:rPr>
          <w:rFonts w:ascii="arial" w:eastAsia="arial" w:hAnsi="arial" w:cs="arial"/>
          <w:b w:val="0"/>
          <w:i w:val="0"/>
          <w:strike w:val="0"/>
          <w:noProof w:val="0"/>
          <w:color w:val="000000"/>
          <w:position w:val="0"/>
          <w:sz w:val="20"/>
          <w:u w:val="none"/>
          <w:vertAlign w:val="baseline"/>
        </w:rPr>
        <w:t xml:space="preserve">] "A valid guilty plea also renders irrelevant—and thereby prevents the defendant from appealing—the constitutionality of case-related government conduct that takes place before the plea is entered." </w:t>
      </w:r>
      <w:bookmarkStart w:id="62" w:name="Bookmark_I67P6B2828T40Y0050000400"/>
      <w:bookmarkEnd w:id="62"/>
      <w:hyperlink r:id="rId28" w:history="1">
        <w:r>
          <w:rPr>
            <w:rFonts w:ascii="arial" w:eastAsia="arial" w:hAnsi="arial" w:cs="arial"/>
            <w:b w:val="0"/>
            <w:i/>
            <w:strike w:val="0"/>
            <w:noProof w:val="0"/>
            <w:color w:val="0077CC"/>
            <w:position w:val="0"/>
            <w:sz w:val="20"/>
            <w:u w:val="single"/>
            <w:vertAlign w:val="baseline"/>
          </w:rPr>
          <w:t>Class v. United States</w:t>
        </w:r>
      </w:hyperlink>
      <w:hyperlink r:id="rId28" w:history="1">
        <w:r>
          <w:rPr>
            <w:rFonts w:ascii="arial" w:eastAsia="arial" w:hAnsi="arial" w:cs="arial"/>
            <w:b w:val="0"/>
            <w:i/>
            <w:strike w:val="0"/>
            <w:noProof w:val="0"/>
            <w:color w:val="0077CC"/>
            <w:position w:val="0"/>
            <w:sz w:val="20"/>
            <w:u w:val="single"/>
            <w:vertAlign w:val="baseline"/>
          </w:rPr>
          <w:t>, 138 S. Ct. 798, 805, 200 L. Ed. 2d 37 (2018)</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also </w:t>
      </w:r>
      <w:bookmarkStart w:id="63" w:name="Bookmark_I67P6B292SF7JW0020000400"/>
      <w:bookmarkEnd w:id="63"/>
      <w:hyperlink r:id="rId34" w:history="1">
        <w:r>
          <w:rPr>
            <w:rFonts w:ascii="arial" w:eastAsia="arial" w:hAnsi="arial" w:cs="arial"/>
            <w:b w:val="0"/>
            <w:i/>
            <w:strike w:val="0"/>
            <w:noProof w:val="0"/>
            <w:color w:val="0077CC"/>
            <w:position w:val="0"/>
            <w:sz w:val="20"/>
            <w:u w:val="single"/>
            <w:vertAlign w:val="baseline"/>
          </w:rPr>
          <w:t>United States v. Castillo</w:t>
        </w:r>
      </w:hyperlink>
      <w:hyperlink r:id="rId34" w:history="1">
        <w:r>
          <w:rPr>
            <w:rFonts w:ascii="arial" w:eastAsia="arial" w:hAnsi="arial" w:cs="arial"/>
            <w:b w:val="0"/>
            <w:i/>
            <w:strike w:val="0"/>
            <w:noProof w:val="0"/>
            <w:color w:val="0077CC"/>
            <w:position w:val="0"/>
            <w:sz w:val="20"/>
            <w:u w:val="single"/>
            <w:vertAlign w:val="baseline"/>
          </w:rPr>
          <w:t>, 899 F.3d 1208, 1214 (11th Cir. 2018)</w:t>
        </w:r>
      </w:hyperlink>
      <w:r>
        <w:rPr>
          <w:rFonts w:ascii="arial" w:eastAsia="arial" w:hAnsi="arial" w:cs="arial"/>
          <w:b w:val="0"/>
          <w:i w:val="0"/>
          <w:strike w:val="0"/>
          <w:noProof w:val="0"/>
          <w:color w:val="000000"/>
          <w:position w:val="0"/>
          <w:sz w:val="20"/>
          <w:u w:val="none"/>
          <w:vertAlign w:val="baseline"/>
        </w:rPr>
        <w:t xml:space="preserve"> (applying </w:t>
      </w:r>
      <w:r>
        <w:rPr>
          <w:rFonts w:ascii="arial" w:eastAsia="arial" w:hAnsi="arial" w:cs="arial"/>
          <w:b w:val="0"/>
          <w:i/>
          <w:strike w:val="0"/>
          <w:noProof w:val="0"/>
          <w:color w:val="000000"/>
          <w:position w:val="0"/>
          <w:sz w:val="20"/>
          <w:u w:val="none"/>
          <w:vertAlign w:val="baseline"/>
        </w:rPr>
        <w:t>Class</w:t>
      </w:r>
      <w:r>
        <w:rPr>
          <w:rFonts w:ascii="arial" w:eastAsia="arial" w:hAnsi="arial" w:cs="arial"/>
          <w:b w:val="0"/>
          <w:i w:val="0"/>
          <w:strike w:val="0"/>
          <w:noProof w:val="0"/>
          <w:color w:val="000000"/>
          <w:position w:val="0"/>
          <w:sz w:val="20"/>
          <w:u w:val="none"/>
          <w:vertAlign w:val="baseline"/>
        </w:rPr>
        <w:t xml:space="preserve"> to preclude a challenge to a more than two-week delay between his arrest under the MDLEA and his appearance before a magistrate judge).</w:t>
      </w:r>
    </w:p>
    <w:p>
      <w:pPr>
        <w:keepNext w:val="0"/>
        <w:spacing w:before="200" w:after="0" w:line="260" w:lineRule="atLeast"/>
        <w:ind w:left="0" w:right="0" w:firstLine="0"/>
        <w:jc w:val="both"/>
      </w:pPr>
      <w:bookmarkStart w:id="64" w:name="Bookmark_para_12"/>
      <w:bookmarkEnd w:id="64"/>
      <w:r>
        <w:rPr>
          <w:rFonts w:ascii="arial" w:eastAsia="arial" w:hAnsi="arial" w:cs="arial"/>
          <w:b w:val="0"/>
          <w:i w:val="0"/>
          <w:strike w:val="0"/>
          <w:noProof w:val="0"/>
          <w:color w:val="000000"/>
          <w:position w:val="0"/>
          <w:sz w:val="20"/>
          <w:u w:val="none"/>
          <w:vertAlign w:val="baseline"/>
        </w:rPr>
        <w:t xml:space="preserve">The motion under </w:t>
      </w:r>
      <w:hyperlink r:id="rId18" w:history="1">
        <w:r>
          <w:rPr>
            <w:rFonts w:ascii="arial" w:eastAsia="arial" w:hAnsi="arial" w:cs="arial"/>
            <w:b w:val="0"/>
            <w:i/>
            <w:strike w:val="0"/>
            <w:noProof w:val="0"/>
            <w:color w:val="0077CC"/>
            <w:position w:val="0"/>
            <w:sz w:val="20"/>
            <w:u w:val="single"/>
            <w:vertAlign w:val="baseline"/>
          </w:rPr>
          <w:t>Section 2255</w:t>
        </w:r>
      </w:hyperlink>
      <w:r>
        <w:rPr>
          <w:rFonts w:ascii="arial" w:eastAsia="arial" w:hAnsi="arial" w:cs="arial"/>
          <w:b w:val="0"/>
          <w:i w:val="0"/>
          <w:strike w:val="0"/>
          <w:noProof w:val="0"/>
          <w:color w:val="000000"/>
          <w:position w:val="0"/>
          <w:sz w:val="20"/>
          <w:u w:val="none"/>
          <w:vertAlign w:val="baseline"/>
        </w:rPr>
        <w:t xml:space="preserve"> to vacate the sentence (Doc. 1) is </w:t>
      </w:r>
      <w:r>
        <w:rPr>
          <w:rFonts w:ascii="arial" w:eastAsia="arial" w:hAnsi="arial" w:cs="arial"/>
          <w:b/>
          <w:i w:val="0"/>
          <w:strike w:val="0"/>
          <w:noProof w:val="0"/>
          <w:color w:val="000000"/>
          <w:position w:val="0"/>
          <w:sz w:val="20"/>
          <w:u w:val="none"/>
          <w:vertAlign w:val="baseline"/>
        </w:rPr>
        <w:t>DENIED</w:t>
      </w:r>
      <w:r>
        <w:rPr>
          <w:rFonts w:ascii="arial" w:eastAsia="arial" w:hAnsi="arial" w:cs="arial"/>
          <w:b w:val="0"/>
          <w:i w:val="0"/>
          <w:strike w:val="0"/>
          <w:noProof w:val="0"/>
          <w:color w:val="000000"/>
          <w:position w:val="0"/>
          <w:sz w:val="20"/>
          <w:u w:val="none"/>
          <w:vertAlign w:val="baseline"/>
        </w:rPr>
        <w:t>. The clerk must enter a judgment against Rodriguez,</w:t>
      </w:r>
      <w:r>
        <w:rPr>
          <w:rFonts w:ascii="arial" w:eastAsia="arial" w:hAnsi="arial" w:cs="arial"/>
          <w:b/>
          <w:i w:val="0"/>
          <w:strike w:val="0"/>
          <w:noProof w:val="0"/>
          <w:color w:val="000000"/>
          <w:position w:val="0"/>
          <w:sz w:val="20"/>
          <w:u w:val="none"/>
          <w:vertAlign w:val="baseline"/>
        </w:rPr>
        <w:t> [*7] </w:t>
      </w:r>
      <w:r>
        <w:rPr>
          <w:rFonts w:ascii="arial" w:eastAsia="arial" w:hAnsi="arial" w:cs="arial"/>
          <w:b w:val="0"/>
          <w:i w:val="0"/>
          <w:strike w:val="0"/>
          <w:noProof w:val="0"/>
          <w:color w:val="000000"/>
          <w:position w:val="0"/>
          <w:sz w:val="20"/>
          <w:u w:val="none"/>
          <w:vertAlign w:val="baseline"/>
        </w:rPr>
        <w:t xml:space="preserve"> close this case, and enter a copy of this order in the criminal case.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single"/>
          <w:vertAlign w:val="baseline"/>
        </w:rPr>
        <w:t xml:space="preserve">DENIAL OF BOTH A CERTIFICATE OF APPEALABILITY AND LEAVE TO APPEAL </w:t>
      </w:r>
      <w:r>
        <w:rPr>
          <w:rFonts w:ascii="arial" w:eastAsia="arial" w:hAnsi="arial" w:cs="arial"/>
          <w:b/>
          <w:i/>
          <w:strike w:val="0"/>
          <w:noProof w:val="0"/>
          <w:color w:val="000000"/>
          <w:position w:val="0"/>
          <w:sz w:val="20"/>
          <w:u w:val="single"/>
          <w:vertAlign w:val="baseline"/>
        </w:rPr>
        <w:t>IN FORMA PAUPERIS</w:t>
      </w:r>
    </w:p>
    <w:p>
      <w:pPr>
        <w:keepNext w:val="0"/>
        <w:spacing w:before="200" w:after="0" w:line="260" w:lineRule="atLeast"/>
        <w:ind w:left="0" w:right="0" w:firstLine="0"/>
        <w:jc w:val="both"/>
      </w:pPr>
      <w:bookmarkStart w:id="65" w:name="Bookmark_para_13"/>
      <w:bookmarkEnd w:id="65"/>
      <w:bookmarkStart w:id="66" w:name="Bookmark_I67P6B292SF7JW0050000400"/>
      <w:bookmarkEnd w:id="66"/>
      <w:r>
        <w:rPr>
          <w:rFonts w:ascii="arial" w:eastAsia="arial" w:hAnsi="arial" w:cs="arial"/>
          <w:b w:val="0"/>
          <w:i w:val="0"/>
          <w:strike w:val="0"/>
          <w:noProof w:val="0"/>
          <w:color w:val="000000"/>
          <w:position w:val="0"/>
          <w:sz w:val="20"/>
          <w:u w:val="none"/>
          <w:vertAlign w:val="baseline"/>
        </w:rPr>
        <w:t xml:space="preserve">Rodriguez is not entitled to a certificate of appealability ("COA"). </w:t>
      </w:r>
      <w:bookmarkStart w:id="67" w:name="Bookmark_LNHNREFclscc6"/>
      <w:bookmarkEnd w:id="67"/>
      <w:hyperlink r:id="rId35" w:history="1">
        <w:r>
          <w:rPr>
            <w:rFonts w:ascii="arial" w:eastAsia="arial" w:hAnsi="arial" w:cs="arial"/>
            <w:b/>
            <w:i/>
            <w:strike w:val="0"/>
            <w:noProof w:val="0"/>
            <w:color w:val="0077CC"/>
            <w:position w:val="0"/>
            <w:sz w:val="20"/>
            <w:u w:val="single"/>
            <w:vertAlign w:val="baseline"/>
          </w:rPr>
          <w:t>HN6</w:t>
        </w:r>
      </w:hyperlink>
      <w:r>
        <w:rPr>
          <w:rFonts w:ascii="arial" w:eastAsia="arial" w:hAnsi="arial" w:cs="arial"/>
          <w:b w:val="0"/>
          <w:i w:val="0"/>
          <w:strike w:val="0"/>
          <w:noProof w:val="0"/>
          <w:color w:val="000000"/>
          <w:position w:val="0"/>
          <w:sz w:val="20"/>
          <w:u w:val="none"/>
          <w:vertAlign w:val="baseline"/>
        </w:rPr>
        <w:t>[</w:t>
      </w:r>
      <w:hyperlink w:anchor="Bookmark_clscc6" w:history="1">
        <w:r>
          <w:pict>
            <v:shape id="_x0000_i1040" type="#_x0000_t75" style="width:10.5pt;height:10.5pt">
              <v:imagedata r:id="rId21" o:title=""/>
            </v:shape>
          </w:pict>
        </w:r>
      </w:hyperlink>
      <w:r>
        <w:rPr>
          <w:rFonts w:ascii="arial" w:eastAsia="arial" w:hAnsi="arial" w:cs="arial"/>
          <w:b w:val="0"/>
          <w:i w:val="0"/>
          <w:strike w:val="0"/>
          <w:noProof w:val="0"/>
          <w:color w:val="000000"/>
          <w:position w:val="0"/>
          <w:sz w:val="20"/>
          <w:u w:val="none"/>
          <w:vertAlign w:val="baseline"/>
        </w:rPr>
        <w:t xml:space="preserve">] A prisoner moving under </w:t>
      </w:r>
      <w:hyperlink r:id="rId18" w:history="1">
        <w:r>
          <w:rPr>
            <w:rFonts w:ascii="arial" w:eastAsia="arial" w:hAnsi="arial" w:cs="arial"/>
            <w:b w:val="0"/>
            <w:i/>
            <w:strike w:val="0"/>
            <w:noProof w:val="0"/>
            <w:color w:val="0077CC"/>
            <w:position w:val="0"/>
            <w:sz w:val="20"/>
            <w:u w:val="single"/>
            <w:vertAlign w:val="baseline"/>
          </w:rPr>
          <w:t>Section 2255</w:t>
        </w:r>
      </w:hyperlink>
      <w:r>
        <w:rPr>
          <w:rFonts w:ascii="arial" w:eastAsia="arial" w:hAnsi="arial" w:cs="arial"/>
          <w:b w:val="0"/>
          <w:i w:val="0"/>
          <w:strike w:val="0"/>
          <w:noProof w:val="0"/>
          <w:color w:val="000000"/>
          <w:position w:val="0"/>
          <w:sz w:val="20"/>
          <w:u w:val="none"/>
          <w:vertAlign w:val="baseline"/>
        </w:rPr>
        <w:t xml:space="preserve"> has no absolute entitlement to appeal a district court's denial of his motion to vacate. </w:t>
      </w:r>
      <w:hyperlink r:id="rId36" w:history="1">
        <w:r>
          <w:rPr>
            <w:rFonts w:ascii="arial" w:eastAsia="arial" w:hAnsi="arial" w:cs="arial"/>
            <w:b w:val="0"/>
            <w:i/>
            <w:strike w:val="0"/>
            <w:noProof w:val="0"/>
            <w:color w:val="0077CC"/>
            <w:position w:val="0"/>
            <w:sz w:val="20"/>
            <w:u w:val="single"/>
            <w:vertAlign w:val="baseline"/>
          </w:rPr>
          <w:t>28 U.S.C. § 2253(c)(1)</w:t>
        </w:r>
      </w:hyperlink>
      <w:r>
        <w:rPr>
          <w:rFonts w:ascii="arial" w:eastAsia="arial" w:hAnsi="arial" w:cs="arial"/>
          <w:b w:val="0"/>
          <w:i w:val="0"/>
          <w:strike w:val="0"/>
          <w:noProof w:val="0"/>
          <w:color w:val="000000"/>
          <w:position w:val="0"/>
          <w:sz w:val="20"/>
          <w:u w:val="none"/>
          <w:vertAlign w:val="baseline"/>
        </w:rPr>
        <w:t xml:space="preserve">. Rather, a district court must first issue a COA. </w:t>
      </w:r>
      <w:hyperlink r:id="rId36" w:history="1">
        <w:r>
          <w:rPr>
            <w:rFonts w:ascii="arial" w:eastAsia="arial" w:hAnsi="arial" w:cs="arial"/>
            <w:b w:val="0"/>
            <w:i/>
            <w:strike w:val="0"/>
            <w:noProof w:val="0"/>
            <w:color w:val="0077CC"/>
            <w:position w:val="0"/>
            <w:sz w:val="20"/>
            <w:u w:val="single"/>
            <w:vertAlign w:val="baseline"/>
          </w:rPr>
          <w:t>Section 2253(c)(2)</w:t>
        </w:r>
      </w:hyperlink>
      <w:r>
        <w:rPr>
          <w:rFonts w:ascii="arial" w:eastAsia="arial" w:hAnsi="arial" w:cs="arial"/>
          <w:b w:val="0"/>
          <w:i w:val="0"/>
          <w:strike w:val="0"/>
          <w:noProof w:val="0"/>
          <w:color w:val="000000"/>
          <w:position w:val="0"/>
          <w:sz w:val="20"/>
          <w:u w:val="none"/>
          <w:vertAlign w:val="baseline"/>
        </w:rPr>
        <w:t xml:space="preserve"> permits issuing a COA "only if the applicant has made a substantial showing of the denial of a constitutional right." To merit a certificate of appealability, Rodriguez must show that reasonable jurists would find debatable both (1) the merits of the underlying claims and (2) the procedural issues he seeks to raise.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w:t>
      </w:r>
      <w:hyperlink r:id="rId36" w:history="1">
        <w:r>
          <w:rPr>
            <w:rFonts w:ascii="arial" w:eastAsia="arial" w:hAnsi="arial" w:cs="arial"/>
            <w:b w:val="0"/>
            <w:i/>
            <w:strike w:val="0"/>
            <w:noProof w:val="0"/>
            <w:color w:val="0077CC"/>
            <w:position w:val="0"/>
            <w:sz w:val="20"/>
            <w:u w:val="single"/>
            <w:vertAlign w:val="baseline"/>
          </w:rPr>
          <w:t>28 U.S.C. § 2253(c)(2)</w:t>
        </w:r>
      </w:hyperlink>
      <w:r>
        <w:rPr>
          <w:rFonts w:ascii="arial" w:eastAsia="arial" w:hAnsi="arial" w:cs="arial"/>
          <w:b w:val="0"/>
          <w:i w:val="0"/>
          <w:strike w:val="0"/>
          <w:noProof w:val="0"/>
          <w:color w:val="000000"/>
          <w:position w:val="0"/>
          <w:sz w:val="20"/>
          <w:u w:val="none"/>
          <w:vertAlign w:val="baseline"/>
        </w:rPr>
        <w:t xml:space="preserve">; </w:t>
      </w:r>
      <w:bookmarkStart w:id="68" w:name="Bookmark_I67P6B292SF7JW0040000400"/>
      <w:bookmarkEnd w:id="68"/>
      <w:hyperlink r:id="rId37" w:history="1">
        <w:r>
          <w:rPr>
            <w:rFonts w:ascii="arial" w:eastAsia="arial" w:hAnsi="arial" w:cs="arial"/>
            <w:b w:val="0"/>
            <w:i/>
            <w:strike w:val="0"/>
            <w:noProof w:val="0"/>
            <w:color w:val="0077CC"/>
            <w:position w:val="0"/>
            <w:sz w:val="20"/>
            <w:u w:val="single"/>
            <w:vertAlign w:val="baseline"/>
          </w:rPr>
          <w:t>Slack v. McDaniel</w:t>
        </w:r>
      </w:hyperlink>
      <w:hyperlink r:id="rId37" w:history="1">
        <w:r>
          <w:rPr>
            <w:rFonts w:ascii="arial" w:eastAsia="arial" w:hAnsi="arial" w:cs="arial"/>
            <w:b w:val="0"/>
            <w:i/>
            <w:strike w:val="0"/>
            <w:noProof w:val="0"/>
            <w:color w:val="0077CC"/>
            <w:position w:val="0"/>
            <w:sz w:val="20"/>
            <w:u w:val="single"/>
            <w:vertAlign w:val="baseline"/>
          </w:rPr>
          <w:t>, 529 U.S. 473, 478, 120 S. Ct. 1595, 146 L. Ed. 2d 542 (2000)</w:t>
        </w:r>
      </w:hyperlink>
      <w:r>
        <w:rPr>
          <w:rFonts w:ascii="arial" w:eastAsia="arial" w:hAnsi="arial" w:cs="arial"/>
          <w:b w:val="0"/>
          <w:i w:val="0"/>
          <w:strike w:val="0"/>
          <w:noProof w:val="0"/>
          <w:color w:val="000000"/>
          <w:position w:val="0"/>
          <w:sz w:val="20"/>
          <w:u w:val="none"/>
          <w:vertAlign w:val="baseline"/>
        </w:rPr>
        <w:t xml:space="preserve">; </w:t>
      </w:r>
      <w:bookmarkStart w:id="69" w:name="Bookmark_I67P6B2B2HM5WG0010000400"/>
      <w:bookmarkEnd w:id="69"/>
      <w:hyperlink r:id="rId38" w:history="1">
        <w:r>
          <w:rPr>
            <w:rFonts w:ascii="arial" w:eastAsia="arial" w:hAnsi="arial" w:cs="arial"/>
            <w:b w:val="0"/>
            <w:i/>
            <w:strike w:val="0"/>
            <w:noProof w:val="0"/>
            <w:color w:val="0077CC"/>
            <w:position w:val="0"/>
            <w:sz w:val="20"/>
            <w:u w:val="single"/>
            <w:vertAlign w:val="baseline"/>
          </w:rPr>
          <w:t>Eagle v. Linahan</w:t>
        </w:r>
      </w:hyperlink>
      <w:hyperlink r:id="rId38" w:history="1">
        <w:r>
          <w:rPr>
            <w:rFonts w:ascii="arial" w:eastAsia="arial" w:hAnsi="arial" w:cs="arial"/>
            <w:b w:val="0"/>
            <w:i/>
            <w:strike w:val="0"/>
            <w:noProof w:val="0"/>
            <w:color w:val="0077CC"/>
            <w:position w:val="0"/>
            <w:sz w:val="20"/>
            <w:u w:val="single"/>
            <w:vertAlign w:val="baseline"/>
          </w:rPr>
          <w:t>, 279 F.3d 926, 935 (11th Cir 2001)</w:t>
        </w:r>
      </w:hyperlink>
      <w:r>
        <w:rPr>
          <w:rFonts w:ascii="arial" w:eastAsia="arial" w:hAnsi="arial" w:cs="arial"/>
          <w:b w:val="0"/>
          <w:i w:val="0"/>
          <w:strike w:val="0"/>
          <w:noProof w:val="0"/>
          <w:color w:val="000000"/>
          <w:position w:val="0"/>
          <w:sz w:val="20"/>
          <w:u w:val="none"/>
          <w:vertAlign w:val="baseline"/>
        </w:rPr>
        <w:t xml:space="preserve">. Because he fails to show that reasonable jurists would debate either the merits of the claims or the procedural issues, Rodriguez is entitled to neither a certificate of appealability nor an appeal </w:t>
      </w:r>
      <w:bookmarkStart w:id="70" w:name="Bookmark_I67P6B292SF7JW0050000400_2"/>
      <w:bookmarkEnd w:id="70"/>
      <w:r>
        <w:rPr>
          <w:rFonts w:ascii="arial" w:eastAsia="arial" w:hAnsi="arial" w:cs="arial"/>
          <w:b w:val="0"/>
          <w:i/>
          <w:strike w:val="0"/>
          <w:noProof w:val="0"/>
          <w:color w:val="000000"/>
          <w:position w:val="0"/>
          <w:sz w:val="20"/>
          <w:u w:val="none"/>
          <w:vertAlign w:val="baseline"/>
        </w:rPr>
        <w:t>in forma pauperis</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71" w:name="Bookmark_para_14"/>
      <w:bookmarkEnd w:id="71"/>
      <w:r>
        <w:rPr>
          <w:rFonts w:ascii="arial" w:eastAsia="arial" w:hAnsi="arial" w:cs="arial"/>
          <w:b w:val="0"/>
          <w:i w:val="0"/>
          <w:strike w:val="0"/>
          <w:noProof w:val="0"/>
          <w:color w:val="000000"/>
          <w:position w:val="0"/>
          <w:sz w:val="20"/>
          <w:u w:val="none"/>
          <w:vertAlign w:val="baseline"/>
        </w:rPr>
        <w:t xml:space="preserve">A certificate of appealability is </w:t>
      </w:r>
      <w:r>
        <w:rPr>
          <w:rFonts w:ascii="arial" w:eastAsia="arial" w:hAnsi="arial" w:cs="arial"/>
          <w:b/>
          <w:i w:val="0"/>
          <w:strike w:val="0"/>
          <w:noProof w:val="0"/>
          <w:color w:val="000000"/>
          <w:position w:val="0"/>
          <w:sz w:val="20"/>
          <w:u w:val="none"/>
          <w:vertAlign w:val="baseline"/>
        </w:rPr>
        <w:t>DENIED</w:t>
      </w:r>
      <w:r>
        <w:rPr>
          <w:rFonts w:ascii="arial" w:eastAsia="arial" w:hAnsi="arial" w:cs="arial"/>
          <w:b w:val="0"/>
          <w:i w:val="0"/>
          <w:strike w:val="0"/>
          <w:noProof w:val="0"/>
          <w:color w:val="000000"/>
          <w:position w:val="0"/>
          <w:sz w:val="20"/>
          <w:u w:val="none"/>
          <w:vertAlign w:val="baseline"/>
        </w:rPr>
        <w:t xml:space="preserve">. Leave to appeal </w:t>
      </w:r>
      <w:r>
        <w:rPr>
          <w:rFonts w:ascii="arial" w:eastAsia="arial" w:hAnsi="arial" w:cs="arial"/>
          <w:b w:val="0"/>
          <w:i/>
          <w:strike w:val="0"/>
          <w:noProof w:val="0"/>
          <w:color w:val="000000"/>
          <w:position w:val="0"/>
          <w:sz w:val="20"/>
          <w:u w:val="none"/>
          <w:vertAlign w:val="baseline"/>
        </w:rPr>
        <w:t>in forma pauperis</w:t>
      </w:r>
      <w:r>
        <w:rPr>
          <w:rFonts w:ascii="arial" w:eastAsia="arial" w:hAnsi="arial" w:cs="arial"/>
          <w:b w:val="0"/>
          <w:i w:val="0"/>
          <w:strike w:val="0"/>
          <w:noProof w:val="0"/>
          <w:color w:val="000000"/>
          <w:position w:val="0"/>
          <w:sz w:val="20"/>
          <w:u w:val="none"/>
          <w:vertAlign w:val="baseline"/>
        </w:rPr>
        <w:t xml:space="preserve"> is </w:t>
      </w:r>
      <w:r>
        <w:rPr>
          <w:rFonts w:ascii="arial" w:eastAsia="arial" w:hAnsi="arial" w:cs="arial"/>
          <w:b/>
          <w:i w:val="0"/>
          <w:strike w:val="0"/>
          <w:noProof w:val="0"/>
          <w:color w:val="000000"/>
          <w:position w:val="0"/>
          <w:sz w:val="20"/>
          <w:u w:val="none"/>
          <w:vertAlign w:val="baseline"/>
        </w:rPr>
        <w:t>DENIED</w:t>
      </w:r>
      <w:r>
        <w:rPr>
          <w:rFonts w:ascii="arial" w:eastAsia="arial" w:hAnsi="arial" w:cs="arial"/>
          <w:b w:val="0"/>
          <w:i w:val="0"/>
          <w:strike w:val="0"/>
          <w:noProof w:val="0"/>
          <w:color w:val="000000"/>
          <w:position w:val="0"/>
          <w:sz w:val="20"/>
          <w:u w:val="none"/>
          <w:vertAlign w:val="baseline"/>
        </w:rPr>
        <w:t xml:space="preserve">. Rodriguez must pay the full $455 appellate filing fee without installments unless the circuit court allows Rodriguez to appeal </w:t>
      </w:r>
      <w:r>
        <w:rPr>
          <w:rFonts w:ascii="arial" w:eastAsia="arial" w:hAnsi="arial" w:cs="arial"/>
          <w:b w:val="0"/>
          <w:i/>
          <w:strike w:val="0"/>
          <w:noProof w:val="0"/>
          <w:color w:val="000000"/>
          <w:position w:val="0"/>
          <w:sz w:val="20"/>
          <w:u w:val="none"/>
          <w:vertAlign w:val="baseline"/>
        </w:rPr>
        <w:t>in forma pauperis</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72" w:name="Bookmark_para_15"/>
      <w:bookmarkEnd w:id="72"/>
      <w:r>
        <w:rPr>
          <w:rFonts w:ascii="arial" w:eastAsia="arial" w:hAnsi="arial" w:cs="arial"/>
          <w:b w:val="0"/>
          <w:i w:val="0"/>
          <w:strike w:val="0"/>
          <w:noProof w:val="0"/>
          <w:color w:val="000000"/>
          <w:position w:val="0"/>
          <w:sz w:val="20"/>
          <w:u w:val="none"/>
          <w:vertAlign w:val="baseline"/>
        </w:rPr>
        <w:t>ORDERED in Tampa, Florida, on February</w:t>
      </w:r>
      <w:r>
        <w:rPr>
          <w:rFonts w:ascii="arial" w:eastAsia="arial" w:hAnsi="arial" w:cs="arial"/>
          <w:b/>
          <w:i w:val="0"/>
          <w:strike w:val="0"/>
          <w:noProof w:val="0"/>
          <w:color w:val="000000"/>
          <w:position w:val="0"/>
          <w:sz w:val="20"/>
          <w:u w:val="none"/>
          <w:vertAlign w:val="baseline"/>
        </w:rPr>
        <w:t> [*8] </w:t>
      </w:r>
      <w:r>
        <w:rPr>
          <w:rFonts w:ascii="arial" w:eastAsia="arial" w:hAnsi="arial" w:cs="arial"/>
          <w:b w:val="0"/>
          <w:i w:val="0"/>
          <w:strike w:val="0"/>
          <w:noProof w:val="0"/>
          <w:color w:val="000000"/>
          <w:position w:val="0"/>
          <w:sz w:val="20"/>
          <w:u w:val="none"/>
          <w:vertAlign w:val="baseline"/>
        </w:rPr>
        <w:t xml:space="preserve"> 28, 2023.</w:t>
      </w:r>
    </w:p>
    <w:p>
      <w:pPr>
        <w:keepNext w:val="0"/>
        <w:spacing w:before="200" w:after="0" w:line="260" w:lineRule="atLeast"/>
        <w:ind w:left="0" w:right="0" w:firstLine="0"/>
        <w:jc w:val="both"/>
      </w:pPr>
      <w:bookmarkStart w:id="73" w:name="Bookmark_para_16"/>
      <w:bookmarkEnd w:id="73"/>
      <w:r>
        <w:rPr>
          <w:rFonts w:ascii="arial" w:eastAsia="arial" w:hAnsi="arial" w:cs="arial"/>
          <w:b w:val="0"/>
          <w:i w:val="0"/>
          <w:strike w:val="0"/>
          <w:noProof w:val="0"/>
          <w:color w:val="000000"/>
          <w:position w:val="0"/>
          <w:sz w:val="20"/>
          <w:u w:val="none"/>
          <w:vertAlign w:val="baseline"/>
        </w:rPr>
        <w:t>/s/ Steven D. Merryday</w:t>
      </w:r>
    </w:p>
    <w:p>
      <w:pPr>
        <w:keepNext w:val="0"/>
        <w:spacing w:before="200" w:after="0" w:line="260" w:lineRule="atLeast"/>
        <w:ind w:left="0" w:right="0" w:firstLine="0"/>
        <w:jc w:val="both"/>
      </w:pPr>
      <w:bookmarkStart w:id="74" w:name="Bookmark_para_17"/>
      <w:bookmarkEnd w:id="74"/>
      <w:r>
        <w:rPr>
          <w:rFonts w:ascii="arial" w:eastAsia="arial" w:hAnsi="arial" w:cs="arial"/>
          <w:b w:val="0"/>
          <w:i w:val="0"/>
          <w:strike w:val="0"/>
          <w:noProof w:val="0"/>
          <w:color w:val="000000"/>
          <w:position w:val="0"/>
          <w:sz w:val="20"/>
          <w:u w:val="none"/>
          <w:vertAlign w:val="baseline"/>
        </w:rPr>
        <w:t>STEVEN D. MERRYDAY</w:t>
      </w:r>
    </w:p>
    <w:p>
      <w:pPr>
        <w:keepNext w:val="0"/>
        <w:spacing w:before="200" w:after="0" w:line="260" w:lineRule="atLeast"/>
        <w:ind w:left="0" w:right="0" w:firstLine="0"/>
        <w:jc w:val="both"/>
      </w:pPr>
      <w:bookmarkStart w:id="75" w:name="Bookmark_para_18"/>
      <w:bookmarkEnd w:id="75"/>
      <w:r>
        <w:rPr>
          <w:rFonts w:ascii="arial" w:eastAsia="arial" w:hAnsi="arial" w:cs="arial"/>
          <w:b w:val="0"/>
          <w:i w:val="0"/>
          <w:strike w:val="0"/>
          <w:noProof w:val="0"/>
          <w:color w:val="000000"/>
          <w:position w:val="0"/>
          <w:sz w:val="20"/>
          <w:u w:val="none"/>
          <w:vertAlign w:val="baseline"/>
        </w:rPr>
        <w:t>UNITED STATES DISTRICT JUDGE</w:t>
      </w:r>
    </w:p>
    <w:p/>
    <w:p>
      <w:pPr>
        <w:ind w:left="200"/>
      </w:pPr>
      <w:r>
        <w:br/>
      </w:r>
      <w:r>
        <w:pict>
          <v:line id="_x0000_s1041" style="position:absolute;z-index:251661312"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pPr>
        <w:spacing w:after="0" w:line="240" w:lineRule="auto"/>
      </w:pPr>
      <w:r>
        <w:separator/>
      </w:r>
    </w:p>
  </w:footnote>
  <w:footnote w:type="continuationSeparator" w:id="1">
    <w:p>
      <w:pPr>
        <w:spacing w:after="0" w:line="240" w:lineRule="auto"/>
      </w:pPr>
      <w:r>
        <w:continuationSeparator/>
      </w:r>
    </w:p>
  </w:footnote>
  <w:footnote w:id="2">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1 </w:t>
      </w:r>
      <w:bookmarkStart w:id="22" w:name="Bookmark_fnpara_1"/>
      <w:bookmarkEnd w:id="22"/>
      <w:r>
        <w:rPr>
          <w:rFonts w:ascii="arial" w:eastAsia="arial" w:hAnsi="arial" w:cs="arial"/>
          <w:b w:val="0"/>
          <w:i w:val="0"/>
          <w:strike w:val="0"/>
          <w:noProof w:val="0"/>
          <w:color w:val="000000"/>
          <w:position w:val="0"/>
          <w:sz w:val="18"/>
          <w:u w:val="none"/>
          <w:vertAlign w:val="baseline"/>
        </w:rPr>
        <w:t xml:space="preserve">In response the United States asserts both that "Rodriguez's judgment became final on January 17, 2019," and that "Rodriguez did not timely file his </w:t>
      </w:r>
      <w:hyperlink r:id="rId1" w:history="1">
        <w:r>
          <w:rPr>
            <w:rFonts w:ascii="arial" w:eastAsia="arial" w:hAnsi="arial" w:cs="arial"/>
            <w:b w:val="0"/>
            <w:i/>
            <w:strike w:val="0"/>
            <w:noProof w:val="0"/>
            <w:color w:val="0077CC"/>
            <w:position w:val="0"/>
            <w:sz w:val="18"/>
            <w:u w:val="single"/>
            <w:vertAlign w:val="baseline"/>
          </w:rPr>
          <w:t>section 2255</w:t>
        </w:r>
      </w:hyperlink>
      <w:r>
        <w:rPr>
          <w:rFonts w:ascii="arial" w:eastAsia="arial" w:hAnsi="arial" w:cs="arial"/>
          <w:b w:val="0"/>
          <w:i w:val="0"/>
          <w:strike w:val="0"/>
          <w:noProof w:val="0"/>
          <w:color w:val="000000"/>
          <w:position w:val="0"/>
          <w:sz w:val="18"/>
          <w:u w:val="none"/>
          <w:vertAlign w:val="baseline"/>
        </w:rPr>
        <w:t xml:space="preserve"> motion, but rather filed it on February 24, 2020." (Doc. 14 at 5) The United States does not, however, request a dismissal of the motion to vacate based on timeliness.</w:t>
      </w:r>
    </w:p>
  </w:footnote>
  <w:footnote w:id="3">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2 </w:t>
      </w:r>
      <w:bookmarkStart w:id="23" w:name="Bookmark_fnpara_2"/>
      <w:bookmarkEnd w:id="23"/>
      <w:r>
        <w:rPr>
          <w:rFonts w:ascii="arial" w:eastAsia="arial" w:hAnsi="arial" w:cs="arial"/>
          <w:b w:val="0"/>
          <w:i w:val="0"/>
          <w:strike w:val="0"/>
          <w:noProof w:val="0"/>
          <w:color w:val="000000"/>
          <w:position w:val="0"/>
          <w:sz w:val="18"/>
          <w:u w:val="none"/>
          <w:vertAlign w:val="baseline"/>
        </w:rPr>
        <w:t>The reply is a twenty-four-page harangue that challenges both the jurisdiction of the United States and the enforcement of drug trafficking laws against a stateless vessel on international water. Certainly something that circulates within the prison, the paper is tailored to Rodriguez only by his name and case number on the first page and his name and signature on the last page.</w:t>
      </w:r>
    </w:p>
  </w:footnote>
  <w:footnote w:id="4">
    <w:p>
      <w:pPr>
        <w:keepNext w:val="0"/>
        <w:spacing w:before="240" w:after="0" w:line="240" w:lineRule="atLeast"/>
        <w:ind w:left="0" w:right="0" w:firstLine="0"/>
        <w:jc w:val="both"/>
      </w:pPr>
      <w:hyperlink r:id="rId2" w:history="1">
        <w:r>
          <w:rPr>
            <w:rFonts w:ascii="arial" w:eastAsia="arial" w:hAnsi="arial" w:cs="arial"/>
            <w:b w:val="0"/>
            <w:i w:val="0"/>
            <w:strike w:val="0"/>
            <w:color w:val="0077CC"/>
            <w:sz w:val="18"/>
            <w:u w:val="single"/>
            <w:vertAlign w:val="superscript"/>
          </w:rPr>
          <w:t>3 </w:t>
        </w:r>
      </w:hyperlink>
      <w:bookmarkStart w:id="37" w:name="Bookmark_fnpara_3"/>
      <w:bookmarkEnd w:id="37"/>
      <w:hyperlink r:id="rId2" w:history="1">
        <w:r>
          <w:rPr>
            <w:rFonts w:ascii="arial" w:eastAsia="arial" w:hAnsi="arial" w:cs="arial"/>
            <w:b w:val="0"/>
            <w:i w:val="0"/>
            <w:strike w:val="0"/>
            <w:color w:val="0077CC"/>
            <w:sz w:val="18"/>
            <w:u w:val="single"/>
            <w:vertAlign w:val="baseline"/>
          </w:rPr>
          <w:t xml:space="preserve">"Unpublished opinions are not considered binding precedent, but they may be cited as persuasive authority." </w:t>
        </w:r>
      </w:hyperlink>
      <w:hyperlink r:id="rId3" w:history="1">
        <w:r>
          <w:rPr>
            <w:rFonts w:ascii="arial" w:eastAsia="arial" w:hAnsi="arial" w:cs="arial"/>
            <w:b w:val="0"/>
            <w:i/>
            <w:strike w:val="0"/>
            <w:color w:val="0077CC"/>
            <w:sz w:val="18"/>
            <w:u w:val="single"/>
            <w:vertAlign w:val="baseline"/>
          </w:rPr>
          <w:t>11th Cir. Rule 36-2</w:t>
        </w:r>
      </w:hyperlink>
      <w:hyperlink r:id="rId2" w:history="1">
        <w:r>
          <w:rPr>
            <w:rFonts w:ascii="arial" w:eastAsia="arial" w:hAnsi="arial" w:cs="arial"/>
            <w:b w:val="0"/>
            <w:i w:val="0"/>
            <w:strike w:val="0"/>
            <w:color w:val="0077CC"/>
            <w:sz w:val="18"/>
            <w:u w:val="single"/>
            <w:vertAlign w:val="baseline"/>
          </w:rPr>
          <w:t>.</w:t>
        </w:r>
      </w:hyperlink>
    </w:p>
  </w:footnote>
  <w:footnote w:id="5">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4 </w:t>
      </w:r>
      <w:bookmarkStart w:id="56" w:name="Bookmark_fnpara_4"/>
      <w:bookmarkEnd w:id="56"/>
      <w:r>
        <w:rPr>
          <w:rFonts w:ascii="arial" w:eastAsia="arial" w:hAnsi="arial" w:cs="arial"/>
          <w:b w:val="0"/>
          <w:i w:val="0"/>
          <w:strike w:val="0"/>
          <w:noProof w:val="0"/>
          <w:color w:val="000000"/>
          <w:position w:val="0"/>
          <w:sz w:val="18"/>
          <w:u w:val="none"/>
          <w:vertAlign w:val="baseline"/>
        </w:rPr>
        <w:t>Although Rodriguez asserts that his plea was involuntary, the basis for this assertion is the absence of jurisdiction under the MDLEA. Jurisdiction is proper and, consequently, the asserted involuntariness has no basis.</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United States v. Rodriguez-Diaz, 2023 U.S. Dist. LEXIS 33238</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footnotePr>
    <w:footnote w:id="0"/>
    <w:footnote w:id="1"/>
  </w:foot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10" Type="http://schemas.openxmlformats.org/officeDocument/2006/relationships/hyperlink" Target="https://advance.lexis.com/api/document?collection=cases&amp;id=urn:contentItem:67NJ-WMT1-JJ1H-X1HS-00000-00&amp;context=1519360&amp;link=LNHNREFclscc1" TargetMode="External" /><Relationship Id="rId11" Type="http://schemas.openxmlformats.org/officeDocument/2006/relationships/image" Target="media/image2.png" /><Relationship Id="rId12" Type="http://schemas.openxmlformats.org/officeDocument/2006/relationships/hyperlink" Target="https://advance.lexis.com/api/document?collection=cases&amp;id=urn:contentItem:67NJ-WMT1-JJ1H-X1HS-00000-00&amp;context=1519360&amp;link=LNHNREFclscc2" TargetMode="External" /><Relationship Id="rId13" Type="http://schemas.openxmlformats.org/officeDocument/2006/relationships/hyperlink" Target="https://advance.lexis.com/api/document?collection=cases&amp;id=urn:contentItem:67NJ-WMT1-JJ1H-X1HS-00000-00&amp;context=1519360&amp;link=LNHNREFclscc3" TargetMode="External" /><Relationship Id="rId14" Type="http://schemas.openxmlformats.org/officeDocument/2006/relationships/hyperlink" Target="https://advance.lexis.com/api/document?collection=cases&amp;id=urn:contentItem:67NJ-WMT1-JJ1H-X1HS-00000-00&amp;context=1519360&amp;link=LNHNREFclscc4" TargetMode="External" /><Relationship Id="rId15" Type="http://schemas.openxmlformats.org/officeDocument/2006/relationships/hyperlink" Target="https://advance.lexis.com/api/document?collection=statutes-legislation&amp;id=urn:contentItem:8SDD-0M72-D6RV-H45X-00000-00&amp;context=1519360" TargetMode="External" /><Relationship Id="rId16" Type="http://schemas.openxmlformats.org/officeDocument/2006/relationships/hyperlink" Target="https://advance.lexis.com/api/document?collection=cases&amp;id=urn:contentItem:67NJ-WMT1-JJ1H-X1HS-00000-00&amp;context=1519360&amp;link=LNHNREFclscc5" TargetMode="External" /><Relationship Id="rId17" Type="http://schemas.openxmlformats.org/officeDocument/2006/relationships/hyperlink" Target="https://advance.lexis.com/api/document?collection=cases&amp;id=urn:contentItem:67NJ-WMT1-JJ1H-X1HS-00000-00&amp;context=1519360&amp;link=LNHNREFclscc6" TargetMode="External" /><Relationship Id="rId18" Type="http://schemas.openxmlformats.org/officeDocument/2006/relationships/hyperlink" Target="https://advance.lexis.com/api/document?collection=statutes-legislation&amp;id=urn:contentItem:8SG9-5HW2-D6RV-H0VJ-00000-00&amp;context=1519360" TargetMode="External" /><Relationship Id="rId19" Type="http://schemas.openxmlformats.org/officeDocument/2006/relationships/hyperlink" Target="https://advance.lexis.com/api/document?collection=statutes-legislation&amp;id=urn:contentItem:8SDD-0M72-D6RV-H45W-00000-00&amp;context=1519360" TargetMode="External" /><Relationship Id="rId2" Type="http://schemas.openxmlformats.org/officeDocument/2006/relationships/settings" Target="settings.xml" /><Relationship Id="rId20" Type="http://schemas.openxmlformats.org/officeDocument/2006/relationships/hyperlink" Target="https://advance.lexis.com/api/document?collection=cases&amp;id=urn:contentItem:67NJ-WMT1-JJ1H-X1HS-00000-00&amp;context=1519360&amp;link=clscc1" TargetMode="External" /><Relationship Id="rId21" Type="http://schemas.openxmlformats.org/officeDocument/2006/relationships/image" Target="media/image3.png" /><Relationship Id="rId22" Type="http://schemas.openxmlformats.org/officeDocument/2006/relationships/hyperlink" Target="https://advance.lexis.com/api/document?collection=cases&amp;id=urn:contentItem:46R6-5FR0-0038-X3K4-00000-00&amp;context=1519360" TargetMode="External" /><Relationship Id="rId23" Type="http://schemas.openxmlformats.org/officeDocument/2006/relationships/hyperlink" Target="https://advance.lexis.com/api/document?collection=cases&amp;id=urn:contentItem:570B-RJF1-F04K-X4HN-00000-00&amp;context=1519360" TargetMode="External" /><Relationship Id="rId24" Type="http://schemas.openxmlformats.org/officeDocument/2006/relationships/hyperlink" Target="https://advance.lexis.com/api/document?collection=cases&amp;id=urn:contentItem:5YNG-NK31-JCBX-S4PP-00000-00&amp;context=1519360" TargetMode="External" /><Relationship Id="rId25" Type="http://schemas.openxmlformats.org/officeDocument/2006/relationships/hyperlink" Target="https://advance.lexis.com/api/document?collection=cases&amp;id=urn:contentItem:3S4X-CVW0-003B-S36K-00000-00&amp;context=1519360" TargetMode="External" /><Relationship Id="rId26" Type="http://schemas.openxmlformats.org/officeDocument/2006/relationships/hyperlink" Target="https://advance.lexis.com/api/document?collection=cases&amp;id=urn:contentItem:67NJ-WMT1-JJ1H-X1HS-00000-00&amp;context=1519360&amp;link=clscc2" TargetMode="External" /><Relationship Id="rId27" Type="http://schemas.openxmlformats.org/officeDocument/2006/relationships/hyperlink" Target="https://advance.lexis.com/api/document?collection=cases&amp;id=urn:contentItem:3S4X-CH10-003B-44HP-00000-00&amp;context=1519360" TargetMode="External" /><Relationship Id="rId28" Type="http://schemas.openxmlformats.org/officeDocument/2006/relationships/hyperlink" Target="https://advance.lexis.com/api/document?collection=cases&amp;id=urn:contentItem:5RPH-BWW1-F04K-F0KD-00000-00&amp;context=1519360" TargetMode="External" /><Relationship Id="rId29" Type="http://schemas.openxmlformats.org/officeDocument/2006/relationships/hyperlink" Target="https://advance.lexis.com/api/document?collection=cases&amp;id=urn:contentItem:4945-17S0-0038-X1XT-00000-00&amp;context=1519360" TargetMode="External" /><Relationship Id="rId3" Type="http://schemas.openxmlformats.org/officeDocument/2006/relationships/webSettings" Target="webSettings.xml" /><Relationship Id="rId30" Type="http://schemas.openxmlformats.org/officeDocument/2006/relationships/hyperlink" Target="https://advance.lexis.com/api/document?collection=cases&amp;id=urn:contentItem:67NJ-WMT1-JJ1H-X1HS-00000-00&amp;context=1519360&amp;link=clscc3" TargetMode="External" /><Relationship Id="rId31" Type="http://schemas.openxmlformats.org/officeDocument/2006/relationships/hyperlink" Target="https://advance.lexis.com/api/document?collection=cases&amp;id=urn:contentItem:67NJ-WMT1-JJ1H-X1HS-00000-00&amp;context=1519360&amp;link=clscc4" TargetMode="External" /><Relationship Id="rId32" Type="http://schemas.openxmlformats.org/officeDocument/2006/relationships/hyperlink" Target="https://advance.lexis.com/api/document?collection=cases&amp;id=urn:contentItem:5WDK-KJX1-F06F-23CB-00000-00&amp;context=1519360" TargetMode="External" /><Relationship Id="rId33" Type="http://schemas.openxmlformats.org/officeDocument/2006/relationships/hyperlink" Target="https://advance.lexis.com/api/document?collection=cases&amp;id=urn:contentItem:67NJ-WMT1-JJ1H-X1HS-00000-00&amp;context=1519360&amp;link=clscc5" TargetMode="External" /><Relationship Id="rId34" Type="http://schemas.openxmlformats.org/officeDocument/2006/relationships/hyperlink" Target="https://advance.lexis.com/api/document?collection=cases&amp;id=urn:contentItem:5T1N-14W1-JPGX-S51B-00000-00&amp;context=1519360" TargetMode="External" /><Relationship Id="rId35" Type="http://schemas.openxmlformats.org/officeDocument/2006/relationships/hyperlink" Target="https://advance.lexis.com/api/document?collection=cases&amp;id=urn:contentItem:67NJ-WMT1-JJ1H-X1HS-00000-00&amp;context=1519360&amp;link=clscc6" TargetMode="External" /><Relationship Id="rId36" Type="http://schemas.openxmlformats.org/officeDocument/2006/relationships/hyperlink" Target="https://advance.lexis.com/api/document?collection=statutes-legislation&amp;id=urn:contentItem:8SG9-5HW2-D6RV-H0VG-00000-00&amp;context=1519360" TargetMode="External" /><Relationship Id="rId37" Type="http://schemas.openxmlformats.org/officeDocument/2006/relationships/hyperlink" Target="https://advance.lexis.com/api/document?collection=cases&amp;id=urn:contentItem:4048-DFS0-004C-001X-00000-00&amp;context=1519360" TargetMode="External" /><Relationship Id="rId38" Type="http://schemas.openxmlformats.org/officeDocument/2006/relationships/hyperlink" Target="https://advance.lexis.com/api/document?collection=cases&amp;id=urn:contentItem:45R2-1S60-0038-X170-00000-00&amp;context=1519360" TargetMode="External" /><Relationship Id="rId39" Type="http://schemas.openxmlformats.org/officeDocument/2006/relationships/theme" Target="theme/theme1.xml" /><Relationship Id="rId4" Type="http://schemas.openxmlformats.org/officeDocument/2006/relationships/fontTable" Target="fontTable.xml" /><Relationship Id="rId40" Type="http://schemas.openxmlformats.org/officeDocument/2006/relationships/styles" Target="styles.xml" /><Relationship Id="rId5" Type="http://schemas.openxmlformats.org/officeDocument/2006/relationships/header" Target="header1.xml" /><Relationship Id="rId6" Type="http://schemas.openxmlformats.org/officeDocument/2006/relationships/footer" Target="footer1.xml" /><Relationship Id="rId7" Type="http://schemas.openxmlformats.org/officeDocument/2006/relationships/footer" Target="footer2.xml" /><Relationship Id="rId8" Type="http://schemas.openxmlformats.org/officeDocument/2006/relationships/image" Target="media/image1.png" /><Relationship Id="rId9" Type="http://schemas.openxmlformats.org/officeDocument/2006/relationships/hyperlink" Target="https://advance.lexis.com/api/document?collection=cases&amp;id=urn:contentItem:67NJ-WMT1-JJ1H-X1HS-00000-00&amp;context=1519360" TargetMode="External" /></Relationships>
</file>

<file path=word/_rels/footnotes.xml.rels><?xml version="1.0" encoding="utf-8" standalone="yes"?><Relationships xmlns="http://schemas.openxmlformats.org/package/2006/relationships"><Relationship Id="rId1" Type="http://schemas.openxmlformats.org/officeDocument/2006/relationships/hyperlink" Target="https://advance.lexis.com/api/document?collection=statutes-legislation&amp;id=urn:contentItem:8SG9-5HW2-D6RV-H0VJ-00000-00&amp;context=1519360" TargetMode="External" /><Relationship Id="rId2" Type="http://schemas.openxmlformats.org/officeDocument/2006/relationships/hyperlink" Target="https://advance.lexis.com/api/document?collection=cases&amp;id=urn:contentItem:5YNG-NK31-JCBX-S4PP-00000-00&amp;context=1519360" TargetMode="External" /><Relationship Id="rId3" Type="http://schemas.openxmlformats.org/officeDocument/2006/relationships/hyperlink" Target="https://advance.lexis.com/api/document?collection=statutes-legislation&amp;id=urn:contentItem:5GYY-HS51-FG36-11TX-00000-00&amp;context=151936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United States v. Rodriguez-Diaz, 2023 U.S. Dist. LEXIS 33238</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68</vt:lpwstr>
  </property>
  <property fmtid="{D5CDD505-2E9C-101B-9397-08002B2CF9AE}" pid="3" name="LADocCount">
    <vt:lpwstr>1</vt:lpwstr>
  </property>
  <property fmtid="{D5CDD505-2E9C-101B-9397-08002B2CF9AE}" pid="4" name="LADocumentID:68">
    <vt:lpwstr>Doc::urn:hlct:5|contextualFeaturePermID::1519360</vt:lpwstr>
  </property>
  <property fmtid="{D5CDD505-2E9C-101B-9397-08002B2CF9AE}" pid="5" name="UserPermID">
    <vt:lpwstr>urn:user:PA186186283</vt:lpwstr>
  </property>
</Properties>
</file>