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Wess v. Houston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Mississippi,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2023, Decided; March 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NO. 1:22-cv-00338-HSO-BWR</w:t>
      </w:r>
    </w:p>
    <w:p>
      <w:pPr>
        <w:keepNext w:val="0"/>
        <w:spacing w:after="0" w:line="240" w:lineRule="atLeast"/>
        <w:ind w:right="0"/>
        <w:jc w:val="both"/>
      </w:pPr>
      <w:bookmarkStart w:id="0" w:name="Bookmark_5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35071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MARCUS WESS, PLAINTIFF v. R. HOUSTON,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dismissal with prejudice, in forma pauperis, civil action</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Marcus Wess, Plaintiff, Pro se, Walnut Grove, MS.</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HALIL SULEYMAN OZERDEN,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HALIL SULEYMAN OZERDEN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 OF DISMISSAL</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BEFORE THE COURT are pro se Plaintiff Marcus Wess's Complaint [1] and Response [7], challenging the imposition of prison discipline while incarcerated with the Mississippi Department of Corrections ("MDOC") at the Walnut Grove Correctional Facility ("WGCF") in Walnut Grove, Mississippi. Compl. [1] at 2-4. Wess brings his claims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and names R. Houston, Major Henderson, T. Wolfe, and F. Spotts as Defendants.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He is proceeding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Order [5]. For the following reasons, the Court finds that this case should be dismissed with prejudice for failure to state a claim under </w:t>
      </w:r>
      <w:hyperlink r:id="rId11" w:history="1">
        <w:r>
          <w:rPr>
            <w:rFonts w:ascii="arial" w:eastAsia="arial" w:hAnsi="arial" w:cs="arial"/>
            <w:b w:val="0"/>
            <w:i/>
            <w:strike w:val="0"/>
            <w:noProof w:val="0"/>
            <w:color w:val="0077CC"/>
            <w:position w:val="0"/>
            <w:sz w:val="20"/>
            <w:u w:val="single"/>
            <w:vertAlign w:val="baseline"/>
          </w:rPr>
          <w:t>28 U.S.C. § 1915(e)(2)(B)(ii)</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8" w:name="Bookmark_para_2"/>
      <w:bookmarkEnd w:id="8"/>
      <w:bookmarkStart w:id="9" w:name="Bookmark_I67PV2V828T3YD0020000400"/>
      <w:bookmarkEnd w:id="9"/>
      <w:r>
        <w:rPr>
          <w:rFonts w:ascii="arial" w:eastAsia="arial" w:hAnsi="arial" w:cs="arial"/>
          <w:b w:val="0"/>
          <w:i w:val="0"/>
          <w:strike w:val="0"/>
          <w:noProof w:val="0"/>
          <w:color w:val="000000"/>
          <w:position w:val="0"/>
          <w:sz w:val="20"/>
          <w:u w:val="none"/>
          <w:vertAlign w:val="baseline"/>
        </w:rPr>
        <w:t xml:space="preserve">Wess is a state prisoner currently serving a twenty-five-year sentence for burglary of an unoccupied dwelling, a thirty-year sentence for kidnapping, and a ten-year sentence for theft of a motor vehicle.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Inmate Details, https://www.ms.gov/mdoc/inmate/Search/GetDetails/28390 (last accessed Mar. 1, 2023).</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He was sentenced by the Jackson County Circuit Court on February 1, 2013.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On June 23, 2022, Wess received a Rule Violation Report ("RVR")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for "involvement in disruptive, assaultive, or criminal gang activity." Compl. [1-1] at 1. According to the RVR, an investigation revealed that Wess had conspired with an employee of a roofing contractor to introduce contraband into the facility while he was housed previously at the South Mississippi Correctional Facility in Leakesville, Mississippi.</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Wess was found guilty of the infraction at a hearing held on June 26, 2022, and was punished with the "loss of all priv[ileges]" for 60 days—from July 11, 2022, through September 9, 2022.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Wess avers that Defendants violated MDOC's Standard Operating Procedures in handling his RVR. Compl. [1] at 3. Specifically, he claims that his offense should have been classified "B19" which is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items into or within the institution," but that it was instead classified "C5 which is assaultive or criminal gang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Wess claims that Wolfe investigated the RVR and knew the offense was classified incorrectly, but she "didn't report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Likewise, Major Henderson, who presided over the disciplinary hearing, "clearly d[oesn't] know the disciplinary policy."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Spotts, who denied Wess's administrative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appeal, "went [along] with his officer[s'] wrongdoing."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deciding Wess's administrative appeal, Spotts specifically found "that polic[ies] and procedures were followed in this case." Compl. [1-2] at 1. As relief, Wess asks that this RVR be removed from his institutional file and that he be transferred to an institution where he is not labeled as a gang member. Compl. [1] at 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val="0"/>
          <w:strike w:val="0"/>
          <w:noProof w:val="0"/>
          <w:color w:val="000000"/>
          <w:position w:val="0"/>
          <w:sz w:val="20"/>
          <w:u w:val="single"/>
          <w:vertAlign w:val="baseline"/>
        </w:rPr>
        <w:t>DISCUSSION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The Prison Litigation Reform Act</w:t>
      </w:r>
    </w:p>
    <w:p>
      <w:pPr>
        <w:keepNext w:val="0"/>
        <w:spacing w:before="240" w:after="0" w:line="260" w:lineRule="atLeast"/>
        <w:ind w:left="0" w:right="0" w:firstLine="0"/>
        <w:jc w:val="both"/>
      </w:pPr>
      <w:bookmarkStart w:id="15" w:name="Bookmark_para_5"/>
      <w:bookmarkEnd w:id="15"/>
      <w:bookmarkStart w:id="16" w:name="Bookmark_I67PV2V828T3YD0040000400"/>
      <w:bookmarkEnd w:id="16"/>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Prison Litigation Reform Act ("PLRA"), 28 U.S.C. § 1915</w:t>
        </w:r>
      </w:hyperlink>
      <w:r>
        <w:rPr>
          <w:rFonts w:ascii="arial" w:eastAsia="arial" w:hAnsi="arial" w:cs="arial"/>
          <w:b w:val="0"/>
          <w:i w:val="0"/>
          <w:strike w:val="0"/>
          <w:noProof w:val="0"/>
          <w:color w:val="000000"/>
          <w:position w:val="0"/>
          <w:sz w:val="20"/>
          <w:u w:val="none"/>
          <w:vertAlign w:val="baseline"/>
        </w:rPr>
        <w:t xml:space="preserve">, applies to prisoners such as Wess who are proceeding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in this Court. The PLRA mandates dismissal if at any time the Court determines the action "is frivolous or malicious," "fails to state a claim on which relief may be granted," or "seeks monetary relief against a defendant who is immune from such relief."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 1915(e)(2)(B)</w:t>
        </w:r>
      </w:hyperlink>
      <w:r>
        <w:rPr>
          <w:rFonts w:ascii="arial" w:eastAsia="arial" w:hAnsi="arial" w:cs="arial"/>
          <w:b w:val="0"/>
          <w:i w:val="0"/>
          <w:strike w:val="0"/>
          <w:noProof w:val="0"/>
          <w:color w:val="000000"/>
          <w:position w:val="0"/>
          <w:sz w:val="20"/>
          <w:u w:val="none"/>
          <w:vertAlign w:val="baseline"/>
        </w:rPr>
        <w:t xml:space="preserve">. This framework "accords judges not only the authority to dismiss a claim based on an indisputably meritless legal theory, but also the unusual power to pierce the veil of the complaint's factual allegations and dismiss those claims whose factual contentions are clearly baseless." </w:t>
      </w:r>
      <w:bookmarkStart w:id="17" w:name="Bookmark_I67PV2V828T3YD0030000400"/>
      <w:bookmarkEnd w:id="17"/>
      <w:hyperlink r:id="rId12" w:history="1">
        <w:r>
          <w:rPr>
            <w:rFonts w:ascii="arial" w:eastAsia="arial" w:hAnsi="arial" w:cs="arial"/>
            <w:b w:val="0"/>
            <w:i/>
            <w:strike w:val="0"/>
            <w:noProof w:val="0"/>
            <w:color w:val="0077CC"/>
            <w:position w:val="0"/>
            <w:sz w:val="20"/>
            <w:u w:val="single"/>
            <w:vertAlign w:val="baseline"/>
          </w:rPr>
          <w:t>Denton v. Hernandez</w:t>
        </w:r>
      </w:hyperlink>
      <w:hyperlink r:id="rId12" w:history="1">
        <w:r>
          <w:rPr>
            <w:rFonts w:ascii="arial" w:eastAsia="arial" w:hAnsi="arial" w:cs="arial"/>
            <w:b w:val="0"/>
            <w:i/>
            <w:strike w:val="0"/>
            <w:noProof w:val="0"/>
            <w:color w:val="0077CC"/>
            <w:position w:val="0"/>
            <w:sz w:val="20"/>
            <w:u w:val="single"/>
            <w:vertAlign w:val="baseline"/>
          </w:rPr>
          <w:t>, 504 U.S. 25, 32, 112 S. Ct. 1728, 118 L. Ed. 2d 340 (1992)</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40" w:after="0" w:line="260" w:lineRule="atLeast"/>
        <w:ind w:left="0" w:right="0" w:firstLine="0"/>
        <w:jc w:val="both"/>
      </w:pPr>
      <w:bookmarkStart w:id="18" w:name="Bookmark_para_6"/>
      <w:bookmarkEnd w:id="18"/>
      <w:bookmarkStart w:id="19" w:name="Bookmark_I67PV2V92HM5T80010000400"/>
      <w:bookmarkEnd w:id="19"/>
      <w:bookmarkStart w:id="20" w:name="Bookmark_I67PV2V92HM5T80030000400"/>
      <w:bookmarkEnd w:id="20"/>
      <w:r>
        <w:rPr>
          <w:rFonts w:ascii="arial" w:eastAsia="arial" w:hAnsi="arial" w:cs="arial"/>
          <w:b w:val="0"/>
          <w:i w:val="0"/>
          <w:strike w:val="0"/>
          <w:noProof w:val="0"/>
          <w:color w:val="000000"/>
          <w:position w:val="0"/>
          <w:sz w:val="20"/>
          <w:u w:val="none"/>
          <w:vertAlign w:val="baseline"/>
        </w:rPr>
        <w:t xml:space="preserve">In an action proceeding under </w:t>
      </w:r>
      <w:hyperlink r:id="rId11" w:history="1">
        <w:r>
          <w:rPr>
            <w:rFonts w:ascii="arial" w:eastAsia="arial" w:hAnsi="arial" w:cs="arial"/>
            <w:b w:val="0"/>
            <w:i/>
            <w:strike w:val="0"/>
            <w:noProof w:val="0"/>
            <w:color w:val="0077CC"/>
            <w:position w:val="0"/>
            <w:sz w:val="20"/>
            <w:u w:val="single"/>
            <w:vertAlign w:val="baseline"/>
          </w:rPr>
          <w:t>§ 1915</w:t>
        </w:r>
      </w:hyperlink>
      <w:r>
        <w:rPr>
          <w:rFonts w:ascii="arial" w:eastAsia="arial" w:hAnsi="arial" w:cs="arial"/>
          <w:b w:val="0"/>
          <w:i w:val="0"/>
          <w:strike w:val="0"/>
          <w:noProof w:val="0"/>
          <w:color w:val="000000"/>
          <w:position w:val="0"/>
          <w:sz w:val="20"/>
          <w:u w:val="none"/>
          <w:vertAlign w:val="baseline"/>
        </w:rPr>
        <w:t xml:space="preserve">, courts may "evaluate the merit of the claim sua sponte." </w:t>
      </w:r>
      <w:bookmarkStart w:id="21" w:name="Bookmark_I67PV2V828T3YD0050000400"/>
      <w:bookmarkEnd w:id="21"/>
      <w:hyperlink r:id="rId13" w:history="1">
        <w:r>
          <w:rPr>
            <w:rFonts w:ascii="arial" w:eastAsia="arial" w:hAnsi="arial" w:cs="arial"/>
            <w:b w:val="0"/>
            <w:i/>
            <w:strike w:val="0"/>
            <w:noProof w:val="0"/>
            <w:color w:val="0077CC"/>
            <w:position w:val="0"/>
            <w:sz w:val="20"/>
            <w:u w:val="single"/>
            <w:vertAlign w:val="baseline"/>
          </w:rPr>
          <w:t>Ali v. Higgs</w:t>
        </w:r>
      </w:hyperlink>
      <w:hyperlink r:id="rId13" w:history="1">
        <w:r>
          <w:rPr>
            <w:rFonts w:ascii="arial" w:eastAsia="arial" w:hAnsi="arial" w:cs="arial"/>
            <w:b w:val="0"/>
            <w:i/>
            <w:strike w:val="0"/>
            <w:noProof w:val="0"/>
            <w:color w:val="0077CC"/>
            <w:position w:val="0"/>
            <w:sz w:val="20"/>
            <w:u w:val="single"/>
            <w:vertAlign w:val="baseline"/>
          </w:rPr>
          <w:t>, 892 F.2d 438, 440 (5th Cir. 1990)</w:t>
        </w:r>
      </w:hyperlink>
      <w:r>
        <w:rPr>
          <w:rFonts w:ascii="arial" w:eastAsia="arial" w:hAnsi="arial" w:cs="arial"/>
          <w:b w:val="0"/>
          <w:i w:val="0"/>
          <w:strike w:val="0"/>
          <w:noProof w:val="0"/>
          <w:color w:val="000000"/>
          <w:position w:val="0"/>
          <w:sz w:val="20"/>
          <w:u w:val="none"/>
          <w:vertAlign w:val="baseline"/>
        </w:rPr>
        <w:t>. "Significantly, the court is authorized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test the proceeding for frivolousness or maliciousness even before service of process or before the filing of the answer."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So long as the plaintiff "has already pleaded his 'best case,'" </w:t>
      </w:r>
      <w:bookmarkStart w:id="22" w:name="Bookmark_I67PV2V92HM5T80020000400"/>
      <w:bookmarkEnd w:id="22"/>
      <w:hyperlink r:id="rId14" w:history="1">
        <w:r>
          <w:rPr>
            <w:rFonts w:ascii="arial" w:eastAsia="arial" w:hAnsi="arial" w:cs="arial"/>
            <w:b w:val="0"/>
            <w:i/>
            <w:strike w:val="0"/>
            <w:noProof w:val="0"/>
            <w:color w:val="0077CC"/>
            <w:position w:val="0"/>
            <w:sz w:val="20"/>
            <w:u w:val="single"/>
            <w:vertAlign w:val="baseline"/>
          </w:rPr>
          <w:t>Brewster v. Dretke</w:t>
        </w:r>
      </w:hyperlink>
      <w:hyperlink r:id="rId14" w:history="1">
        <w:r>
          <w:rPr>
            <w:rFonts w:ascii="arial" w:eastAsia="arial" w:hAnsi="arial" w:cs="arial"/>
            <w:b w:val="0"/>
            <w:i/>
            <w:strike w:val="0"/>
            <w:noProof w:val="0"/>
            <w:color w:val="0077CC"/>
            <w:position w:val="0"/>
            <w:sz w:val="20"/>
            <w:u w:val="single"/>
            <w:vertAlign w:val="baseline"/>
          </w:rPr>
          <w:t>, 587 F.3d 764, 768 (5th Cir. 2009)</w:t>
        </w:r>
      </w:hyperlink>
      <w:r>
        <w:rPr>
          <w:rFonts w:ascii="arial" w:eastAsia="arial" w:hAnsi="arial" w:cs="arial"/>
          <w:b w:val="0"/>
          <w:i w:val="0"/>
          <w:strike w:val="0"/>
          <w:noProof w:val="0"/>
          <w:color w:val="000000"/>
          <w:position w:val="0"/>
          <w:sz w:val="20"/>
          <w:u w:val="none"/>
          <w:vertAlign w:val="baseline"/>
        </w:rPr>
        <w:t xml:space="preserve"> (quoting </w:t>
      </w:r>
      <w:bookmarkStart w:id="23" w:name="Bookmark_I67PV2V92HM5T80040000400"/>
      <w:bookmarkEnd w:id="23"/>
      <w:hyperlink r:id="rId15" w:history="1">
        <w:r>
          <w:rPr>
            <w:rFonts w:ascii="arial" w:eastAsia="arial" w:hAnsi="arial" w:cs="arial"/>
            <w:b w:val="0"/>
            <w:i/>
            <w:strike w:val="0"/>
            <w:noProof w:val="0"/>
            <w:color w:val="0077CC"/>
            <w:position w:val="0"/>
            <w:sz w:val="20"/>
            <w:u w:val="single"/>
            <w:vertAlign w:val="baseline"/>
          </w:rPr>
          <w:t>Bazrowx v. Scott</w:t>
        </w:r>
      </w:hyperlink>
      <w:hyperlink r:id="rId15" w:history="1">
        <w:r>
          <w:rPr>
            <w:rFonts w:ascii="arial" w:eastAsia="arial" w:hAnsi="arial" w:cs="arial"/>
            <w:b w:val="0"/>
            <w:i/>
            <w:strike w:val="0"/>
            <w:noProof w:val="0"/>
            <w:color w:val="0077CC"/>
            <w:position w:val="0"/>
            <w:sz w:val="20"/>
            <w:u w:val="single"/>
            <w:vertAlign w:val="baseline"/>
          </w:rPr>
          <w:t>, 136 F.3d 1053, 1054 (5th Cir. 1998)</w:t>
        </w:r>
      </w:hyperlink>
      <w:r>
        <w:rPr>
          <w:rFonts w:ascii="arial" w:eastAsia="arial" w:hAnsi="arial" w:cs="arial"/>
          <w:b w:val="0"/>
          <w:i w:val="0"/>
          <w:strike w:val="0"/>
          <w:noProof w:val="0"/>
          <w:color w:val="000000"/>
          <w:position w:val="0"/>
          <w:sz w:val="20"/>
          <w:u w:val="none"/>
          <w:vertAlign w:val="baseline"/>
        </w:rPr>
        <w:t xml:space="preserve">), and his "insufficient factual allegations [cannot] be remedied by more specific pleading," </w:t>
      </w:r>
      <w:bookmarkStart w:id="24" w:name="Bookmark_I67PV2V92SF8T20010000400"/>
      <w:bookmarkEnd w:id="24"/>
      <w:hyperlink r:id="rId16" w:history="1">
        <w:r>
          <w:rPr>
            <w:rFonts w:ascii="arial" w:eastAsia="arial" w:hAnsi="arial" w:cs="arial"/>
            <w:b w:val="0"/>
            <w:i/>
            <w:strike w:val="0"/>
            <w:noProof w:val="0"/>
            <w:color w:val="0077CC"/>
            <w:position w:val="0"/>
            <w:sz w:val="20"/>
            <w:u w:val="single"/>
            <w:vertAlign w:val="baseline"/>
          </w:rPr>
          <w:t>Eason v. Thaler</w:t>
        </w:r>
      </w:hyperlink>
      <w:hyperlink r:id="rId16" w:history="1">
        <w:r>
          <w:rPr>
            <w:rFonts w:ascii="arial" w:eastAsia="arial" w:hAnsi="arial" w:cs="arial"/>
            <w:b w:val="0"/>
            <w:i/>
            <w:strike w:val="0"/>
            <w:noProof w:val="0"/>
            <w:color w:val="0077CC"/>
            <w:position w:val="0"/>
            <w:sz w:val="20"/>
            <w:u w:val="single"/>
            <w:vertAlign w:val="baseline"/>
          </w:rPr>
          <w:t>, 14 F.3d 8, 9 (5th Cir. 1994)</w:t>
        </w:r>
      </w:hyperlink>
      <w:r>
        <w:rPr>
          <w:rFonts w:ascii="arial" w:eastAsia="arial" w:hAnsi="arial" w:cs="arial"/>
          <w:b w:val="0"/>
          <w:i w:val="0"/>
          <w:strike w:val="0"/>
          <w:noProof w:val="0"/>
          <w:color w:val="000000"/>
          <w:position w:val="0"/>
          <w:sz w:val="20"/>
          <w:u w:val="none"/>
          <w:vertAlign w:val="baseline"/>
        </w:rPr>
        <w:t xml:space="preserve">, the Court may dismiss the action sua sponte. Because the Court has permitted Wess to proceed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Order [5], this case is subject to the provisions allowing for sua sponte dismissal under </w:t>
      </w:r>
      <w:hyperlink r:id="rId11" w:history="1">
        <w:r>
          <w:rPr>
            <w:rFonts w:ascii="arial" w:eastAsia="arial" w:hAnsi="arial" w:cs="arial"/>
            <w:b w:val="0"/>
            <w:i/>
            <w:strike w:val="0"/>
            <w:noProof w:val="0"/>
            <w:color w:val="0077CC"/>
            <w:position w:val="0"/>
            <w:sz w:val="20"/>
            <w:u w:val="single"/>
            <w:vertAlign w:val="baseline"/>
          </w:rPr>
          <w:t>§ 1915(e)(2)(B)</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Wess's procedural due process claims</w:t>
      </w:r>
    </w:p>
    <w:p>
      <w:pPr>
        <w:keepNext w:val="0"/>
        <w:spacing w:before="200" w:after="0" w:line="260" w:lineRule="atLeast"/>
        <w:ind w:left="0" w:right="0" w:firstLine="0"/>
        <w:jc w:val="both"/>
      </w:pPr>
      <w:bookmarkStart w:id="25" w:name="Bookmark_para_7"/>
      <w:bookmarkEnd w:id="25"/>
      <w:r>
        <w:rPr>
          <w:rFonts w:ascii="arial" w:eastAsia="arial" w:hAnsi="arial" w:cs="arial"/>
          <w:b w:val="0"/>
          <w:i w:val="0"/>
          <w:strike w:val="0"/>
          <w:noProof w:val="0"/>
          <w:color w:val="000000"/>
          <w:position w:val="0"/>
          <w:sz w:val="20"/>
          <w:u w:val="none"/>
          <w:vertAlign w:val="baseline"/>
        </w:rPr>
        <w:t>Having conducted the required screening and having given Wess an opportunity [7] to further clarify his allegations, the Court finds that he has failed to state a claim upon which relief may be granted, and this case must be dismissed with prejudice. In response to the Court's Order seeking clarification of his claims, Order [6] at 1, Wess invoked the protections of procedural due process, Resp. [7] at 1.</w:t>
      </w:r>
    </w:p>
    <w:p>
      <w:pPr>
        <w:keepNext w:val="0"/>
        <w:spacing w:before="200" w:after="0" w:line="260" w:lineRule="atLeast"/>
        <w:ind w:left="0" w:right="0" w:firstLine="0"/>
        <w:jc w:val="both"/>
      </w:pPr>
      <w:bookmarkStart w:id="26" w:name="Bookmark_para_8"/>
      <w:bookmarkEnd w:id="26"/>
      <w:bookmarkStart w:id="27" w:name="Bookmark_I67PV2V92SF8T20040000400"/>
      <w:bookmarkEnd w:id="27"/>
      <w:bookmarkStart w:id="28" w:name="Bookmark_I67PV2V92HM5TC0010000400"/>
      <w:bookmarkEnd w:id="28"/>
      <w:r>
        <w:rPr>
          <w:rFonts w:ascii="arial" w:eastAsia="arial" w:hAnsi="arial" w:cs="arial"/>
          <w:b w:val="0"/>
          <w:i w:val="0"/>
          <w:strike w:val="0"/>
          <w:noProof w:val="0"/>
          <w:color w:val="000000"/>
          <w:position w:val="0"/>
          <w:sz w:val="20"/>
          <w:u w:val="none"/>
          <w:vertAlign w:val="baseline"/>
        </w:rPr>
        <w:t xml:space="preserve">"To invoke the protections of the due process clause, the plaintiff must have a protected liberty interest at stake." </w:t>
      </w:r>
      <w:bookmarkStart w:id="29" w:name="Bookmark_I67PV2V92SF8T20030000400"/>
      <w:bookmarkEnd w:id="29"/>
      <w:hyperlink r:id="rId17" w:history="1">
        <w:r>
          <w:rPr>
            <w:rFonts w:ascii="arial" w:eastAsia="arial" w:hAnsi="arial" w:cs="arial"/>
            <w:b w:val="0"/>
            <w:i/>
            <w:strike w:val="0"/>
            <w:noProof w:val="0"/>
            <w:color w:val="0077CC"/>
            <w:position w:val="0"/>
            <w:sz w:val="20"/>
            <w:u w:val="single"/>
            <w:vertAlign w:val="baseline"/>
          </w:rPr>
          <w:t>Stallworth v. Greer</w:t>
        </w:r>
      </w:hyperlink>
      <w:hyperlink r:id="rId17" w:history="1">
        <w:r>
          <w:rPr>
            <w:rFonts w:ascii="arial" w:eastAsia="arial" w:hAnsi="arial" w:cs="arial"/>
            <w:b w:val="0"/>
            <w:i/>
            <w:strike w:val="0"/>
            <w:noProof w:val="0"/>
            <w:color w:val="0077CC"/>
            <w:position w:val="0"/>
            <w:sz w:val="20"/>
            <w:u w:val="single"/>
            <w:vertAlign w:val="baseline"/>
          </w:rPr>
          <w:t>, No. 4:05-cv-00127-TSL-JCG, 2006 U.S. Dist. LEXIS 45837, 2006 WL 1431613, at *1 (S.D. Miss. May 22, 2006)</w:t>
        </w:r>
      </w:hyperlink>
      <w:r>
        <w:rPr>
          <w:rFonts w:ascii="arial" w:eastAsia="arial" w:hAnsi="arial" w:cs="arial"/>
          <w:b w:val="0"/>
          <w:i w:val="0"/>
          <w:strike w:val="0"/>
          <w:noProof w:val="0"/>
          <w:color w:val="000000"/>
          <w:position w:val="0"/>
          <w:sz w:val="20"/>
          <w:u w:val="none"/>
          <w:vertAlign w:val="baseline"/>
        </w:rPr>
        <w:t>. "Liberty interests protected by the Due Process Clause are 'generally limited to state created regulations or statutes which affect the quantity of time rather than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quality of time served by a prisoner.'" </w:t>
      </w:r>
      <w:bookmarkStart w:id="30" w:name="Bookmark_I67PV2V92SF8T20050000400"/>
      <w:bookmarkEnd w:id="30"/>
      <w:hyperlink r:id="rId18" w:history="1">
        <w:r>
          <w:rPr>
            <w:rFonts w:ascii="arial" w:eastAsia="arial" w:hAnsi="arial" w:cs="arial"/>
            <w:b w:val="0"/>
            <w:i/>
            <w:strike w:val="0"/>
            <w:noProof w:val="0"/>
            <w:color w:val="0077CC"/>
            <w:position w:val="0"/>
            <w:sz w:val="20"/>
            <w:u w:val="single"/>
            <w:vertAlign w:val="baseline"/>
          </w:rPr>
          <w:t>Willie v. Warden of Delta Corr. Facility</w:t>
        </w:r>
      </w:hyperlink>
      <w:hyperlink r:id="rId18" w:history="1">
        <w:r>
          <w:rPr>
            <w:rFonts w:ascii="arial" w:eastAsia="arial" w:hAnsi="arial" w:cs="arial"/>
            <w:b w:val="0"/>
            <w:i/>
            <w:strike w:val="0"/>
            <w:noProof w:val="0"/>
            <w:color w:val="0077CC"/>
            <w:position w:val="0"/>
            <w:sz w:val="20"/>
            <w:u w:val="single"/>
            <w:vertAlign w:val="baseline"/>
          </w:rPr>
          <w:t>, No. 4:08-cv-00032-P-S, 2009 U.S. Dist. LEXIS 35322, 2009 WL 1138019, at *2 (N.D. Miss. Apr. 27, 2009)</w:t>
        </w:r>
      </w:hyperlink>
      <w:r>
        <w:rPr>
          <w:rFonts w:ascii="arial" w:eastAsia="arial" w:hAnsi="arial" w:cs="arial"/>
          <w:b w:val="0"/>
          <w:i w:val="0"/>
          <w:strike w:val="0"/>
          <w:noProof w:val="0"/>
          <w:color w:val="000000"/>
          <w:position w:val="0"/>
          <w:sz w:val="20"/>
          <w:u w:val="none"/>
          <w:vertAlign w:val="baseline"/>
        </w:rPr>
        <w:t xml:space="preserve"> (quoting </w:t>
      </w:r>
      <w:bookmarkStart w:id="31" w:name="Bookmark_I67PV2V92HM5TC0020000400"/>
      <w:bookmarkEnd w:id="31"/>
      <w:hyperlink r:id="rId19" w:history="1">
        <w:r>
          <w:rPr>
            <w:rFonts w:ascii="arial" w:eastAsia="arial" w:hAnsi="arial" w:cs="arial"/>
            <w:b w:val="0"/>
            <w:i/>
            <w:strike w:val="0"/>
            <w:noProof w:val="0"/>
            <w:color w:val="0077CC"/>
            <w:position w:val="0"/>
            <w:sz w:val="20"/>
            <w:u w:val="single"/>
            <w:vertAlign w:val="baseline"/>
          </w:rPr>
          <w:t>Madison v. Parker</w:t>
        </w:r>
      </w:hyperlink>
      <w:hyperlink r:id="rId19" w:history="1">
        <w:r>
          <w:rPr>
            <w:rFonts w:ascii="arial" w:eastAsia="arial" w:hAnsi="arial" w:cs="arial"/>
            <w:b w:val="0"/>
            <w:i/>
            <w:strike w:val="0"/>
            <w:noProof w:val="0"/>
            <w:color w:val="0077CC"/>
            <w:position w:val="0"/>
            <w:sz w:val="20"/>
            <w:u w:val="single"/>
            <w:vertAlign w:val="baseline"/>
          </w:rPr>
          <w:t>, 104 F.3d 765, 767 (5th Cir. 1997)</w:t>
        </w:r>
      </w:hyperlink>
      <w:r>
        <w:rPr>
          <w:rFonts w:ascii="arial" w:eastAsia="arial" w:hAnsi="arial" w:cs="arial"/>
          <w:b w:val="0"/>
          <w:i w:val="0"/>
          <w:strike w:val="0"/>
          <w:noProof w:val="0"/>
          <w:color w:val="000000"/>
          <w:position w:val="0"/>
          <w:sz w:val="20"/>
          <w:u w:val="none"/>
          <w:vertAlign w:val="baseline"/>
        </w:rPr>
        <w:t xml:space="preserve">). "The Due Process Clause does not protect every change in the conditions of confinement which has a substantial adverse effect upon a prisoner."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2" w:name="Bookmark_para_9"/>
      <w:bookmarkEnd w:id="32"/>
      <w:bookmarkStart w:id="33" w:name="Bookmark_I67PV2V92HM5TC0050000400"/>
      <w:bookmarkEnd w:id="33"/>
      <w:r>
        <w:rPr>
          <w:rFonts w:ascii="arial" w:eastAsia="arial" w:hAnsi="arial" w:cs="arial"/>
          <w:b w:val="0"/>
          <w:i w:val="0"/>
          <w:strike w:val="0"/>
          <w:noProof w:val="0"/>
          <w:color w:val="000000"/>
          <w:position w:val="0"/>
          <w:sz w:val="20"/>
          <w:u w:val="none"/>
          <w:vertAlign w:val="baseline"/>
        </w:rPr>
        <w:t xml:space="preserve">"To maintain a procedural due process claim, [Wess] must show that the RVR either (1) affected or 'will inevitably affect the duration of his sentence' or (2) imposed an 'atypical and significant hardship on the inmate in relation to the ordinary incidents of prison life.'" </w:t>
      </w:r>
      <w:bookmarkStart w:id="34" w:name="Bookmark_I67PV2V92HM5TC0040000400"/>
      <w:bookmarkEnd w:id="34"/>
      <w:hyperlink r:id="rId20" w:history="1">
        <w:r>
          <w:rPr>
            <w:rFonts w:ascii="arial" w:eastAsia="arial" w:hAnsi="arial" w:cs="arial"/>
            <w:b w:val="0"/>
            <w:i/>
            <w:strike w:val="0"/>
            <w:noProof w:val="0"/>
            <w:color w:val="0077CC"/>
            <w:position w:val="0"/>
            <w:sz w:val="20"/>
            <w:u w:val="single"/>
            <w:vertAlign w:val="baseline"/>
          </w:rPr>
          <w:t>Wedgeworth v. Mississippi</w:t>
        </w:r>
      </w:hyperlink>
      <w:hyperlink r:id="rId20" w:history="1">
        <w:r>
          <w:rPr>
            <w:rFonts w:ascii="arial" w:eastAsia="arial" w:hAnsi="arial" w:cs="arial"/>
            <w:b w:val="0"/>
            <w:i/>
            <w:strike w:val="0"/>
            <w:noProof w:val="0"/>
            <w:color w:val="0077CC"/>
            <w:position w:val="0"/>
            <w:sz w:val="20"/>
            <w:u w:val="single"/>
            <w:vertAlign w:val="baseline"/>
          </w:rPr>
          <w:t>, No. 3:17-cv-00730-CWR-FKB, 2018 U.S. Dist. LEXIS 47948, 2018 WL 1463496, at *6 (S.D. Miss. Mar. 23, 2018)</w:t>
        </w:r>
      </w:hyperlink>
      <w:r>
        <w:rPr>
          <w:rFonts w:ascii="arial" w:eastAsia="arial" w:hAnsi="arial" w:cs="arial"/>
          <w:b w:val="0"/>
          <w:i w:val="0"/>
          <w:strike w:val="0"/>
          <w:noProof w:val="0"/>
          <w:color w:val="000000"/>
          <w:position w:val="0"/>
          <w:sz w:val="20"/>
          <w:u w:val="none"/>
          <w:vertAlign w:val="baseline"/>
        </w:rPr>
        <w:t xml:space="preserve"> (quoting </w:t>
      </w:r>
      <w:bookmarkStart w:id="35" w:name="Bookmark_I67PV2VB2D6MV90010000400"/>
      <w:bookmarkEnd w:id="35"/>
      <w:hyperlink r:id="rId21" w:history="1">
        <w:r>
          <w:rPr>
            <w:rFonts w:ascii="arial" w:eastAsia="arial" w:hAnsi="arial" w:cs="arial"/>
            <w:b w:val="0"/>
            <w:i/>
            <w:strike w:val="0"/>
            <w:noProof w:val="0"/>
            <w:color w:val="0077CC"/>
            <w:position w:val="0"/>
            <w:sz w:val="20"/>
            <w:u w:val="single"/>
            <w:vertAlign w:val="baseline"/>
          </w:rPr>
          <w:t>Sandlin v. Conner</w:t>
        </w:r>
      </w:hyperlink>
      <w:hyperlink r:id="rId21" w:history="1">
        <w:r>
          <w:rPr>
            <w:rFonts w:ascii="arial" w:eastAsia="arial" w:hAnsi="arial" w:cs="arial"/>
            <w:b w:val="0"/>
            <w:i/>
            <w:strike w:val="0"/>
            <w:noProof w:val="0"/>
            <w:color w:val="0077CC"/>
            <w:position w:val="0"/>
            <w:sz w:val="20"/>
            <w:u w:val="single"/>
            <w:vertAlign w:val="baseline"/>
          </w:rPr>
          <w:t>, 515 U.S. 472, 484, 487, 115 S. Ct. 2293, 132 L. Ed. 2d 418 (1995)</w:t>
        </w:r>
      </w:hyperlink>
      <w:r>
        <w:rPr>
          <w:rFonts w:ascii="arial" w:eastAsia="arial" w:hAnsi="arial" w:cs="arial"/>
          <w:b w:val="0"/>
          <w:i w:val="0"/>
          <w:strike w:val="0"/>
          <w:noProof w:val="0"/>
          <w:color w:val="000000"/>
          <w:position w:val="0"/>
          <w:sz w:val="20"/>
          <w:u w:val="none"/>
          <w:vertAlign w:val="baseline"/>
        </w:rPr>
        <w:t xml:space="preserve">). </w:t>
      </w:r>
      <w:bookmarkStart w:id="36" w:name="Bookmark_I67PV2VB2D6MV90040000400"/>
      <w:bookmarkEnd w:id="36"/>
      <w:r>
        <w:rPr>
          <w:rFonts w:ascii="arial" w:eastAsia="arial" w:hAnsi="arial" w:cs="arial"/>
          <w:b w:val="0"/>
          <w:i w:val="0"/>
          <w:strike w:val="0"/>
          <w:noProof w:val="0"/>
          <w:color w:val="000000"/>
          <w:position w:val="0"/>
          <w:sz w:val="20"/>
          <w:u w:val="none"/>
          <w:vertAlign w:val="baseline"/>
        </w:rPr>
        <w:t xml:space="preserve">Wess does not argue that his 60-day loss of privileges affected the duration of his sentence. Instead, he complains about a punishment that is far from atypical in the prison context. </w:t>
      </w:r>
      <w:bookmarkStart w:id="37" w:name="Bookmark_I67PV2VB2D6MV90040000400_2"/>
      <w:bookmarkEnd w:id="37"/>
      <w:r>
        <w:rPr>
          <w:rFonts w:ascii="arial" w:eastAsia="arial" w:hAnsi="arial" w:cs="arial"/>
          <w:b w:val="0"/>
          <w:i w:val="0"/>
          <w:strike w:val="0"/>
          <w:noProof w:val="0"/>
          <w:color w:val="000000"/>
          <w:position w:val="0"/>
          <w:sz w:val="20"/>
          <w:u w:val="none"/>
          <w:vertAlign w:val="baseline"/>
        </w:rPr>
        <w:t xml:space="preserve">"The Fifth Circuit has specifically addressed the loss or restriction of most prison privileges and determined that protection under the Due Process Clause is not available." </w:t>
      </w:r>
      <w:bookmarkStart w:id="38" w:name="Bookmark_I67PV2VB2D6MV90030000400"/>
      <w:bookmarkEnd w:id="38"/>
      <w:hyperlink r:id="rId22" w:history="1">
        <w:r>
          <w:rPr>
            <w:rFonts w:ascii="arial" w:eastAsia="arial" w:hAnsi="arial" w:cs="arial"/>
            <w:b w:val="0"/>
            <w:i/>
            <w:strike w:val="0"/>
            <w:noProof w:val="0"/>
            <w:color w:val="0077CC"/>
            <w:position w:val="0"/>
            <w:sz w:val="20"/>
            <w:u w:val="single"/>
            <w:vertAlign w:val="baseline"/>
          </w:rPr>
          <w:t>Brassfield v. Ladner</w:t>
        </w:r>
      </w:hyperlink>
      <w:hyperlink r:id="rId22" w:history="1">
        <w:r>
          <w:rPr>
            <w:rFonts w:ascii="arial" w:eastAsia="arial" w:hAnsi="arial" w:cs="arial"/>
            <w:b w:val="0"/>
            <w:i/>
            <w:strike w:val="0"/>
            <w:noProof w:val="0"/>
            <w:color w:val="0077CC"/>
            <w:position w:val="0"/>
            <w:sz w:val="20"/>
            <w:u w:val="single"/>
            <w:vertAlign w:val="baseline"/>
          </w:rPr>
          <w:t>, No. 3:16-cv-00098-HTW-LRA, 2016 U.S. Dist. LEXIS 49755, 2016 WL 1453954, at *2 (S.D. Miss. Apr. 13,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39" w:name="Bookmark_I67PV2VB2D6MV90050000400"/>
      <w:bookmarkEnd w:id="39"/>
      <w:hyperlink r:id="rId23" w:history="1">
        <w:r>
          <w:rPr>
            <w:rFonts w:ascii="arial" w:eastAsia="arial" w:hAnsi="arial" w:cs="arial"/>
            <w:b w:val="0"/>
            <w:i/>
            <w:strike w:val="0"/>
            <w:noProof w:val="0"/>
            <w:color w:val="0077CC"/>
            <w:position w:val="0"/>
            <w:sz w:val="20"/>
            <w:u w:val="single"/>
            <w:vertAlign w:val="baseline"/>
          </w:rPr>
          <w:t>Hester v. Mamukuyomi</w:t>
        </w:r>
      </w:hyperlink>
      <w:hyperlink r:id="rId23" w:history="1">
        <w:r>
          <w:rPr>
            <w:rFonts w:ascii="arial" w:eastAsia="arial" w:hAnsi="arial" w:cs="arial"/>
            <w:b w:val="0"/>
            <w:i/>
            <w:strike w:val="0"/>
            <w:noProof w:val="0"/>
            <w:color w:val="0077CC"/>
            <w:position w:val="0"/>
            <w:sz w:val="20"/>
            <w:u w:val="single"/>
            <w:vertAlign w:val="baseline"/>
          </w:rPr>
          <w:t>, 750 F. App'x 275, 277 (5th Cir. 2018)</w:t>
        </w:r>
      </w:hyperlink>
      <w:r>
        <w:rPr>
          <w:rFonts w:ascii="arial" w:eastAsia="arial" w:hAnsi="arial" w:cs="arial"/>
          <w:b w:val="0"/>
          <w:i w:val="0"/>
          <w:strike w:val="0"/>
          <w:noProof w:val="0"/>
          <w:color w:val="000000"/>
          <w:position w:val="0"/>
          <w:sz w:val="20"/>
          <w:u w:val="none"/>
          <w:vertAlign w:val="baseline"/>
        </w:rPr>
        <w:t xml:space="preserve"> (holding that a restriction on telephone and commissary privileges "does not pose an atypical or significant hardship that implicates a constitutionally protected liberty interest" (quotations omitted)); </w:t>
      </w:r>
      <w:bookmarkStart w:id="40" w:name="Bookmark_I67PV2VB28T3YP0020000400"/>
      <w:bookmarkEnd w:id="40"/>
      <w:hyperlink r:id="rId24" w:history="1">
        <w:r>
          <w:rPr>
            <w:rFonts w:ascii="arial" w:eastAsia="arial" w:hAnsi="arial" w:cs="arial"/>
            <w:b w:val="0"/>
            <w:i/>
            <w:strike w:val="0"/>
            <w:noProof w:val="0"/>
            <w:color w:val="0077CC"/>
            <w:position w:val="0"/>
            <w:sz w:val="20"/>
            <w:u w:val="single"/>
            <w:vertAlign w:val="baseline"/>
          </w:rPr>
          <w:t>Sanchez v. Allen</w:t>
        </w:r>
      </w:hyperlink>
      <w:hyperlink r:id="rId24" w:history="1">
        <w:r>
          <w:rPr>
            <w:rFonts w:ascii="arial" w:eastAsia="arial" w:hAnsi="arial" w:cs="arial"/>
            <w:b w:val="0"/>
            <w:i/>
            <w:strike w:val="0"/>
            <w:noProof w:val="0"/>
            <w:color w:val="0077CC"/>
            <w:position w:val="0"/>
            <w:sz w:val="20"/>
            <w:u w:val="single"/>
            <w:vertAlign w:val="baseline"/>
          </w:rPr>
          <w:t>, 611 F. App'x 792, 794 (5th Cir. 2015)</w:t>
        </w:r>
      </w:hyperlink>
      <w:r>
        <w:rPr>
          <w:rFonts w:ascii="arial" w:eastAsia="arial" w:hAnsi="arial" w:cs="arial"/>
          <w:b w:val="0"/>
          <w:i w:val="0"/>
          <w:strike w:val="0"/>
          <w:noProof w:val="0"/>
          <w:color w:val="000000"/>
          <w:position w:val="0"/>
          <w:sz w:val="20"/>
          <w:u w:val="none"/>
          <w:vertAlign w:val="baseline"/>
        </w:rPr>
        <w:t xml:space="preserve"> (holding that a "change in classification status, the denial of commissary and visitation privileges, and cell restrictions do not implicate a liberty interest protected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by the Due Process Clause").</w:t>
      </w:r>
    </w:p>
    <w:p>
      <w:pPr>
        <w:keepNext w:val="0"/>
        <w:spacing w:before="240" w:after="0" w:line="260" w:lineRule="atLeast"/>
        <w:ind w:left="0" w:right="0" w:firstLine="0"/>
        <w:jc w:val="both"/>
      </w:pPr>
      <w:bookmarkStart w:id="41" w:name="Bookmark_para_10"/>
      <w:bookmarkEnd w:id="41"/>
      <w:bookmarkStart w:id="42" w:name="Bookmark_I67PV2VB28T3YP0050000400"/>
      <w:bookmarkEnd w:id="42"/>
      <w:r>
        <w:rPr>
          <w:rFonts w:ascii="arial" w:eastAsia="arial" w:hAnsi="arial" w:cs="arial"/>
          <w:b w:val="0"/>
          <w:i w:val="0"/>
          <w:strike w:val="0"/>
          <w:noProof w:val="0"/>
          <w:color w:val="000000"/>
          <w:position w:val="0"/>
          <w:sz w:val="20"/>
          <w:u w:val="none"/>
          <w:vertAlign w:val="baseline"/>
        </w:rPr>
        <w:t xml:space="preserve">Whether Defendants failed to follow MDOC's Standard Operating Procedures does not change this result. "A violation of a prison rule by itself is insufficient to set forth a claim of a constitutional violation." </w:t>
      </w:r>
      <w:bookmarkStart w:id="43" w:name="Bookmark_I67PV2VB28T3YP0040000400"/>
      <w:bookmarkEnd w:id="43"/>
      <w:hyperlink r:id="rId25" w:history="1">
        <w:r>
          <w:rPr>
            <w:rFonts w:ascii="arial" w:eastAsia="arial" w:hAnsi="arial" w:cs="arial"/>
            <w:b w:val="0"/>
            <w:i/>
            <w:strike w:val="0"/>
            <w:noProof w:val="0"/>
            <w:color w:val="0077CC"/>
            <w:position w:val="0"/>
            <w:sz w:val="20"/>
            <w:u w:val="single"/>
            <w:vertAlign w:val="baseline"/>
          </w:rPr>
          <w:t>Guiden v. Wilson</w:t>
        </w:r>
      </w:hyperlink>
      <w:hyperlink r:id="rId25" w:history="1">
        <w:r>
          <w:rPr>
            <w:rFonts w:ascii="arial" w:eastAsia="arial" w:hAnsi="arial" w:cs="arial"/>
            <w:b w:val="0"/>
            <w:i/>
            <w:strike w:val="0"/>
            <w:noProof w:val="0"/>
            <w:color w:val="0077CC"/>
            <w:position w:val="0"/>
            <w:sz w:val="20"/>
            <w:u w:val="single"/>
            <w:vertAlign w:val="baseline"/>
          </w:rPr>
          <w:t>, 344 F. App'x 980, at 981 (5th Cir. 2009)</w:t>
        </w:r>
      </w:hyperlink>
      <w:r>
        <w:rPr>
          <w:rFonts w:ascii="arial" w:eastAsia="arial" w:hAnsi="arial" w:cs="arial"/>
          <w:b w:val="0"/>
          <w:i w:val="0"/>
          <w:strike w:val="0"/>
          <w:noProof w:val="0"/>
          <w:color w:val="000000"/>
          <w:position w:val="0"/>
          <w:sz w:val="20"/>
          <w:u w:val="none"/>
          <w:vertAlign w:val="baseline"/>
        </w:rPr>
        <w:t xml:space="preserve"> (citing </w:t>
      </w:r>
      <w:bookmarkStart w:id="44" w:name="Bookmark_I67PV2VC2N1PNS0010000400"/>
      <w:bookmarkEnd w:id="44"/>
      <w:hyperlink r:id="rId26" w:history="1">
        <w:r>
          <w:rPr>
            <w:rFonts w:ascii="arial" w:eastAsia="arial" w:hAnsi="arial" w:cs="arial"/>
            <w:b w:val="0"/>
            <w:i/>
            <w:strike w:val="0"/>
            <w:noProof w:val="0"/>
            <w:color w:val="0077CC"/>
            <w:position w:val="0"/>
            <w:sz w:val="20"/>
            <w:u w:val="single"/>
            <w:vertAlign w:val="baseline"/>
          </w:rPr>
          <w:t>Hernandez v. Estelle</w:t>
        </w:r>
      </w:hyperlink>
      <w:hyperlink r:id="rId26" w:history="1">
        <w:r>
          <w:rPr>
            <w:rFonts w:ascii="arial" w:eastAsia="arial" w:hAnsi="arial" w:cs="arial"/>
            <w:b w:val="0"/>
            <w:i/>
            <w:strike w:val="0"/>
            <w:noProof w:val="0"/>
            <w:color w:val="0077CC"/>
            <w:position w:val="0"/>
            <w:sz w:val="20"/>
            <w:u w:val="single"/>
            <w:vertAlign w:val="baseline"/>
          </w:rPr>
          <w:t>, 788 F.2d 1154, 1158 (5th Cir. 1986)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 w:name="Bookmark_para_11"/>
      <w:bookmarkEnd w:id="45"/>
      <w:bookmarkStart w:id="46" w:name="Bookmark_I67PV2VC2N1PNS0040000400"/>
      <w:bookmarkEnd w:id="46"/>
      <w:bookmarkStart w:id="47" w:name="Bookmark_I67PV2VC2N1PNT0010000400"/>
      <w:bookmarkEnd w:id="47"/>
      <w:r>
        <w:rPr>
          <w:rFonts w:ascii="arial" w:eastAsia="arial" w:hAnsi="arial" w:cs="arial"/>
          <w:b w:val="0"/>
          <w:i w:val="0"/>
          <w:strike w:val="0"/>
          <w:noProof w:val="0"/>
          <w:color w:val="000000"/>
          <w:position w:val="0"/>
          <w:sz w:val="20"/>
          <w:u w:val="none"/>
          <w:vertAlign w:val="baseline"/>
        </w:rPr>
        <w:t xml:space="preserve">Moreover, "a prison official's failure to follow the prison's own policies, procedures or regulations does not constitute a violation of due process, if constitutional minima are nevertheless met." </w:t>
      </w:r>
      <w:bookmarkStart w:id="48" w:name="Bookmark_I67PV2VC2N1PNS0030000400"/>
      <w:bookmarkEnd w:id="48"/>
      <w:hyperlink r:id="rId27" w:history="1">
        <w:r>
          <w:rPr>
            <w:rFonts w:ascii="arial" w:eastAsia="arial" w:hAnsi="arial" w:cs="arial"/>
            <w:b w:val="0"/>
            <w:i/>
            <w:strike w:val="0"/>
            <w:noProof w:val="0"/>
            <w:color w:val="0077CC"/>
            <w:position w:val="0"/>
            <w:sz w:val="20"/>
            <w:u w:val="single"/>
            <w:vertAlign w:val="baseline"/>
          </w:rPr>
          <w:t>Myers v. Klevenhagen</w:t>
        </w:r>
      </w:hyperlink>
      <w:hyperlink r:id="rId27" w:history="1">
        <w:r>
          <w:rPr>
            <w:rFonts w:ascii="arial" w:eastAsia="arial" w:hAnsi="arial" w:cs="arial"/>
            <w:b w:val="0"/>
            <w:i/>
            <w:strike w:val="0"/>
            <w:noProof w:val="0"/>
            <w:color w:val="0077CC"/>
            <w:position w:val="0"/>
            <w:sz w:val="20"/>
            <w:u w:val="single"/>
            <w:vertAlign w:val="baseline"/>
          </w:rPr>
          <w:t>, 97 F.3d 91, 94 (5th Cir. 1996)</w:t>
        </w:r>
      </w:hyperlink>
      <w:r>
        <w:rPr>
          <w:rFonts w:ascii="arial" w:eastAsia="arial" w:hAnsi="arial" w:cs="arial"/>
          <w:b w:val="0"/>
          <w:i w:val="0"/>
          <w:strike w:val="0"/>
          <w:noProof w:val="0"/>
          <w:color w:val="000000"/>
          <w:position w:val="0"/>
          <w:sz w:val="20"/>
          <w:u w:val="none"/>
          <w:vertAlign w:val="baseline"/>
        </w:rPr>
        <w:t xml:space="preserve">. "The minimum Due Process procedural rights accorded to prisoners include (1) adequate advance notice of the charges against the prisoner, (2) a written statement of the fact finders as to the evidence relied upon and [the] reason for disciplinary action taken, and (3) an opportunity to present witnesses and evidence in the prisoner's favor." </w:t>
      </w:r>
      <w:bookmarkStart w:id="49" w:name="Bookmark_I67PV2VC2N1PNS0050000400"/>
      <w:bookmarkEnd w:id="49"/>
      <w:hyperlink r:id="rId28" w:history="1">
        <w:r>
          <w:rPr>
            <w:rFonts w:ascii="arial" w:eastAsia="arial" w:hAnsi="arial" w:cs="arial"/>
            <w:b w:val="0"/>
            <w:i/>
            <w:strike w:val="0"/>
            <w:noProof w:val="0"/>
            <w:color w:val="0077CC"/>
            <w:position w:val="0"/>
            <w:sz w:val="20"/>
            <w:u w:val="single"/>
            <w:vertAlign w:val="baseline"/>
          </w:rPr>
          <w:t>Brown v. Miss. Dep't of Corr.</w:t>
        </w:r>
      </w:hyperlink>
      <w:hyperlink r:id="rId28" w:history="1">
        <w:r>
          <w:rPr>
            <w:rFonts w:ascii="arial" w:eastAsia="arial" w:hAnsi="arial" w:cs="arial"/>
            <w:b w:val="0"/>
            <w:i/>
            <w:strike w:val="0"/>
            <w:noProof w:val="0"/>
            <w:color w:val="0077CC"/>
            <w:position w:val="0"/>
            <w:sz w:val="20"/>
            <w:u w:val="single"/>
            <w:vertAlign w:val="baseline"/>
          </w:rPr>
          <w:t>, No. 1:07-cv-00140-LG-JMR, 2008 U.S. Dist. LEXIS 94619, 2008 WL 4960467, at *6 (S.D. Miss. Nov. 20, 2008)</w:t>
        </w:r>
      </w:hyperlink>
      <w:r>
        <w:rPr>
          <w:rFonts w:ascii="arial" w:eastAsia="arial" w:hAnsi="arial" w:cs="arial"/>
          <w:b w:val="0"/>
          <w:i w:val="0"/>
          <w:strike w:val="0"/>
          <w:noProof w:val="0"/>
          <w:color w:val="000000"/>
          <w:position w:val="0"/>
          <w:sz w:val="20"/>
          <w:u w:val="none"/>
          <w:vertAlign w:val="baseline"/>
        </w:rPr>
        <w:t xml:space="preserve"> (citing </w:t>
      </w:r>
      <w:bookmarkStart w:id="50" w:name="Bookmark_I67PV2VC2N1PNT0020000400"/>
      <w:bookmarkEnd w:id="50"/>
      <w:hyperlink r:id="rId29" w:history="1">
        <w:r>
          <w:rPr>
            <w:rFonts w:ascii="arial" w:eastAsia="arial" w:hAnsi="arial" w:cs="arial"/>
            <w:b w:val="0"/>
            <w:i/>
            <w:strike w:val="0"/>
            <w:noProof w:val="0"/>
            <w:color w:val="0077CC"/>
            <w:position w:val="0"/>
            <w:sz w:val="20"/>
            <w:u w:val="single"/>
            <w:vertAlign w:val="baseline"/>
          </w:rPr>
          <w:t>Banuelos v. McFarland</w:t>
        </w:r>
      </w:hyperlink>
      <w:hyperlink r:id="rId29" w:history="1">
        <w:r>
          <w:rPr>
            <w:rFonts w:ascii="arial" w:eastAsia="arial" w:hAnsi="arial" w:cs="arial"/>
            <w:b w:val="0"/>
            <w:i/>
            <w:strike w:val="0"/>
            <w:noProof w:val="0"/>
            <w:color w:val="0077CC"/>
            <w:position w:val="0"/>
            <w:sz w:val="20"/>
            <w:u w:val="single"/>
            <w:vertAlign w:val="baseline"/>
          </w:rPr>
          <w:t>, 41 F.3d 232, 234 (5th Cir. 1995)</w:t>
        </w:r>
      </w:hyperlink>
      <w:r>
        <w:rPr>
          <w:rFonts w:ascii="arial" w:eastAsia="arial" w:hAnsi="arial" w:cs="arial"/>
          <w:b w:val="0"/>
          <w:i w:val="0"/>
          <w:strike w:val="0"/>
          <w:noProof w:val="0"/>
          <w:color w:val="000000"/>
          <w:position w:val="0"/>
          <w:sz w:val="20"/>
          <w:u w:val="none"/>
          <w:vertAlign w:val="baseline"/>
        </w:rPr>
        <w:t xml:space="preserve">). Wess signed his RVR on June 24, 2022—the day after the accusation and two days before the administrative hearing. Compl. [1-1] at 1. The RVR details the substance of the allegation against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Wess received an administrative hearing at which investigatory reports and witness statements were read and he was found guilty,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Procedural safeguards were observed in this case, and Wess has failed to state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 claim upon which relief may be granted.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val="0"/>
          <w:i w:val="0"/>
          <w:strike w:val="0"/>
          <w:noProof w:val="0"/>
          <w:color w:val="000000"/>
          <w:position w:val="0"/>
          <w:sz w:val="20"/>
          <w:u w:val="single"/>
          <w:vertAlign w:val="baseline"/>
        </w:rPr>
        <w:t>CONCLUSION</w:t>
      </w:r>
    </w:p>
    <w:p>
      <w:pPr>
        <w:keepNext w:val="0"/>
        <w:spacing w:before="240" w:after="0" w:line="260" w:lineRule="atLeast"/>
        <w:ind w:left="0" w:right="0" w:firstLine="0"/>
        <w:jc w:val="both"/>
      </w:pPr>
      <w:bookmarkStart w:id="51" w:name="Bookmark_para_12"/>
      <w:bookmarkEnd w:id="51"/>
      <w:r>
        <w:rPr>
          <w:rFonts w:ascii="arial" w:eastAsia="arial" w:hAnsi="arial" w:cs="arial"/>
          <w:b w:val="0"/>
          <w:i w:val="0"/>
          <w:strike w:val="0"/>
          <w:noProof w:val="0"/>
          <w:color w:val="000000"/>
          <w:position w:val="0"/>
          <w:sz w:val="20"/>
          <w:u w:val="none"/>
          <w:vertAlign w:val="baseline"/>
        </w:rPr>
        <w:t xml:space="preserve">Having thoroughly reviewed and liberally construed Wess's Complaint [1] and Response [7], the Court finds that this civil action should be dismissed with prejudice for failure to state a claim under </w:t>
      </w:r>
      <w:hyperlink r:id="rId11" w:history="1">
        <w:r>
          <w:rPr>
            <w:rFonts w:ascii="arial" w:eastAsia="arial" w:hAnsi="arial" w:cs="arial"/>
            <w:b w:val="0"/>
            <w:i/>
            <w:strike w:val="0"/>
            <w:noProof w:val="0"/>
            <w:color w:val="0077CC"/>
            <w:position w:val="0"/>
            <w:sz w:val="20"/>
            <w:u w:val="single"/>
            <w:vertAlign w:val="baseline"/>
          </w:rPr>
          <w:t>28 U.S.C. § 1915(e)(2)(B)(ii)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 w:name="Bookmark_para_13"/>
      <w:bookmarkEnd w:id="52"/>
      <w:r>
        <w:rPr>
          <w:rFonts w:ascii="arial" w:eastAsia="arial" w:hAnsi="arial" w:cs="arial"/>
          <w:b/>
          <w:i w:val="0"/>
          <w:strike w:val="0"/>
          <w:noProof w:val="0"/>
          <w:color w:val="000000"/>
          <w:position w:val="0"/>
          <w:sz w:val="20"/>
          <w:u w:val="none"/>
          <w:vertAlign w:val="baseline"/>
        </w:rPr>
        <w:t>IT IS, THEREFORE, ORDERED AND ADJUDGED</w:t>
      </w:r>
      <w:r>
        <w:rPr>
          <w:rFonts w:ascii="arial" w:eastAsia="arial" w:hAnsi="arial" w:cs="arial"/>
          <w:b w:val="0"/>
          <w:i w:val="0"/>
          <w:strike w:val="0"/>
          <w:noProof w:val="0"/>
          <w:color w:val="000000"/>
          <w:position w:val="0"/>
          <w:sz w:val="20"/>
          <w:u w:val="none"/>
          <w:vertAlign w:val="baseline"/>
        </w:rPr>
        <w:t xml:space="preserve"> that, this civil action is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 xml:space="preserve"> for failure to state a claim under </w:t>
      </w:r>
      <w:hyperlink r:id="rId11" w:history="1">
        <w:r>
          <w:rPr>
            <w:rFonts w:ascii="arial" w:eastAsia="arial" w:hAnsi="arial" w:cs="arial"/>
            <w:b w:val="0"/>
            <w:i/>
            <w:strike w:val="0"/>
            <w:noProof w:val="0"/>
            <w:color w:val="0077CC"/>
            <w:position w:val="0"/>
            <w:sz w:val="20"/>
            <w:u w:val="single"/>
            <w:vertAlign w:val="baseline"/>
          </w:rPr>
          <w:t>28 U.S.C. § 1915(e)(2)(B)(ii)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 w:name="Bookmark_para_14"/>
      <w:bookmarkEnd w:id="53"/>
      <w:bookmarkStart w:id="54" w:name="Bookmark_I67PV2VC2N1PNT0050000400"/>
      <w:bookmarkEnd w:id="54"/>
      <w:r>
        <w:rPr>
          <w:rFonts w:ascii="arial" w:eastAsia="arial" w:hAnsi="arial" w:cs="arial"/>
          <w:b/>
          <w:i w:val="0"/>
          <w:strike w:val="0"/>
          <w:noProof w:val="0"/>
          <w:color w:val="000000"/>
          <w:position w:val="0"/>
          <w:sz w:val="20"/>
          <w:u w:val="none"/>
          <w:vertAlign w:val="baseline"/>
        </w:rPr>
        <w:t>IT IS, FURTHER, ORDERED AND ADJUDGED</w:t>
      </w:r>
      <w:r>
        <w:rPr>
          <w:rFonts w:ascii="arial" w:eastAsia="arial" w:hAnsi="arial" w:cs="arial"/>
          <w:b w:val="0"/>
          <w:i w:val="0"/>
          <w:strike w:val="0"/>
          <w:noProof w:val="0"/>
          <w:color w:val="000000"/>
          <w:position w:val="0"/>
          <w:sz w:val="20"/>
          <w:u w:val="none"/>
          <w:vertAlign w:val="baseline"/>
        </w:rPr>
        <w:t xml:space="preserve"> that, this dismissal counts as a "strike" under </w:t>
      </w:r>
      <w:hyperlink r:id="rId11" w:history="1">
        <w:r>
          <w:rPr>
            <w:rFonts w:ascii="arial" w:eastAsia="arial" w:hAnsi="arial" w:cs="arial"/>
            <w:b w:val="0"/>
            <w:i/>
            <w:strike w:val="0"/>
            <w:noProof w:val="0"/>
            <w:color w:val="0077CC"/>
            <w:position w:val="0"/>
            <w:sz w:val="20"/>
            <w:u w:val="single"/>
            <w:vertAlign w:val="baseline"/>
          </w:rPr>
          <w:t>28 U.S.C. § 1915(g)</w:t>
        </w:r>
      </w:hyperlink>
      <w:r>
        <w:rPr>
          <w:rFonts w:ascii="arial" w:eastAsia="arial" w:hAnsi="arial" w:cs="arial"/>
          <w:b w:val="0"/>
          <w:i w:val="0"/>
          <w:strike w:val="0"/>
          <w:noProof w:val="0"/>
          <w:color w:val="000000"/>
          <w:position w:val="0"/>
          <w:sz w:val="20"/>
          <w:u w:val="none"/>
          <w:vertAlign w:val="baseline"/>
        </w:rPr>
        <w:t>. Plaintiff Marcus Wess is advised that, if he receives three strikes, "he may not proceed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in any civil action or appeal filed while he is incarcerated or detained in any facility unless he is under imminent danger of serious physical injury." </w:t>
      </w:r>
      <w:bookmarkStart w:id="55" w:name="Bookmark_I67PV2VC2N1PNT0040000400"/>
      <w:bookmarkEnd w:id="55"/>
      <w:hyperlink r:id="rId30" w:history="1">
        <w:r>
          <w:rPr>
            <w:rFonts w:ascii="arial" w:eastAsia="arial" w:hAnsi="arial" w:cs="arial"/>
            <w:b w:val="0"/>
            <w:i/>
            <w:strike w:val="0"/>
            <w:noProof w:val="0"/>
            <w:color w:val="0077CC"/>
            <w:position w:val="0"/>
            <w:sz w:val="20"/>
            <w:u w:val="single"/>
            <w:vertAlign w:val="baseline"/>
          </w:rPr>
          <w:t>Adongo v. Tex.</w:t>
        </w:r>
      </w:hyperlink>
      <w:hyperlink r:id="rId30" w:history="1">
        <w:r>
          <w:rPr>
            <w:rFonts w:ascii="arial" w:eastAsia="arial" w:hAnsi="arial" w:cs="arial"/>
            <w:b w:val="0"/>
            <w:i/>
            <w:strike w:val="0"/>
            <w:noProof w:val="0"/>
            <w:color w:val="0077CC"/>
            <w:position w:val="0"/>
            <w:sz w:val="20"/>
            <w:u w:val="single"/>
            <w:vertAlign w:val="baseline"/>
          </w:rPr>
          <w:t>, 124 F. App'x 230, 232 (5th Cir. 2005)</w:t>
        </w:r>
      </w:hyperlink>
      <w:r>
        <w:rPr>
          <w:rFonts w:ascii="arial" w:eastAsia="arial" w:hAnsi="arial" w:cs="arial"/>
          <w:b w:val="0"/>
          <w:i w:val="0"/>
          <w:strike w:val="0"/>
          <w:noProof w:val="0"/>
          <w:color w:val="000000"/>
          <w:position w:val="0"/>
          <w:sz w:val="20"/>
          <w:u w:val="none"/>
          <w:vertAlign w:val="baseline"/>
        </w:rPr>
        <w:t xml:space="preserve"> (citing </w:t>
      </w:r>
      <w:hyperlink r:id="rId11" w:history="1">
        <w:r>
          <w:rPr>
            <w:rFonts w:ascii="arial" w:eastAsia="arial" w:hAnsi="arial" w:cs="arial"/>
            <w:b w:val="0"/>
            <w:i/>
            <w:strike w:val="0"/>
            <w:noProof w:val="0"/>
            <w:color w:val="0077CC"/>
            <w:position w:val="0"/>
            <w:sz w:val="20"/>
            <w:u w:val="single"/>
            <w:vertAlign w:val="baseline"/>
          </w:rPr>
          <w:t>28 U.S.C. § 1915(g)</w:t>
        </w:r>
      </w:hyperlink>
      <w:r>
        <w:rPr>
          <w:rFonts w:ascii="arial" w:eastAsia="arial" w:hAnsi="arial" w:cs="arial"/>
          <w:b w:val="0"/>
          <w:i w:val="0"/>
          <w:strike w:val="0"/>
          <w:noProof w:val="0"/>
          <w:color w:val="000000"/>
          <w:position w:val="0"/>
          <w:sz w:val="20"/>
          <w:u w:val="none"/>
          <w:vertAlign w:val="baseline"/>
        </w:rPr>
        <w:t xml:space="preserve">). A separate final judgment will be entered under </w:t>
      </w:r>
      <w:hyperlink r:id="rId31" w:history="1">
        <w:r>
          <w:rPr>
            <w:rFonts w:ascii="arial" w:eastAsia="arial" w:hAnsi="arial" w:cs="arial"/>
            <w:b w:val="0"/>
            <w:i/>
            <w:strike w:val="0"/>
            <w:noProof w:val="0"/>
            <w:color w:val="0077CC"/>
            <w:position w:val="0"/>
            <w:sz w:val="20"/>
            <w:u w:val="single"/>
            <w:vertAlign w:val="baseline"/>
          </w:rPr>
          <w:t>Federal Rule of Civil Procedure 58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 w:name="Bookmark_para_15"/>
      <w:bookmarkEnd w:id="56"/>
      <w:r>
        <w:rPr>
          <w:rFonts w:ascii="arial" w:eastAsia="arial" w:hAnsi="arial" w:cs="arial"/>
          <w:b/>
          <w:i w:val="0"/>
          <w:strike w:val="0"/>
          <w:noProof w:val="0"/>
          <w:color w:val="000000"/>
          <w:position w:val="0"/>
          <w:sz w:val="20"/>
          <w:u w:val="none"/>
          <w:vertAlign w:val="baseline"/>
        </w:rPr>
        <w:t>SO ORDERED AND ADJUDGED</w:t>
      </w:r>
      <w:r>
        <w:rPr>
          <w:rFonts w:ascii="arial" w:eastAsia="arial" w:hAnsi="arial" w:cs="arial"/>
          <w:b w:val="0"/>
          <w:i w:val="0"/>
          <w:strike w:val="0"/>
          <w:noProof w:val="0"/>
          <w:color w:val="000000"/>
          <w:position w:val="0"/>
          <w:sz w:val="20"/>
          <w:u w:val="none"/>
          <w:vertAlign w:val="baseline"/>
        </w:rPr>
        <w:t>, this the 2nd day of March, 2023.</w:t>
      </w:r>
    </w:p>
    <w:p>
      <w:pPr>
        <w:keepNext w:val="0"/>
        <w:spacing w:before="200" w:after="0" w:line="260" w:lineRule="atLeast"/>
        <w:ind w:left="0" w:right="0" w:firstLine="0"/>
        <w:jc w:val="both"/>
      </w:pPr>
      <w:bookmarkStart w:id="57" w:name="Bookmark_para_16"/>
      <w:bookmarkEnd w:id="57"/>
      <w:r>
        <w:rPr>
          <w:rFonts w:ascii="arial" w:eastAsia="arial" w:hAnsi="arial" w:cs="arial"/>
          <w:b w:val="0"/>
          <w:i/>
          <w:strike w:val="0"/>
          <w:noProof w:val="0"/>
          <w:color w:val="000000"/>
          <w:position w:val="0"/>
          <w:sz w:val="20"/>
          <w:u w:val="none"/>
          <w:vertAlign w:val="baseline"/>
        </w:rPr>
        <w:t>/s/ Halil Suleyman Ozerden</w:t>
      </w:r>
    </w:p>
    <w:p>
      <w:pPr>
        <w:keepNext w:val="0"/>
        <w:spacing w:before="200" w:after="0" w:line="260" w:lineRule="atLeast"/>
        <w:ind w:left="0" w:right="0" w:firstLine="0"/>
        <w:jc w:val="both"/>
      </w:pPr>
      <w:bookmarkStart w:id="58" w:name="Bookmark_para_17"/>
      <w:bookmarkEnd w:id="58"/>
      <w:r>
        <w:rPr>
          <w:rFonts w:ascii="arial" w:eastAsia="arial" w:hAnsi="arial" w:cs="arial"/>
          <w:b w:val="0"/>
          <w:i w:val="0"/>
          <w:strike w:val="0"/>
          <w:noProof w:val="0"/>
          <w:color w:val="000000"/>
          <w:position w:val="0"/>
          <w:sz w:val="20"/>
          <w:u w:val="none"/>
          <w:vertAlign w:val="baseline"/>
        </w:rPr>
        <w:t>HALIL SULEYMAN OZERDEN</w:t>
      </w:r>
    </w:p>
    <w:p>
      <w:pPr>
        <w:keepNext w:val="0"/>
        <w:spacing w:before="200" w:after="0" w:line="260" w:lineRule="atLeast"/>
        <w:ind w:left="0" w:right="0" w:firstLine="0"/>
        <w:jc w:val="both"/>
      </w:pPr>
      <w:bookmarkStart w:id="59" w:name="Bookmark_para_18"/>
      <w:bookmarkEnd w:id="59"/>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FINAL JUDGMENT</w:t>
      </w:r>
    </w:p>
    <w:p>
      <w:pPr>
        <w:keepNext w:val="0"/>
        <w:spacing w:before="200" w:after="0" w:line="260" w:lineRule="atLeast"/>
        <w:ind w:left="0" w:right="0" w:firstLine="0"/>
        <w:jc w:val="both"/>
      </w:pPr>
      <w:bookmarkStart w:id="60" w:name="Bookmark_para_19"/>
      <w:bookmarkEnd w:id="60"/>
      <w:r>
        <w:rPr>
          <w:rFonts w:ascii="arial" w:eastAsia="arial" w:hAnsi="arial" w:cs="arial"/>
          <w:b w:val="0"/>
          <w:i w:val="0"/>
          <w:strike w:val="0"/>
          <w:noProof w:val="0"/>
          <w:color w:val="000000"/>
          <w:position w:val="0"/>
          <w:sz w:val="20"/>
          <w:u w:val="none"/>
          <w:vertAlign w:val="baseline"/>
        </w:rPr>
        <w:t>In accordance with the Court's Order issued this date and incorporated herein by reference,</w:t>
      </w:r>
    </w:p>
    <w:p>
      <w:pPr>
        <w:keepNext w:val="0"/>
        <w:spacing w:before="240" w:after="0" w:line="260" w:lineRule="atLeast"/>
        <w:ind w:left="0" w:right="0" w:firstLine="0"/>
        <w:jc w:val="both"/>
      </w:pPr>
      <w:bookmarkStart w:id="61" w:name="Bookmark_para_20"/>
      <w:bookmarkEnd w:id="61"/>
      <w:r>
        <w:rPr>
          <w:rFonts w:ascii="arial" w:eastAsia="arial" w:hAnsi="arial" w:cs="arial"/>
          <w:b/>
          <w:i w:val="0"/>
          <w:strike w:val="0"/>
          <w:noProof w:val="0"/>
          <w:color w:val="000000"/>
          <w:position w:val="0"/>
          <w:sz w:val="20"/>
          <w:u w:val="none"/>
          <w:vertAlign w:val="baseline"/>
        </w:rPr>
        <w:t>IT IS, THEREFORE, ORDERED AND ADJUDGED</w:t>
      </w:r>
      <w:r>
        <w:rPr>
          <w:rFonts w:ascii="arial" w:eastAsia="arial" w:hAnsi="arial" w:cs="arial"/>
          <w:b w:val="0"/>
          <w:i w:val="0"/>
          <w:strike w:val="0"/>
          <w:noProof w:val="0"/>
          <w:color w:val="000000"/>
          <w:position w:val="0"/>
          <w:sz w:val="20"/>
          <w:u w:val="none"/>
          <w:vertAlign w:val="baseline"/>
        </w:rPr>
        <w:t xml:space="preserve"> that, this civil action is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 xml:space="preserve"> for failure to state a claim under </w:t>
      </w:r>
      <w:hyperlink r:id="rId11" w:history="1">
        <w:r>
          <w:rPr>
            <w:rFonts w:ascii="arial" w:eastAsia="arial" w:hAnsi="arial" w:cs="arial"/>
            <w:b w:val="0"/>
            <w:i/>
            <w:strike w:val="0"/>
            <w:noProof w:val="0"/>
            <w:color w:val="0077CC"/>
            <w:position w:val="0"/>
            <w:sz w:val="20"/>
            <w:u w:val="single"/>
            <w:vertAlign w:val="baseline"/>
          </w:rPr>
          <w:t>28 U.S.C. § 1915(e)(2)(B)(ii)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2" w:name="Bookmark_para_21"/>
      <w:bookmarkEnd w:id="62"/>
      <w:bookmarkStart w:id="63" w:name="Bookmark_I67PV2VD2N1PNW0020000400"/>
      <w:bookmarkEnd w:id="63"/>
      <w:r>
        <w:rPr>
          <w:rFonts w:ascii="arial" w:eastAsia="arial" w:hAnsi="arial" w:cs="arial"/>
          <w:b/>
          <w:i w:val="0"/>
          <w:strike w:val="0"/>
          <w:noProof w:val="0"/>
          <w:color w:val="000000"/>
          <w:position w:val="0"/>
          <w:sz w:val="20"/>
          <w:u w:val="none"/>
          <w:vertAlign w:val="baseline"/>
        </w:rPr>
        <w:t>IT IS, FURTHER, ORDERED AND ADJUDGED</w:t>
      </w:r>
      <w:r>
        <w:rPr>
          <w:rFonts w:ascii="arial" w:eastAsia="arial" w:hAnsi="arial" w:cs="arial"/>
          <w:b w:val="0"/>
          <w:i w:val="0"/>
          <w:strike w:val="0"/>
          <w:noProof w:val="0"/>
          <w:color w:val="000000"/>
          <w:position w:val="0"/>
          <w:sz w:val="20"/>
          <w:u w:val="none"/>
          <w:vertAlign w:val="baseline"/>
        </w:rPr>
        <w:t xml:space="preserve"> that,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this dismissal counts as a "strike" under </w:t>
      </w:r>
      <w:hyperlink r:id="rId11" w:history="1">
        <w:r>
          <w:rPr>
            <w:rFonts w:ascii="arial" w:eastAsia="arial" w:hAnsi="arial" w:cs="arial"/>
            <w:b w:val="0"/>
            <w:i/>
            <w:strike w:val="0"/>
            <w:noProof w:val="0"/>
            <w:color w:val="0077CC"/>
            <w:position w:val="0"/>
            <w:sz w:val="20"/>
            <w:u w:val="single"/>
            <w:vertAlign w:val="baseline"/>
          </w:rPr>
          <w:t>28 U.S.C. § 1915(g)</w:t>
        </w:r>
      </w:hyperlink>
      <w:r>
        <w:rPr>
          <w:rFonts w:ascii="arial" w:eastAsia="arial" w:hAnsi="arial" w:cs="arial"/>
          <w:b w:val="0"/>
          <w:i w:val="0"/>
          <w:strike w:val="0"/>
          <w:noProof w:val="0"/>
          <w:color w:val="000000"/>
          <w:position w:val="0"/>
          <w:sz w:val="20"/>
          <w:u w:val="none"/>
          <w:vertAlign w:val="baseline"/>
        </w:rPr>
        <w:t>. Plaintiff Marcus Wess is advised that, if he receives three strikes, "he may not proceed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in any civil action or appeal filed while he is incarcerated or detained in any facility unless he is under imminent danger of serious physical injury." </w:t>
      </w:r>
      <w:bookmarkStart w:id="64" w:name="Bookmark_I67PV2VD2N1PNW0010000400"/>
      <w:bookmarkEnd w:id="64"/>
      <w:hyperlink r:id="rId30" w:history="1">
        <w:r>
          <w:rPr>
            <w:rFonts w:ascii="arial" w:eastAsia="arial" w:hAnsi="arial" w:cs="arial"/>
            <w:b w:val="0"/>
            <w:i/>
            <w:strike w:val="0"/>
            <w:noProof w:val="0"/>
            <w:color w:val="0077CC"/>
            <w:position w:val="0"/>
            <w:sz w:val="20"/>
            <w:u w:val="single"/>
            <w:vertAlign w:val="baseline"/>
          </w:rPr>
          <w:t>Adongo v. Tex.</w:t>
        </w:r>
      </w:hyperlink>
      <w:hyperlink r:id="rId30" w:history="1">
        <w:r>
          <w:rPr>
            <w:rFonts w:ascii="arial" w:eastAsia="arial" w:hAnsi="arial" w:cs="arial"/>
            <w:b w:val="0"/>
            <w:i/>
            <w:strike w:val="0"/>
            <w:noProof w:val="0"/>
            <w:color w:val="0077CC"/>
            <w:position w:val="0"/>
            <w:sz w:val="20"/>
            <w:u w:val="single"/>
            <w:vertAlign w:val="baseline"/>
          </w:rPr>
          <w:t>, 124 F. App'x 230, 232 (5th Cir. 2005)</w:t>
        </w:r>
      </w:hyperlink>
      <w:r>
        <w:rPr>
          <w:rFonts w:ascii="arial" w:eastAsia="arial" w:hAnsi="arial" w:cs="arial"/>
          <w:b w:val="0"/>
          <w:i w:val="0"/>
          <w:strike w:val="0"/>
          <w:noProof w:val="0"/>
          <w:color w:val="000000"/>
          <w:position w:val="0"/>
          <w:sz w:val="20"/>
          <w:u w:val="none"/>
          <w:vertAlign w:val="baseline"/>
        </w:rPr>
        <w:t xml:space="preserve"> (citing </w:t>
      </w:r>
      <w:hyperlink r:id="rId11" w:history="1">
        <w:r>
          <w:rPr>
            <w:rFonts w:ascii="arial" w:eastAsia="arial" w:hAnsi="arial" w:cs="arial"/>
            <w:b w:val="0"/>
            <w:i/>
            <w:strike w:val="0"/>
            <w:noProof w:val="0"/>
            <w:color w:val="0077CC"/>
            <w:position w:val="0"/>
            <w:sz w:val="20"/>
            <w:u w:val="single"/>
            <w:vertAlign w:val="baseline"/>
          </w:rPr>
          <w:t>28 U.S.C. § 1915(g)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 w:name="Bookmark_para_22"/>
      <w:bookmarkEnd w:id="65"/>
      <w:r>
        <w:rPr>
          <w:rFonts w:ascii="arial" w:eastAsia="arial" w:hAnsi="arial" w:cs="arial"/>
          <w:b/>
          <w:i w:val="0"/>
          <w:strike w:val="0"/>
          <w:noProof w:val="0"/>
          <w:color w:val="000000"/>
          <w:position w:val="0"/>
          <w:sz w:val="20"/>
          <w:u w:val="none"/>
          <w:vertAlign w:val="baseline"/>
        </w:rPr>
        <w:t>SO ORDERED AND ADJUDGED</w:t>
      </w:r>
      <w:r>
        <w:rPr>
          <w:rFonts w:ascii="arial" w:eastAsia="arial" w:hAnsi="arial" w:cs="arial"/>
          <w:b w:val="0"/>
          <w:i w:val="0"/>
          <w:strike w:val="0"/>
          <w:noProof w:val="0"/>
          <w:color w:val="000000"/>
          <w:position w:val="0"/>
          <w:sz w:val="20"/>
          <w:u w:val="none"/>
          <w:vertAlign w:val="baseline"/>
        </w:rPr>
        <w:t>, this the 2nd day of March, 2023.</w:t>
      </w:r>
    </w:p>
    <w:p>
      <w:pPr>
        <w:keepNext w:val="0"/>
        <w:spacing w:before="200" w:after="0" w:line="260" w:lineRule="atLeast"/>
        <w:ind w:left="0" w:right="0" w:firstLine="0"/>
        <w:jc w:val="both"/>
      </w:pPr>
      <w:bookmarkStart w:id="66" w:name="Bookmark_para_23"/>
      <w:bookmarkEnd w:id="66"/>
      <w:r>
        <w:rPr>
          <w:rFonts w:ascii="arial" w:eastAsia="arial" w:hAnsi="arial" w:cs="arial"/>
          <w:b w:val="0"/>
          <w:i/>
          <w:strike w:val="0"/>
          <w:noProof w:val="0"/>
          <w:color w:val="000000"/>
          <w:position w:val="0"/>
          <w:sz w:val="20"/>
          <w:u w:val="none"/>
          <w:vertAlign w:val="baseline"/>
        </w:rPr>
        <w:t>/s/ Halil Suleyman Ozerden</w:t>
      </w:r>
    </w:p>
    <w:p>
      <w:pPr>
        <w:keepNext w:val="0"/>
        <w:spacing w:before="200" w:after="0" w:line="260" w:lineRule="atLeast"/>
        <w:ind w:left="0" w:right="0" w:firstLine="0"/>
        <w:jc w:val="both"/>
      </w:pPr>
      <w:bookmarkStart w:id="67" w:name="Bookmark_para_24"/>
      <w:bookmarkEnd w:id="67"/>
      <w:r>
        <w:rPr>
          <w:rFonts w:ascii="arial" w:eastAsia="arial" w:hAnsi="arial" w:cs="arial"/>
          <w:b w:val="0"/>
          <w:i w:val="0"/>
          <w:strike w:val="0"/>
          <w:noProof w:val="0"/>
          <w:color w:val="000000"/>
          <w:position w:val="0"/>
          <w:sz w:val="20"/>
          <w:u w:val="none"/>
          <w:vertAlign w:val="baseline"/>
        </w:rPr>
        <w:t>HALIL SULEYMAN OZERDEN</w:t>
      </w:r>
    </w:p>
    <w:p>
      <w:pPr>
        <w:keepNext w:val="0"/>
        <w:spacing w:before="200" w:after="0" w:line="260" w:lineRule="atLeast"/>
        <w:ind w:left="0" w:right="0" w:firstLine="0"/>
        <w:jc w:val="both"/>
      </w:pPr>
      <w:bookmarkStart w:id="68" w:name="Bookmark_para_25"/>
      <w:bookmarkEnd w:id="68"/>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The Court "may take judicial notice of matters of public record." </w:t>
      </w:r>
      <w:bookmarkStart w:id="11" w:name="Bookmark_I67PV2V828T3YD0010000400"/>
      <w:bookmarkEnd w:id="11"/>
      <w:hyperlink r:id="rId1" w:history="1">
        <w:r>
          <w:rPr>
            <w:rFonts w:ascii="arial" w:eastAsia="arial" w:hAnsi="arial" w:cs="arial"/>
            <w:b w:val="0"/>
            <w:i/>
            <w:strike w:val="0"/>
            <w:noProof w:val="0"/>
            <w:color w:val="0077CC"/>
            <w:position w:val="0"/>
            <w:sz w:val="18"/>
            <w:u w:val="single"/>
            <w:vertAlign w:val="baseline"/>
          </w:rPr>
          <w:t>Ruiz v. Brennan</w:t>
        </w:r>
      </w:hyperlink>
      <w:hyperlink r:id="rId1" w:history="1">
        <w:r>
          <w:rPr>
            <w:rFonts w:ascii="arial" w:eastAsia="arial" w:hAnsi="arial" w:cs="arial"/>
            <w:b w:val="0"/>
            <w:i/>
            <w:strike w:val="0"/>
            <w:noProof w:val="0"/>
            <w:color w:val="0077CC"/>
            <w:position w:val="0"/>
            <w:sz w:val="18"/>
            <w:u w:val="single"/>
            <w:vertAlign w:val="baseline"/>
          </w:rPr>
          <w:t>, 851 F.3d 464, 468 (5th Cir. 2017)</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 xml:space="preserve">Wess was transferred to WGCF on January 4, 2023.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Inmate Details, https://www.ms.gov/mdoc/inmate/Search/GetDetails/28390 (last accessed Mar. 1, 2023).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Wess v. Houston, 2023 U.S. Dist. LEXIS 35071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HT-0712-D6RV-H526-00000-00&amp;context=1519360" TargetMode="External" /><Relationship Id="rId11" Type="http://schemas.openxmlformats.org/officeDocument/2006/relationships/hyperlink" Target="https://advance.lexis.com/api/document?collection=statutes-legislation&amp;id=urn:contentItem:8SG9-5HW2-D6RV-H0RK-00000-00&amp;context=1519360" TargetMode="External" /><Relationship Id="rId12" Type="http://schemas.openxmlformats.org/officeDocument/2006/relationships/hyperlink" Target="https://advance.lexis.com/api/document?collection=cases&amp;id=urn:contentItem:3S4W-XDX0-003B-R3RC-00000-00&amp;context=1519360" TargetMode="External" /><Relationship Id="rId13" Type="http://schemas.openxmlformats.org/officeDocument/2006/relationships/hyperlink" Target="https://advance.lexis.com/api/document?collection=cases&amp;id=urn:contentItem:3S4X-74N0-003B-533X-00000-00&amp;context=1519360" TargetMode="External" /><Relationship Id="rId14" Type="http://schemas.openxmlformats.org/officeDocument/2006/relationships/hyperlink" Target="https://advance.lexis.com/api/document?collection=cases&amp;id=urn:contentItem:7X2H-DR60-YB0V-H00G-00000-00&amp;context=1519360" TargetMode="External" /><Relationship Id="rId15" Type="http://schemas.openxmlformats.org/officeDocument/2006/relationships/hyperlink" Target="https://advance.lexis.com/api/document?collection=cases&amp;id=urn:contentItem:3S9S-VNT0-0038-X2CC-00000-00&amp;context=1519360" TargetMode="External" /><Relationship Id="rId16" Type="http://schemas.openxmlformats.org/officeDocument/2006/relationships/hyperlink" Target="https://advance.lexis.com/api/document?collection=cases&amp;id=urn:contentItem:3S4X-8KY0-003B-P100-00000-00&amp;context=1519360" TargetMode="External" /><Relationship Id="rId17" Type="http://schemas.openxmlformats.org/officeDocument/2006/relationships/hyperlink" Target="https://advance.lexis.com/api/document?collection=cases&amp;id=urn:contentItem:4KBP-28C0-TVVS-P20Y-00000-00&amp;context=1519360" TargetMode="External" /><Relationship Id="rId18" Type="http://schemas.openxmlformats.org/officeDocument/2006/relationships/hyperlink" Target="https://advance.lexis.com/api/document?collection=cases&amp;id=urn:contentItem:4W5P-9YF0-TXFR-72RV-00000-00&amp;context=1519360" TargetMode="External" /><Relationship Id="rId19" Type="http://schemas.openxmlformats.org/officeDocument/2006/relationships/hyperlink" Target="https://advance.lexis.com/api/document?collection=cases&amp;id=urn:contentItem:3S4X-JGP0-00B1-D4S8-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RXY-41J1-JB2B-S2HP-00000-00&amp;context=1519360" TargetMode="External" /><Relationship Id="rId21" Type="http://schemas.openxmlformats.org/officeDocument/2006/relationships/hyperlink" Target="https://advance.lexis.com/api/document?collection=cases&amp;id=urn:contentItem:3S0D-H4X0-003B-R24N-00000-00&amp;context=1519360" TargetMode="External" /><Relationship Id="rId22" Type="http://schemas.openxmlformats.org/officeDocument/2006/relationships/hyperlink" Target="https://advance.lexis.com/api/document?collection=cases&amp;id=urn:contentItem:5JHW-8BF1-F04D-N1V5-00000-00&amp;context=1519360" TargetMode="External" /><Relationship Id="rId23" Type="http://schemas.openxmlformats.org/officeDocument/2006/relationships/hyperlink" Target="https://advance.lexis.com/api/document?collection=cases&amp;id=urn:contentItem:5T7M-T4D1-F8D9-M1VX-00000-00&amp;context=1519360" TargetMode="External" /><Relationship Id="rId24" Type="http://schemas.openxmlformats.org/officeDocument/2006/relationships/hyperlink" Target="https://advance.lexis.com/api/document?collection=cases&amp;id=urn:contentItem:5FTV-TW11-F04K-N0NK-00000-00&amp;context=1519360" TargetMode="External" /><Relationship Id="rId25" Type="http://schemas.openxmlformats.org/officeDocument/2006/relationships/hyperlink" Target="https://advance.lexis.com/api/document?collection=cases&amp;id=urn:contentItem:4X9D-THN0-TXFX-71YK-00000-00&amp;context=1519360" TargetMode="External" /><Relationship Id="rId26" Type="http://schemas.openxmlformats.org/officeDocument/2006/relationships/hyperlink" Target="https://advance.lexis.com/api/document?collection=cases&amp;id=urn:contentItem:3S4X-6350-0039-P35T-00000-00&amp;context=1519360" TargetMode="External" /><Relationship Id="rId27" Type="http://schemas.openxmlformats.org/officeDocument/2006/relationships/hyperlink" Target="https://advance.lexis.com/api/document?collection=cases&amp;id=urn:contentItem:3S4X-0D70-006F-M36D-00000-00&amp;context=1519360" TargetMode="External" /><Relationship Id="rId28" Type="http://schemas.openxmlformats.org/officeDocument/2006/relationships/hyperlink" Target="https://advance.lexis.com/api/document?collection=cases&amp;id=urn:contentItem:4TYY-KSH0-TXFR-71XB-00000-00&amp;context=1519360" TargetMode="External" /><Relationship Id="rId29" Type="http://schemas.openxmlformats.org/officeDocument/2006/relationships/hyperlink" Target="https://advance.lexis.com/api/document?collection=cases&amp;id=urn:contentItem:3S4X-HD50-001T-D0PM-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F72-G930-0038-X382-00000-00&amp;context=1519360" TargetMode="External" /><Relationship Id="rId31" Type="http://schemas.openxmlformats.org/officeDocument/2006/relationships/hyperlink" Target="https://advance.lexis.com/api/document?collection=statutes-legislation&amp;id=urn:contentItem:5GYC-2421-6N19-F169-00000-00&amp;context=1519360"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P0-NMB1-F4GK-M26B-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N3M-1JN1-F04K-N0F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Wess v. Houston, 2023 U.S. Dist. LEXIS 35071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51</vt:lpwstr>
  </property>
  <property fmtid="{D5CDD505-2E9C-101B-9397-08002B2CF9AE}" pid="3" name="LADocCount">
    <vt:lpwstr>1</vt:lpwstr>
  </property>
  <property fmtid="{D5CDD505-2E9C-101B-9397-08002B2CF9AE}" pid="4" name="LADocumentID:51">
    <vt:lpwstr>Doc::urn:hlct:5|contextualFeaturePermID::1519360</vt:lpwstr>
  </property>
  <property fmtid="{D5CDD505-2E9C-101B-9397-08002B2CF9AE}" pid="5" name="UserPermID">
    <vt:lpwstr>urn:user:PA186186283</vt:lpwstr>
  </property>
</Properties>
</file>