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McClellan v. Cox</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South Carolina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2023, Decided; October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No. 7:23-3231-SAL-MHC</w:t>
      </w:r>
    </w:p>
    <w:p>
      <w:pPr>
        <w:keepNext w:val="0"/>
        <w:spacing w:after="0" w:line="240" w:lineRule="atLeast"/>
        <w:ind w:right="0"/>
        <w:jc w:val="both"/>
      </w:pPr>
      <w:bookmarkStart w:id="0" w:name="Bookmark_1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236574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10479551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James Anderson McClellan, Plaintiff, v. Amy W. Cox, Kevin J. Tyner,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removal, rights, criminal case, proper form, recommended, district court, civil action, diversity, state court, immunity, notice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James Anderson McClellan, Plaintiff, Pro se, Columbia, SC.</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Molly H. Cherry,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Molly H. Cherry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a civil action filed by Plaintiff James Anderson McClellan, a state prisoner. Under </w:t>
      </w:r>
      <w:hyperlink r:id="rId10"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xml:space="preserve"> and Local Civil Rule 73.02(B)(2) (D.S.C.), pretrial proceedings in this action have been referred to the assigned United States Magistrate Judge.</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In a Proper Form Order dated September 14, 2023, Plaintiff was directed to provide certain documents to bring his case into proper form. He was also notified of pleading deficiencies and given the opportunity to amend his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 On October 2, 2023, Plaintiff submitted a letter in which he states that he "do[es] not want to file the complaint, the United States District Court sent to [him]." ECF No. 8. Plaintiff has not filed the necessary proper form documents, as discussed further below. He did not file an amended complaint.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Plaintiff is an inmate at the Kirkland Correctional Institution of the South Carolina Department of Corrections (SCDC). </w:t>
      </w:r>
      <w:bookmarkStart w:id="10" w:name="Bookmark_I6BPDNM52N1PX50020000400"/>
      <w:bookmarkEnd w:id="10"/>
      <w:r>
        <w:rPr>
          <w:rFonts w:ascii="arial" w:eastAsia="arial" w:hAnsi="arial" w:cs="arial"/>
          <w:b w:val="0"/>
          <w:i w:val="0"/>
          <w:strike w:val="0"/>
          <w:noProof w:val="0"/>
          <w:color w:val="000000"/>
          <w:position w:val="0"/>
          <w:sz w:val="20"/>
          <w:u w:val="none"/>
          <w:vertAlign w:val="baseline"/>
        </w:rPr>
        <w:t xml:space="preserve">Records from SCDC indicate that Plaintiff is serving two life sentences for kidnapping and burglary first. He also has sentences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and threating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life of a public official.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SCDC Incarcerated Inmate Search, http://public.doc.state.doc.state.sc.us/scdc-public/ [Search Inmate "James McClellan"] (last visited Oct. 23, 2023).</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Plaintiff states that he is bringing claims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against state officials.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ECF No. 1 at 3. He alleges claims against Defendants Amy W. Cox (Cox), the Clerk of Court for Spartanburg County, and Kevin J. Tyner (Tyner), a State Law Enforcement Division agent.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In the "Statement of Claim" portion of the Complaint, Plaintiff appears to allege that arrest warrants were issued to him on May 17, 2023, as to the alleged offense of threatening the life, person, or family of a public official, teacher, or principal. He appears to claim that the county where the charges were brought does not have jurisdiction over his case because the arrest warrants were not within "their county." ECF No. 1 at 4. As relief, Plaintiff requests that this Court "commence a trial by jury [because] the Attorney General has failed to prosecute."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Records from Spartanburg County indicate that Plaintiff has a pending criminal case (case number 2023A4210100420) with an arrest date of May 9, 2023, on the charge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threatening the life, person, or family of a public official, teacher, or principal. Plaintiff is represented by counsel and requests for discovery have been made.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Spartanburg County Seventh Judicial Circuit Public Index, https://publicindex.sccourts.org/Spartanburg/PublicIndex/PISearch.aspx [search case number listed above] (last visited Oct. 23,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STANDARD OF REVIEW</w:t>
      </w:r>
    </w:p>
    <w:p>
      <w:pPr>
        <w:keepNext w:val="0"/>
        <w:spacing w:before="24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is reviewed pursuant to the procedural provisions of </w:t>
      </w:r>
      <w:hyperlink r:id="rId12" w:history="1">
        <w:r>
          <w:rPr>
            <w:rFonts w:ascii="arial" w:eastAsia="arial" w:hAnsi="arial" w:cs="arial"/>
            <w:b w:val="0"/>
            <w:i/>
            <w:strike w:val="0"/>
            <w:noProof w:val="0"/>
            <w:color w:val="0077CC"/>
            <w:position w:val="0"/>
            <w:sz w:val="20"/>
            <w:u w:val="single"/>
            <w:vertAlign w:val="baseline"/>
          </w:rPr>
          <w:t>28 U.S.C. § 1915</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Prison Litigation Reform Act, Pub. L. No. 104-134, 110 Stat. 1321 (1996)</w:t>
      </w:r>
      <w:r>
        <w:rPr>
          <w:rFonts w:ascii="arial" w:eastAsia="arial" w:hAnsi="arial" w:cs="arial"/>
          <w:b w:val="0"/>
          <w:i w:val="0"/>
          <w:strike w:val="0"/>
          <w:noProof w:val="0"/>
          <w:color w:val="000000"/>
          <w:position w:val="0"/>
          <w:sz w:val="20"/>
          <w:u w:val="none"/>
          <w:vertAlign w:val="baseline"/>
        </w:rPr>
        <w:t xml:space="preserve">, and in light of the following precedents: </w:t>
      </w:r>
      <w:hyperlink r:id="rId13" w:history="1">
        <w:r>
          <w:rPr>
            <w:rFonts w:ascii="arial" w:eastAsia="arial" w:hAnsi="arial" w:cs="arial"/>
            <w:b w:val="0"/>
            <w:i/>
            <w:strike w:val="0"/>
            <w:noProof w:val="0"/>
            <w:color w:val="0077CC"/>
            <w:position w:val="0"/>
            <w:sz w:val="20"/>
            <w:u w:val="single"/>
            <w:vertAlign w:val="baseline"/>
          </w:rPr>
          <w:t>Denton v. Hernandez</w:t>
        </w:r>
      </w:hyperlink>
      <w:hyperlink r:id="rId13" w:history="1">
        <w:r>
          <w:rPr>
            <w:rFonts w:ascii="arial" w:eastAsia="arial" w:hAnsi="arial" w:cs="arial"/>
            <w:b w:val="0"/>
            <w:i/>
            <w:strike w:val="0"/>
            <w:noProof w:val="0"/>
            <w:color w:val="0077CC"/>
            <w:position w:val="0"/>
            <w:sz w:val="20"/>
            <w:u w:val="single"/>
            <w:vertAlign w:val="baseline"/>
          </w:rPr>
          <w:t>, 504 U.S. 25, 112 S. Ct. 1728, 118 L. Ed. 2d 340 (1992)</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Neitzke v. Williams</w:t>
        </w:r>
      </w:hyperlink>
      <w:hyperlink r:id="rId14" w:history="1">
        <w:r>
          <w:rPr>
            <w:rFonts w:ascii="arial" w:eastAsia="arial" w:hAnsi="arial" w:cs="arial"/>
            <w:b w:val="0"/>
            <w:i/>
            <w:strike w:val="0"/>
            <w:noProof w:val="0"/>
            <w:color w:val="0077CC"/>
            <w:position w:val="0"/>
            <w:sz w:val="20"/>
            <w:u w:val="single"/>
            <w:vertAlign w:val="baseline"/>
          </w:rPr>
          <w:t>, 490 U.S. 319, 109 S. Ct. 1827, 104 L. Ed. 2d 338 (1989)</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Haines v. Kerner</w:t>
        </w:r>
      </w:hyperlink>
      <w:hyperlink r:id="rId15" w:history="1">
        <w:r>
          <w:rPr>
            <w:rFonts w:ascii="arial" w:eastAsia="arial" w:hAnsi="arial" w:cs="arial"/>
            <w:b w:val="0"/>
            <w:i/>
            <w:strike w:val="0"/>
            <w:noProof w:val="0"/>
            <w:color w:val="0077CC"/>
            <w:position w:val="0"/>
            <w:sz w:val="20"/>
            <w:u w:val="single"/>
            <w:vertAlign w:val="baseline"/>
          </w:rPr>
          <w:t>, 404 U.S. 519, 92 S. Ct. 594, 30 L. Ed. 2d 652 (1972)</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Todd v. Baskerville</w:t>
        </w:r>
      </w:hyperlink>
      <w:hyperlink r:id="rId16" w:history="1">
        <w:r>
          <w:rPr>
            <w:rFonts w:ascii="arial" w:eastAsia="arial" w:hAnsi="arial" w:cs="arial"/>
            <w:b w:val="0"/>
            <w:i/>
            <w:strike w:val="0"/>
            <w:noProof w:val="0"/>
            <w:color w:val="0077CC"/>
            <w:position w:val="0"/>
            <w:sz w:val="20"/>
            <w:u w:val="single"/>
            <w:vertAlign w:val="baseline"/>
          </w:rPr>
          <w:t>, 712 F.2d 70 (4th Cir.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complaints are held to a less stringent standard than those drafted by attorneys, and a court is charged with liberally construing a complaint filed by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to allow the development of a potentially meritorious case.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Erickson v. Pardus</w:t>
        </w:r>
      </w:hyperlink>
      <w:hyperlink r:id="rId17"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King v. Rubenstein</w:t>
        </w:r>
      </w:hyperlink>
      <w:hyperlink r:id="rId18" w:history="1">
        <w:r>
          <w:rPr>
            <w:rFonts w:ascii="arial" w:eastAsia="arial" w:hAnsi="arial" w:cs="arial"/>
            <w:b w:val="0"/>
            <w:i/>
            <w:strike w:val="0"/>
            <w:noProof w:val="0"/>
            <w:color w:val="0077CC"/>
            <w:position w:val="0"/>
            <w:sz w:val="20"/>
            <w:u w:val="single"/>
            <w:vertAlign w:val="baseline"/>
          </w:rPr>
          <w:t>, 825 F.3d 206, 214 (4th Cir. 2016)</w:t>
        </w:r>
      </w:hyperlink>
      <w:r>
        <w:rPr>
          <w:rFonts w:ascii="arial" w:eastAsia="arial" w:hAnsi="arial" w:cs="arial"/>
          <w:b w:val="0"/>
          <w:i w:val="0"/>
          <w:strike w:val="0"/>
          <w:noProof w:val="0"/>
          <w:color w:val="000000"/>
          <w:position w:val="0"/>
          <w:sz w:val="20"/>
          <w:u w:val="none"/>
          <w:vertAlign w:val="baseline"/>
        </w:rPr>
        <w:t xml:space="preserve">. However, the requirement of liberal construction does not mean that this Court can ignore a clear failure in the pleading to allege facts which set forth a claim currently cognizable in a federal district court. </w:t>
      </w:r>
      <w:r>
        <w:rPr>
          <w:rFonts w:ascii="arial" w:eastAsia="arial" w:hAnsi="arial" w:cs="arial"/>
          <w:b w:val="0"/>
          <w:i/>
          <w:strike w:val="0"/>
          <w:noProof w:val="0"/>
          <w:color w:val="000000"/>
          <w:position w:val="0"/>
          <w:sz w:val="20"/>
          <w:u w:val="none"/>
          <w:vertAlign w:val="baseline"/>
        </w:rPr>
        <w:t xml:space="preserve">See </w:t>
      </w:r>
      <w:hyperlink r:id="rId19" w:history="1">
        <w:r>
          <w:rPr>
            <w:rFonts w:ascii="arial" w:eastAsia="arial" w:hAnsi="arial" w:cs="arial"/>
            <w:b w:val="0"/>
            <w:i/>
            <w:strike w:val="0"/>
            <w:noProof w:val="0"/>
            <w:color w:val="0077CC"/>
            <w:position w:val="0"/>
            <w:sz w:val="20"/>
            <w:u w:val="single"/>
            <w:vertAlign w:val="baseline"/>
          </w:rPr>
          <w:t>Weller v. Dep't of Soc. Servs.</w:t>
        </w:r>
      </w:hyperlink>
      <w:hyperlink r:id="rId19" w:history="1">
        <w:r>
          <w:rPr>
            <w:rFonts w:ascii="arial" w:eastAsia="arial" w:hAnsi="arial" w:cs="arial"/>
            <w:b w:val="0"/>
            <w:i/>
            <w:strike w:val="0"/>
            <w:noProof w:val="0"/>
            <w:color w:val="0077CC"/>
            <w:position w:val="0"/>
            <w:sz w:val="20"/>
            <w:u w:val="single"/>
            <w:vertAlign w:val="baseline"/>
          </w:rPr>
          <w:t>, 901 F.2d 387 (4th Cir. 1990)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0" w:history="1">
        <w:r>
          <w:rPr>
            <w:rFonts w:ascii="arial" w:eastAsia="arial" w:hAnsi="arial" w:cs="arial"/>
            <w:b w:val="0"/>
            <w:i/>
            <w:strike w:val="0"/>
            <w:noProof w:val="0"/>
            <w:color w:val="0077CC"/>
            <w:position w:val="0"/>
            <w:sz w:val="20"/>
            <w:u w:val="single"/>
            <w:vertAlign w:val="baseline"/>
          </w:rPr>
          <w:t>Ashcroft v. Iqbal</w:t>
        </w:r>
      </w:hyperlink>
      <w:hyperlink r:id="rId20" w:history="1">
        <w:r>
          <w:rPr>
            <w:rFonts w:ascii="arial" w:eastAsia="arial" w:hAnsi="arial" w:cs="arial"/>
            <w:b w:val="0"/>
            <w:i/>
            <w:strike w:val="0"/>
            <w:noProof w:val="0"/>
            <w:color w:val="0077CC"/>
            <w:position w:val="0"/>
            <w:sz w:val="20"/>
            <w:u w:val="single"/>
            <w:vertAlign w:val="baseline"/>
          </w:rPr>
          <w:t>, 556 U.S. 662, 684, 129 S. Ct. 1937, 173 L. Ed. 2d 868 (2009)</w:t>
        </w:r>
      </w:hyperlink>
      <w:r>
        <w:rPr>
          <w:rFonts w:ascii="arial" w:eastAsia="arial" w:hAnsi="arial" w:cs="arial"/>
          <w:b w:val="0"/>
          <w:i w:val="0"/>
          <w:strike w:val="0"/>
          <w:noProof w:val="0"/>
          <w:color w:val="000000"/>
          <w:position w:val="0"/>
          <w:sz w:val="20"/>
          <w:u w:val="none"/>
          <w:vertAlign w:val="baseline"/>
        </w:rPr>
        <w:t xml:space="preserve"> (outlining pleading requirements under </w:t>
      </w:r>
      <w:hyperlink r:id="rId21" w:history="1">
        <w:r>
          <w:rPr>
            <w:rFonts w:ascii="arial" w:eastAsia="arial" w:hAnsi="arial" w:cs="arial"/>
            <w:b w:val="0"/>
            <w:i/>
            <w:strike w:val="0"/>
            <w:noProof w:val="0"/>
            <w:color w:val="0077CC"/>
            <w:position w:val="0"/>
            <w:sz w:val="20"/>
            <w:u w:val="single"/>
            <w:vertAlign w:val="baseline"/>
          </w:rPr>
          <w:t>Rule 8 of the Federal Rules of Civil Procedure</w:t>
        </w:r>
      </w:hyperlink>
      <w:r>
        <w:rPr>
          <w:rFonts w:ascii="arial" w:eastAsia="arial" w:hAnsi="arial" w:cs="arial"/>
          <w:b w:val="0"/>
          <w:i w:val="0"/>
          <w:strike w:val="0"/>
          <w:noProof w:val="0"/>
          <w:color w:val="000000"/>
          <w:position w:val="0"/>
          <w:sz w:val="20"/>
          <w:u w:val="none"/>
          <w:vertAlign w:val="baseline"/>
        </w:rPr>
        <w:t xml:space="preserve"> for "all civil actions").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It is unclear if Plaintiff's letter (ECF No. 8) is a notice of dismissal or a statement by Plaintiff that he does not intend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complete a complaint form to amend his complaint. This action has not been served, and Defendants have not filed an answer or motion for summary judgment. Thus, to the extent that Plaintiff is attempting to voluntarily dismiss this action, it is recommended that this action be dismissed without prejudice pursuant to </w:t>
      </w:r>
      <w:hyperlink r:id="rId22" w:history="1">
        <w:r>
          <w:rPr>
            <w:rFonts w:ascii="arial" w:eastAsia="arial" w:hAnsi="arial" w:cs="arial"/>
            <w:b w:val="0"/>
            <w:i/>
            <w:strike w:val="0"/>
            <w:noProof w:val="0"/>
            <w:color w:val="0077CC"/>
            <w:position w:val="0"/>
            <w:sz w:val="20"/>
            <w:u w:val="single"/>
            <w:vertAlign w:val="baseline"/>
          </w:rPr>
          <w:t>Federal Rule of Civil Procedure 41(a)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However, if Plaintiff's letter is not intended to be a notice of dismissal a notice, it is recommended that this action be summarily dismissed for the reasons discussed below.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Plaintiff May Not Remove His Criminal Case</w:t>
      </w:r>
      <w:r>
        <w:rPr>
          <w:rFonts w:ascii="arial" w:eastAsia="arial" w:hAnsi="arial" w:cs="arial"/>
          <w:b/>
          <w:i w:val="0"/>
          <w:strike w:val="0"/>
          <w:noProof w:val="0"/>
          <w:color w:val="000000"/>
          <w:position w:val="0"/>
          <w:sz w:val="20"/>
          <w:u w:val="single"/>
          <w:vertAlign w:val="baseline"/>
        </w:rPr>
        <w:t> [*5] </w:t>
      </w:r>
      <w:r>
        <w:rPr>
          <w:rFonts w:ascii="arial" w:eastAsia="arial" w:hAnsi="arial" w:cs="arial"/>
          <w:b w:val="0"/>
          <w:i w:val="0"/>
          <w:strike w:val="0"/>
          <w:noProof w:val="0"/>
          <w:color w:val="000000"/>
          <w:position w:val="0"/>
          <w:sz w:val="20"/>
          <w:u w:val="single"/>
          <w:vertAlign w:val="baseline"/>
        </w:rPr>
        <w:t xml:space="preserve"> From State Court</w:t>
      </w:r>
    </w:p>
    <w:p>
      <w:pPr>
        <w:keepNext w:val="0"/>
        <w:spacing w:before="240" w:after="0" w:line="260" w:lineRule="atLeast"/>
        <w:ind w:left="0" w:right="0" w:firstLine="0"/>
        <w:jc w:val="both"/>
      </w:pPr>
      <w:bookmarkStart w:id="27" w:name="Bookmark_para_15"/>
      <w:bookmarkEnd w:id="27"/>
      <w:bookmarkStart w:id="28" w:name="Bookmark_I6CVMFJT2N1RCD0040000400"/>
      <w:bookmarkEnd w:id="28"/>
      <w:r>
        <w:rPr>
          <w:rFonts w:ascii="arial" w:eastAsia="arial" w:hAnsi="arial" w:cs="arial"/>
          <w:b w:val="0"/>
          <w:i w:val="0"/>
          <w:strike w:val="0"/>
          <w:noProof w:val="0"/>
          <w:color w:val="000000"/>
          <w:position w:val="0"/>
          <w:sz w:val="20"/>
          <w:u w:val="none"/>
          <w:vertAlign w:val="baseline"/>
        </w:rPr>
        <w:t>To the extent Plaintiff is attempting to remove his criminal case from state court,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his attempt fails because he has not stated a basis for removal.</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In the context of criminal prosecutions, this court lacks subject matter jurisdiction, except in certain narrow circumstances pursuant to </w:t>
      </w:r>
      <w:hyperlink r:id="rId23" w:history="1">
        <w:r>
          <w:rPr>
            <w:rFonts w:ascii="arial" w:eastAsia="arial" w:hAnsi="arial" w:cs="arial"/>
            <w:b w:val="0"/>
            <w:i/>
            <w:strike w:val="0"/>
            <w:noProof w:val="0"/>
            <w:color w:val="0077CC"/>
            <w:position w:val="0"/>
            <w:sz w:val="20"/>
            <w:u w:val="single"/>
            <w:vertAlign w:val="baseline"/>
          </w:rPr>
          <w:t>28 U.S.C. §§ 1442</w:t>
        </w:r>
      </w:hyperlink>
      <w:r>
        <w:rPr>
          <w:rFonts w:ascii="arial" w:eastAsia="arial" w:hAnsi="arial" w:cs="arial"/>
          <w:b w:val="0"/>
          <w:i w:val="0"/>
          <w:strike w:val="0"/>
          <w:noProof w:val="0"/>
          <w:color w:val="000000"/>
          <w:position w:val="0"/>
          <w:sz w:val="20"/>
          <w:u w:val="none"/>
          <w:vertAlign w:val="baseline"/>
        </w:rPr>
        <w:t xml:space="preserve"> (Federal officers or agencies sued or prosecuted), </w:t>
      </w:r>
      <w:hyperlink r:id="rId24" w:history="1">
        <w:r>
          <w:rPr>
            <w:rFonts w:ascii="arial" w:eastAsia="arial" w:hAnsi="arial" w:cs="arial"/>
            <w:b w:val="0"/>
            <w:i/>
            <w:strike w:val="0"/>
            <w:noProof w:val="0"/>
            <w:color w:val="0077CC"/>
            <w:position w:val="0"/>
            <w:sz w:val="20"/>
            <w:u w:val="single"/>
            <w:vertAlign w:val="baseline"/>
          </w:rPr>
          <w:t>1442a</w:t>
        </w:r>
      </w:hyperlink>
      <w:r>
        <w:rPr>
          <w:rFonts w:ascii="arial" w:eastAsia="arial" w:hAnsi="arial" w:cs="arial"/>
          <w:b w:val="0"/>
          <w:i w:val="0"/>
          <w:strike w:val="0"/>
          <w:noProof w:val="0"/>
          <w:color w:val="000000"/>
          <w:position w:val="0"/>
          <w:sz w:val="20"/>
          <w:u w:val="none"/>
          <w:vertAlign w:val="baseline"/>
        </w:rPr>
        <w:t xml:space="preserve"> (Members of armed forces sued or prosecuted), or 1443 (Civil rights cases). </w:t>
      </w:r>
      <w:r>
        <w:rPr>
          <w:rFonts w:ascii="arial" w:eastAsia="arial" w:hAnsi="arial" w:cs="arial"/>
          <w:b w:val="0"/>
          <w:i/>
          <w:strike w:val="0"/>
          <w:noProof w:val="0"/>
          <w:color w:val="000000"/>
          <w:position w:val="0"/>
          <w:sz w:val="20"/>
          <w:u w:val="none"/>
          <w:vertAlign w:val="baseline"/>
        </w:rPr>
        <w:t xml:space="preserve">See, e.g., </w:t>
      </w:r>
      <w:bookmarkStart w:id="31" w:name="Bookmark_I6CVMFJT2N1RCD0030000400"/>
      <w:bookmarkEnd w:id="31"/>
      <w:hyperlink r:id="rId25" w:history="1">
        <w:r>
          <w:rPr>
            <w:rFonts w:ascii="arial" w:eastAsia="arial" w:hAnsi="arial" w:cs="arial"/>
            <w:b w:val="0"/>
            <w:i/>
            <w:strike w:val="0"/>
            <w:noProof w:val="0"/>
            <w:color w:val="0077CC"/>
            <w:position w:val="0"/>
            <w:sz w:val="20"/>
            <w:u w:val="single"/>
            <w:vertAlign w:val="baseline"/>
          </w:rPr>
          <w:t>South Carolina v. Tucker</w:t>
        </w:r>
      </w:hyperlink>
      <w:hyperlink r:id="rId25" w:history="1">
        <w:r>
          <w:rPr>
            <w:rFonts w:ascii="arial" w:eastAsia="arial" w:hAnsi="arial" w:cs="arial"/>
            <w:b w:val="0"/>
            <w:i/>
            <w:strike w:val="0"/>
            <w:noProof w:val="0"/>
            <w:color w:val="0077CC"/>
            <w:position w:val="0"/>
            <w:sz w:val="20"/>
            <w:u w:val="single"/>
            <w:vertAlign w:val="baseline"/>
          </w:rPr>
          <w:t>, No. 3:17-1811-JFA-PJG, 2017 U.S. Dist. LEXIS 141009, 2017 WL 3773137, at *1 (D.S.C. Aug. 11,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32" w:name="Bookmark_I6BPDNMD2SF7P50050000400"/>
      <w:bookmarkEnd w:id="32"/>
      <w:hyperlink r:id="rId26" w:history="1">
        <w:r>
          <w:rPr>
            <w:rFonts w:ascii="arial" w:eastAsia="arial" w:hAnsi="arial" w:cs="arial"/>
            <w:b w:val="0"/>
            <w:i/>
            <w:strike w:val="0"/>
            <w:noProof w:val="0"/>
            <w:color w:val="0077CC"/>
            <w:position w:val="0"/>
            <w:sz w:val="20"/>
            <w:u w:val="single"/>
            <w:vertAlign w:val="baseline"/>
          </w:rPr>
          <w:t>2017 U.S. Dist. LEXIS 139711, 2017 WL 3730566 (D.S.C. Aug. 30, 2017)</w:t>
        </w:r>
      </w:hyperlink>
      <w:r>
        <w:rPr>
          <w:rFonts w:ascii="arial" w:eastAsia="arial" w:hAnsi="arial" w:cs="arial"/>
          <w:b w:val="0"/>
          <w:i w:val="0"/>
          <w:strike w:val="0"/>
          <w:noProof w:val="0"/>
          <w:color w:val="000000"/>
          <w:position w:val="0"/>
          <w:sz w:val="20"/>
          <w:u w:val="none"/>
          <w:vertAlign w:val="baseline"/>
        </w:rPr>
        <w:t xml:space="preserve">; </w:t>
      </w:r>
      <w:bookmarkStart w:id="33" w:name="Bookmark_I6CVMFJT2N1RCD0050000400"/>
      <w:bookmarkEnd w:id="33"/>
      <w:hyperlink r:id="rId27" w:history="1">
        <w:r>
          <w:rPr>
            <w:rFonts w:ascii="arial" w:eastAsia="arial" w:hAnsi="arial" w:cs="arial"/>
            <w:b w:val="0"/>
            <w:i/>
            <w:strike w:val="0"/>
            <w:noProof w:val="0"/>
            <w:color w:val="0077CC"/>
            <w:position w:val="0"/>
            <w:sz w:val="20"/>
            <w:u w:val="single"/>
            <w:vertAlign w:val="baseline"/>
          </w:rPr>
          <w:t>Virginia v. El</w:t>
        </w:r>
      </w:hyperlink>
      <w:hyperlink r:id="rId27" w:history="1">
        <w:r>
          <w:rPr>
            <w:rFonts w:ascii="arial" w:eastAsia="arial" w:hAnsi="arial" w:cs="arial"/>
            <w:b w:val="0"/>
            <w:i/>
            <w:strike w:val="0"/>
            <w:noProof w:val="0"/>
            <w:color w:val="0077CC"/>
            <w:position w:val="0"/>
            <w:sz w:val="20"/>
            <w:u w:val="single"/>
            <w:vertAlign w:val="baseline"/>
          </w:rPr>
          <w:t>, No. 3:16cv128, 2016 U.S. Dist. LEXIS 114961, 2016 WL 4507814, at *3 (E.D. Va. Aug. 26, 2016)</w:t>
        </w:r>
      </w:hyperlink>
      <w:r>
        <w:rPr>
          <w:rFonts w:ascii="arial" w:eastAsia="arial" w:hAnsi="arial" w:cs="arial"/>
          <w:b w:val="0"/>
          <w:i w:val="0"/>
          <w:strike w:val="0"/>
          <w:noProof w:val="0"/>
          <w:color w:val="000000"/>
          <w:position w:val="0"/>
          <w:sz w:val="20"/>
          <w:u w:val="none"/>
          <w:vertAlign w:val="baseline"/>
        </w:rPr>
        <w:t xml:space="preserve">; </w:t>
      </w:r>
      <w:bookmarkStart w:id="34" w:name="Bookmark_I6BPDNMD2D6N510040000400"/>
      <w:bookmarkEnd w:id="34"/>
      <w:hyperlink r:id="rId28" w:history="1">
        <w:r>
          <w:rPr>
            <w:rFonts w:ascii="arial" w:eastAsia="arial" w:hAnsi="arial" w:cs="arial"/>
            <w:b w:val="0"/>
            <w:i/>
            <w:strike w:val="0"/>
            <w:noProof w:val="0"/>
            <w:color w:val="0077CC"/>
            <w:position w:val="0"/>
            <w:sz w:val="20"/>
            <w:u w:val="single"/>
            <w:vertAlign w:val="baseline"/>
          </w:rPr>
          <w:t>S. Carolina v. Guidetti</w:t>
        </w:r>
      </w:hyperlink>
      <w:hyperlink r:id="rId28" w:history="1">
        <w:r>
          <w:rPr>
            <w:rFonts w:ascii="arial" w:eastAsia="arial" w:hAnsi="arial" w:cs="arial"/>
            <w:b w:val="0"/>
            <w:i/>
            <w:strike w:val="0"/>
            <w:noProof w:val="0"/>
            <w:color w:val="0077CC"/>
            <w:position w:val="0"/>
            <w:sz w:val="20"/>
            <w:u w:val="single"/>
            <w:vertAlign w:val="baseline"/>
          </w:rPr>
          <w:t>, No. 6:11-3365-HMH—JDA, 2011 U.S. Dist. LEXIS 151115, 2011 WL 6979991, at *2 (D.S.C. Dec. 20,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35" w:name="Bookmark_I6BPDNMF2D6N540010000400"/>
      <w:bookmarkEnd w:id="35"/>
      <w:hyperlink r:id="rId29" w:history="1">
        <w:r>
          <w:rPr>
            <w:rFonts w:ascii="arial" w:eastAsia="arial" w:hAnsi="arial" w:cs="arial"/>
            <w:b w:val="0"/>
            <w:i/>
            <w:strike w:val="0"/>
            <w:noProof w:val="0"/>
            <w:color w:val="0077CC"/>
            <w:position w:val="0"/>
            <w:sz w:val="20"/>
            <w:u w:val="single"/>
            <w:vertAlign w:val="baseline"/>
          </w:rPr>
          <w:t>2012 U.S. Dist. LEXIS 3159, 2012 WL 78793 (D.S.C. Jan. 10, 2012)</w:t>
        </w:r>
      </w:hyperlink>
      <w:r>
        <w:rPr>
          <w:rFonts w:ascii="arial" w:eastAsia="arial" w:hAnsi="arial" w:cs="arial"/>
          <w:b w:val="0"/>
          <w:i w:val="0"/>
          <w:strike w:val="0"/>
          <w:noProof w:val="0"/>
          <w:color w:val="000000"/>
          <w:position w:val="0"/>
          <w:sz w:val="20"/>
          <w:u w:val="none"/>
          <w:vertAlign w:val="baseline"/>
        </w:rPr>
        <w:t xml:space="preserve">; </w:t>
      </w:r>
      <w:bookmarkStart w:id="36" w:name="Bookmark_I6BPDNMF2D6N540030000400"/>
      <w:bookmarkEnd w:id="36"/>
      <w:hyperlink r:id="rId30" w:history="1">
        <w:r>
          <w:rPr>
            <w:rFonts w:ascii="arial" w:eastAsia="arial" w:hAnsi="arial" w:cs="arial"/>
            <w:b w:val="0"/>
            <w:i/>
            <w:strike w:val="0"/>
            <w:noProof w:val="0"/>
            <w:color w:val="0077CC"/>
            <w:position w:val="0"/>
            <w:sz w:val="20"/>
            <w:u w:val="single"/>
            <w:vertAlign w:val="baseline"/>
          </w:rPr>
          <w:t>Iowa v. Johnson</w:t>
        </w:r>
      </w:hyperlink>
      <w:hyperlink r:id="rId30" w:history="1">
        <w:r>
          <w:rPr>
            <w:rFonts w:ascii="arial" w:eastAsia="arial" w:hAnsi="arial" w:cs="arial"/>
            <w:b w:val="0"/>
            <w:i/>
            <w:strike w:val="0"/>
            <w:noProof w:val="0"/>
            <w:color w:val="0077CC"/>
            <w:position w:val="0"/>
            <w:sz w:val="20"/>
            <w:u w:val="single"/>
            <w:vertAlign w:val="baseline"/>
          </w:rPr>
          <w:t>, 976 F. Supp. 812, 816 (N.D. Iowa 1997)</w:t>
        </w:r>
      </w:hyperlink>
      <w:r>
        <w:rPr>
          <w:rFonts w:ascii="arial" w:eastAsia="arial" w:hAnsi="arial" w:cs="arial"/>
          <w:b w:val="0"/>
          <w:i w:val="0"/>
          <w:strike w:val="0"/>
          <w:noProof w:val="0"/>
          <w:color w:val="000000"/>
          <w:position w:val="0"/>
          <w:sz w:val="20"/>
          <w:u w:val="none"/>
          <w:vertAlign w:val="baseline"/>
        </w:rPr>
        <w:t xml:space="preserve"> ("If this state criminal prosecution is removable to federal district court, it must be on the basis of one of three federal statutes, </w:t>
      </w:r>
      <w:hyperlink r:id="rId23" w:history="1">
        <w:r>
          <w:rPr>
            <w:rFonts w:ascii="arial" w:eastAsia="arial" w:hAnsi="arial" w:cs="arial"/>
            <w:b w:val="0"/>
            <w:i/>
            <w:strike w:val="0"/>
            <w:noProof w:val="0"/>
            <w:color w:val="0077CC"/>
            <w:position w:val="0"/>
            <w:sz w:val="20"/>
            <w:u w:val="single"/>
            <w:vertAlign w:val="baseline"/>
          </w:rPr>
          <w:t>28 U.S.C. § 1442</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28 U.S.C. § 1442a</w:t>
        </w:r>
      </w:hyperlink>
      <w:r>
        <w:rPr>
          <w:rFonts w:ascii="arial" w:eastAsia="arial" w:hAnsi="arial" w:cs="arial"/>
          <w:b w:val="0"/>
          <w:i w:val="0"/>
          <w:strike w:val="0"/>
          <w:noProof w:val="0"/>
          <w:color w:val="000000"/>
          <w:position w:val="0"/>
          <w:sz w:val="20"/>
          <w:u w:val="none"/>
          <w:vertAlign w:val="baseline"/>
        </w:rPr>
        <w:t xml:space="preserve">, or </w:t>
      </w:r>
      <w:hyperlink r:id="rId31" w:history="1">
        <w:r>
          <w:rPr>
            <w:rFonts w:ascii="arial" w:eastAsia="arial" w:hAnsi="arial" w:cs="arial"/>
            <w:b w:val="0"/>
            <w:i/>
            <w:strike w:val="0"/>
            <w:noProof w:val="0"/>
            <w:color w:val="0077CC"/>
            <w:position w:val="0"/>
            <w:sz w:val="20"/>
            <w:u w:val="single"/>
            <w:vertAlign w:val="baseline"/>
          </w:rPr>
          <w:t>28 U.S.C. § 1443</w:t>
        </w:r>
      </w:hyperlink>
      <w:r>
        <w:rPr>
          <w:rFonts w:ascii="arial" w:eastAsia="arial" w:hAnsi="arial" w:cs="arial"/>
          <w:b w:val="0"/>
          <w:i w:val="0"/>
          <w:strike w:val="0"/>
          <w:noProof w:val="0"/>
          <w:color w:val="000000"/>
          <w:position w:val="0"/>
          <w:sz w:val="20"/>
          <w:u w:val="none"/>
          <w:vertAlign w:val="baseline"/>
        </w:rPr>
        <w:t>."). Any attempt at removal fails to qualify under any of these provisions, as discussed further below.</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38" w:name="Bookmark_para_16"/>
      <w:bookmarkEnd w:id="38"/>
      <w:bookmarkStart w:id="39" w:name="Bookmark_I6BPDNMF28T4TC0010000400"/>
      <w:bookmarkEnd w:id="39"/>
      <w:r>
        <w:rPr>
          <w:rFonts w:ascii="arial" w:eastAsia="arial" w:hAnsi="arial" w:cs="arial"/>
          <w:b w:val="0"/>
          <w:i w:val="0"/>
          <w:strike w:val="0"/>
          <w:noProof w:val="0"/>
          <w:color w:val="000000"/>
          <w:position w:val="0"/>
          <w:sz w:val="20"/>
          <w:u w:val="none"/>
          <w:vertAlign w:val="baseline"/>
        </w:rPr>
        <w:t xml:space="preserve">To qualify for removal pursuant to </w:t>
      </w:r>
      <w:hyperlink r:id="rId23" w:history="1">
        <w:r>
          <w:rPr>
            <w:rFonts w:ascii="arial" w:eastAsia="arial" w:hAnsi="arial" w:cs="arial"/>
            <w:b w:val="0"/>
            <w:i/>
            <w:strike w:val="0"/>
            <w:noProof w:val="0"/>
            <w:color w:val="0077CC"/>
            <w:position w:val="0"/>
            <w:sz w:val="20"/>
            <w:u w:val="single"/>
            <w:vertAlign w:val="baseline"/>
          </w:rPr>
          <w:t>§ 1442</w:t>
        </w:r>
      </w:hyperlink>
      <w:r>
        <w:rPr>
          <w:rFonts w:ascii="arial" w:eastAsia="arial" w:hAnsi="arial" w:cs="arial"/>
          <w:b w:val="0"/>
          <w:i w:val="0"/>
          <w:strike w:val="0"/>
          <w:noProof w:val="0"/>
          <w:color w:val="000000"/>
          <w:position w:val="0"/>
          <w:sz w:val="20"/>
          <w:u w:val="none"/>
          <w:vertAlign w:val="baseline"/>
        </w:rPr>
        <w:t xml:space="preserve">, a removing party must establish that he is an officer of the United States or a person acting under an officer of the United States. </w:t>
      </w:r>
      <w:hyperlink r:id="rId23" w:history="1">
        <w:r>
          <w:rPr>
            <w:rFonts w:ascii="arial" w:eastAsia="arial" w:hAnsi="arial" w:cs="arial"/>
            <w:b w:val="0"/>
            <w:i/>
            <w:strike w:val="0"/>
            <w:noProof w:val="0"/>
            <w:color w:val="0077CC"/>
            <w:position w:val="0"/>
            <w:sz w:val="20"/>
            <w:u w:val="single"/>
            <w:vertAlign w:val="baseline"/>
          </w:rPr>
          <w:t>28 U.S.C. § 1442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0" w:name="Bookmark_I6BPDNMF2D6N540050000400"/>
      <w:bookmarkEnd w:id="40"/>
      <w:hyperlink r:id="rId32" w:history="1">
        <w:r>
          <w:rPr>
            <w:rFonts w:ascii="arial" w:eastAsia="arial" w:hAnsi="arial" w:cs="arial"/>
            <w:b w:val="0"/>
            <w:i/>
            <w:strike w:val="0"/>
            <w:noProof w:val="0"/>
            <w:color w:val="0077CC"/>
            <w:position w:val="0"/>
            <w:sz w:val="20"/>
            <w:u w:val="single"/>
            <w:vertAlign w:val="baseline"/>
          </w:rPr>
          <w:t>Bald Head Ass'n v. Curnin</w:t>
        </w:r>
      </w:hyperlink>
      <w:hyperlink r:id="rId32" w:history="1">
        <w:r>
          <w:rPr>
            <w:rFonts w:ascii="arial" w:eastAsia="arial" w:hAnsi="arial" w:cs="arial"/>
            <w:b w:val="0"/>
            <w:i/>
            <w:strike w:val="0"/>
            <w:noProof w:val="0"/>
            <w:color w:val="0077CC"/>
            <w:position w:val="0"/>
            <w:sz w:val="20"/>
            <w:u w:val="single"/>
            <w:vertAlign w:val="baseline"/>
          </w:rPr>
          <w:t>, No. 7:09-CV173-F, 2010 U.S. Dist. LEXIS 45737, 2010 WL 1904268, at *3-5 (E.D.N.C. May 10,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dismissed in part and aff'd in part</w:t>
      </w:r>
      <w:r>
        <w:rPr>
          <w:rFonts w:ascii="arial" w:eastAsia="arial" w:hAnsi="arial" w:cs="arial"/>
          <w:b w:val="0"/>
          <w:i w:val="0"/>
          <w:strike w:val="0"/>
          <w:noProof w:val="0"/>
          <w:color w:val="000000"/>
          <w:position w:val="0"/>
          <w:sz w:val="20"/>
          <w:u w:val="none"/>
          <w:vertAlign w:val="baseline"/>
        </w:rPr>
        <w:t xml:space="preserve">, </w:t>
      </w:r>
      <w:bookmarkStart w:id="41" w:name="Bookmark_I6CVMFJV2D6NG40020000400"/>
      <w:bookmarkEnd w:id="41"/>
      <w:hyperlink r:id="rId33" w:history="1">
        <w:r>
          <w:rPr>
            <w:rFonts w:ascii="arial" w:eastAsia="arial" w:hAnsi="arial" w:cs="arial"/>
            <w:b w:val="0"/>
            <w:i/>
            <w:strike w:val="0"/>
            <w:noProof w:val="0"/>
            <w:color w:val="0077CC"/>
            <w:position w:val="0"/>
            <w:sz w:val="20"/>
            <w:u w:val="single"/>
            <w:vertAlign w:val="baseline"/>
          </w:rPr>
          <w:t>No. 10-1655, 2011 U.S. App. LEXIS 10312, 2011 WL 1936083 (4th Cir. May 20, 2011)</w:t>
        </w:r>
      </w:hyperlink>
      <w:r>
        <w:rPr>
          <w:rFonts w:ascii="arial" w:eastAsia="arial" w:hAnsi="arial" w:cs="arial"/>
          <w:b w:val="0"/>
          <w:i w:val="0"/>
          <w:strike w:val="0"/>
          <w:noProof w:val="0"/>
          <w:color w:val="000000"/>
          <w:position w:val="0"/>
          <w:sz w:val="20"/>
          <w:u w:val="none"/>
          <w:vertAlign w:val="baseline"/>
        </w:rPr>
        <w:t xml:space="preserve">; </w:t>
      </w:r>
      <w:bookmarkStart w:id="42" w:name="Bookmark_I6BPDNMF28T4TC0020000400"/>
      <w:bookmarkEnd w:id="42"/>
      <w:hyperlink r:id="rId34" w:history="1">
        <w:r>
          <w:rPr>
            <w:rFonts w:ascii="arial" w:eastAsia="arial" w:hAnsi="arial" w:cs="arial"/>
            <w:b w:val="0"/>
            <w:i/>
            <w:strike w:val="0"/>
            <w:noProof w:val="0"/>
            <w:color w:val="0077CC"/>
            <w:position w:val="0"/>
            <w:sz w:val="20"/>
            <w:u w:val="single"/>
            <w:vertAlign w:val="baseline"/>
          </w:rPr>
          <w:t>North Carolina v. Carr</w:t>
        </w:r>
      </w:hyperlink>
      <w:hyperlink r:id="rId34" w:history="1">
        <w:r>
          <w:rPr>
            <w:rFonts w:ascii="arial" w:eastAsia="arial" w:hAnsi="arial" w:cs="arial"/>
            <w:b w:val="0"/>
            <w:i/>
            <w:strike w:val="0"/>
            <w:noProof w:val="0"/>
            <w:color w:val="0077CC"/>
            <w:position w:val="0"/>
            <w:sz w:val="20"/>
            <w:u w:val="single"/>
            <w:vertAlign w:val="baseline"/>
          </w:rPr>
          <w:t>, 386 F.2d 129, 131 (4th Cir. 1967)</w:t>
        </w:r>
      </w:hyperlink>
      <w:r>
        <w:rPr>
          <w:rFonts w:ascii="arial" w:eastAsia="arial" w:hAnsi="arial" w:cs="arial"/>
          <w:b w:val="0"/>
          <w:i w:val="0"/>
          <w:strike w:val="0"/>
          <w:noProof w:val="0"/>
          <w:color w:val="000000"/>
          <w:position w:val="0"/>
          <w:sz w:val="20"/>
          <w:u w:val="none"/>
          <w:vertAlign w:val="baseline"/>
        </w:rPr>
        <w:t xml:space="preserve"> (observing that "purpose of [</w:t>
      </w:r>
      <w:hyperlink r:id="rId23" w:history="1">
        <w:r>
          <w:rPr>
            <w:rFonts w:ascii="arial" w:eastAsia="arial" w:hAnsi="arial" w:cs="arial"/>
            <w:b w:val="0"/>
            <w:i/>
            <w:strike w:val="0"/>
            <w:noProof w:val="0"/>
            <w:color w:val="0077CC"/>
            <w:position w:val="0"/>
            <w:sz w:val="20"/>
            <w:u w:val="single"/>
            <w:vertAlign w:val="baseline"/>
          </w:rPr>
          <w:t>28 U.S.C. § 1442</w:t>
        </w:r>
      </w:hyperlink>
      <w:r>
        <w:rPr>
          <w:rFonts w:ascii="arial" w:eastAsia="arial" w:hAnsi="arial" w:cs="arial"/>
          <w:b w:val="0"/>
          <w:i w:val="0"/>
          <w:strike w:val="0"/>
          <w:noProof w:val="0"/>
          <w:color w:val="000000"/>
          <w:position w:val="0"/>
          <w:sz w:val="20"/>
          <w:u w:val="none"/>
          <w:vertAlign w:val="baseline"/>
        </w:rPr>
        <w:t>] is to take from the State courts the indefeasible power to hold an officer or agent of the United States criminally or civilly liable for an act allegedly performed in the execution of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any of the powers or responsibilities of the Federal sovereign"). Plaintiff has not alleged that he is a federal officer or that he was in any way assisting a federal official in the performance of his duties such that he has not alleged any facts supporting removal under </w:t>
      </w:r>
      <w:hyperlink r:id="rId23" w:history="1">
        <w:r>
          <w:rPr>
            <w:rFonts w:ascii="arial" w:eastAsia="arial" w:hAnsi="arial" w:cs="arial"/>
            <w:b w:val="0"/>
            <w:i/>
            <w:strike w:val="0"/>
            <w:noProof w:val="0"/>
            <w:color w:val="0077CC"/>
            <w:position w:val="0"/>
            <w:sz w:val="20"/>
            <w:u w:val="single"/>
            <w:vertAlign w:val="baseline"/>
          </w:rPr>
          <w:t>§ 1442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17"/>
      <w:bookmarkEnd w:id="43"/>
      <w:r>
        <w:rPr>
          <w:rFonts w:ascii="arial" w:eastAsia="arial" w:hAnsi="arial" w:cs="arial"/>
          <w:b w:val="0"/>
          <w:i w:val="0"/>
          <w:strike w:val="0"/>
          <w:noProof w:val="0"/>
          <w:color w:val="000000"/>
          <w:position w:val="0"/>
          <w:sz w:val="20"/>
          <w:u w:val="none"/>
          <w:vertAlign w:val="baseline"/>
        </w:rPr>
        <w:t xml:space="preserve">Removal under </w:t>
      </w:r>
      <w:hyperlink r:id="rId24" w:history="1">
        <w:r>
          <w:rPr>
            <w:rFonts w:ascii="arial" w:eastAsia="arial" w:hAnsi="arial" w:cs="arial"/>
            <w:b w:val="0"/>
            <w:i/>
            <w:strike w:val="0"/>
            <w:noProof w:val="0"/>
            <w:color w:val="0077CC"/>
            <w:position w:val="0"/>
            <w:sz w:val="20"/>
            <w:u w:val="single"/>
            <w:vertAlign w:val="baseline"/>
          </w:rPr>
          <w:t>§ 1442a</w:t>
        </w:r>
      </w:hyperlink>
      <w:r>
        <w:rPr>
          <w:rFonts w:ascii="arial" w:eastAsia="arial" w:hAnsi="arial" w:cs="arial"/>
          <w:b w:val="0"/>
          <w:i w:val="0"/>
          <w:strike w:val="0"/>
          <w:noProof w:val="0"/>
          <w:color w:val="000000"/>
          <w:position w:val="0"/>
          <w:sz w:val="20"/>
          <w:u w:val="none"/>
          <w:vertAlign w:val="baseline"/>
        </w:rPr>
        <w:t xml:space="preserve"> requires a removing party to show, among other things, that he is a member of the armed forces of the United States. </w:t>
      </w:r>
      <w:hyperlink r:id="rId24" w:history="1">
        <w:r>
          <w:rPr>
            <w:rFonts w:ascii="arial" w:eastAsia="arial" w:hAnsi="arial" w:cs="arial"/>
            <w:b w:val="0"/>
            <w:i/>
            <w:strike w:val="0"/>
            <w:noProof w:val="0"/>
            <w:color w:val="0077CC"/>
            <w:position w:val="0"/>
            <w:sz w:val="20"/>
            <w:u w:val="single"/>
            <w:vertAlign w:val="baseline"/>
          </w:rPr>
          <w:t>28 U.S.C. § 1442a</w:t>
        </w:r>
      </w:hyperlink>
      <w:r>
        <w:rPr>
          <w:rFonts w:ascii="arial" w:eastAsia="arial" w:hAnsi="arial" w:cs="arial"/>
          <w:b w:val="0"/>
          <w:i w:val="0"/>
          <w:strike w:val="0"/>
          <w:noProof w:val="0"/>
          <w:color w:val="000000"/>
          <w:position w:val="0"/>
          <w:sz w:val="20"/>
          <w:u w:val="none"/>
          <w:vertAlign w:val="baseline"/>
        </w:rPr>
        <w:t xml:space="preserve">. Plaintiff has not alleged that he is in the military. </w:t>
      </w:r>
      <w:r>
        <w:rPr>
          <w:rFonts w:ascii="arial" w:eastAsia="arial" w:hAnsi="arial" w:cs="arial"/>
          <w:b w:val="0"/>
          <w:i/>
          <w:strike w:val="0"/>
          <w:noProof w:val="0"/>
          <w:color w:val="000000"/>
          <w:position w:val="0"/>
          <w:sz w:val="20"/>
          <w:u w:val="none"/>
          <w:vertAlign w:val="baseline"/>
        </w:rPr>
        <w:t xml:space="preserve">See </w:t>
      </w:r>
      <w:hyperlink r:id="rId35" w:history="1">
        <w:r>
          <w:rPr>
            <w:rFonts w:ascii="arial" w:eastAsia="arial" w:hAnsi="arial" w:cs="arial"/>
            <w:b w:val="0"/>
            <w:i/>
            <w:strike w:val="0"/>
            <w:noProof w:val="0"/>
            <w:color w:val="0077CC"/>
            <w:position w:val="0"/>
            <w:sz w:val="20"/>
            <w:u w:val="single"/>
            <w:vertAlign w:val="baseline"/>
          </w:rPr>
          <w:t>Florida v. Simanonok</w:t>
        </w:r>
      </w:hyperlink>
      <w:hyperlink r:id="rId35" w:history="1">
        <w:r>
          <w:rPr>
            <w:rFonts w:ascii="arial" w:eastAsia="arial" w:hAnsi="arial" w:cs="arial"/>
            <w:b w:val="0"/>
            <w:i/>
            <w:strike w:val="0"/>
            <w:noProof w:val="0"/>
            <w:color w:val="0077CC"/>
            <w:position w:val="0"/>
            <w:sz w:val="20"/>
            <w:u w:val="single"/>
            <w:vertAlign w:val="baseline"/>
          </w:rPr>
          <w:t>, 850 F.2d 1429, 1430 n.1 (11th Cir. 1988)</w:t>
        </w:r>
      </w:hyperlink>
      <w:r>
        <w:rPr>
          <w:rFonts w:ascii="arial" w:eastAsia="arial" w:hAnsi="arial" w:cs="arial"/>
          <w:b w:val="0"/>
          <w:i w:val="0"/>
          <w:strike w:val="0"/>
          <w:noProof w:val="0"/>
          <w:color w:val="000000"/>
          <w:position w:val="0"/>
          <w:sz w:val="20"/>
          <w:u w:val="none"/>
          <w:vertAlign w:val="baseline"/>
        </w:rPr>
        <w:t xml:space="preserve"> ("Clearly, the party seeking removal [under </w:t>
      </w:r>
      <w:hyperlink r:id="rId24" w:history="1">
        <w:r>
          <w:rPr>
            <w:rFonts w:ascii="arial" w:eastAsia="arial" w:hAnsi="arial" w:cs="arial"/>
            <w:b w:val="0"/>
            <w:i/>
            <w:strike w:val="0"/>
            <w:noProof w:val="0"/>
            <w:color w:val="0077CC"/>
            <w:position w:val="0"/>
            <w:sz w:val="20"/>
            <w:u w:val="single"/>
            <w:vertAlign w:val="baseline"/>
          </w:rPr>
          <w:t>28 U.S.C. § 1442a</w:t>
        </w:r>
      </w:hyperlink>
      <w:r>
        <w:rPr>
          <w:rFonts w:ascii="arial" w:eastAsia="arial" w:hAnsi="arial" w:cs="arial"/>
          <w:b w:val="0"/>
          <w:i w:val="0"/>
          <w:strike w:val="0"/>
          <w:noProof w:val="0"/>
          <w:color w:val="000000"/>
          <w:position w:val="0"/>
          <w:sz w:val="20"/>
          <w:u w:val="none"/>
          <w:vertAlign w:val="baseline"/>
        </w:rPr>
        <w:t xml:space="preserve">] must also be a member of the armed forces." (emphasis added)). Thus, Plaintiff has not alleged any facts supporting removal under </w:t>
      </w:r>
      <w:hyperlink r:id="rId24" w:history="1">
        <w:r>
          <w:rPr>
            <w:rFonts w:ascii="arial" w:eastAsia="arial" w:hAnsi="arial" w:cs="arial"/>
            <w:b w:val="0"/>
            <w:i/>
            <w:strike w:val="0"/>
            <w:noProof w:val="0"/>
            <w:color w:val="0077CC"/>
            <w:position w:val="0"/>
            <w:sz w:val="20"/>
            <w:u w:val="single"/>
            <w:vertAlign w:val="baseline"/>
          </w:rPr>
          <w:t>§ 1442a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 w:name="Bookmark_para_18"/>
      <w:bookmarkEnd w:id="44"/>
      <w:r>
        <w:rPr>
          <w:rFonts w:ascii="arial" w:eastAsia="arial" w:hAnsi="arial" w:cs="arial"/>
          <w:b w:val="0"/>
          <w:i w:val="0"/>
          <w:strike w:val="0"/>
          <w:noProof w:val="0"/>
          <w:color w:val="000000"/>
          <w:position w:val="0"/>
          <w:sz w:val="20"/>
          <w:u w:val="none"/>
          <w:vertAlign w:val="baseline"/>
        </w:rPr>
        <w:t xml:space="preserve">Nor is this action removable under </w:t>
      </w:r>
      <w:hyperlink r:id="rId31" w:history="1">
        <w:r>
          <w:rPr>
            <w:rFonts w:ascii="arial" w:eastAsia="arial" w:hAnsi="arial" w:cs="arial"/>
            <w:b w:val="0"/>
            <w:i/>
            <w:strike w:val="0"/>
            <w:noProof w:val="0"/>
            <w:color w:val="0077CC"/>
            <w:position w:val="0"/>
            <w:sz w:val="20"/>
            <w:u w:val="single"/>
            <w:vertAlign w:val="baseline"/>
          </w:rPr>
          <w:t>§ 1443</w:t>
        </w:r>
      </w:hyperlink>
      <w:r>
        <w:rPr>
          <w:rFonts w:ascii="arial" w:eastAsia="arial" w:hAnsi="arial" w:cs="arial"/>
          <w:b w:val="0"/>
          <w:i w:val="0"/>
          <w:strike w:val="0"/>
          <w:noProof w:val="0"/>
          <w:color w:val="000000"/>
          <w:position w:val="0"/>
          <w:sz w:val="20"/>
          <w:u w:val="none"/>
          <w:vertAlign w:val="baseline"/>
        </w:rPr>
        <w:t xml:space="preserve">. The Supreme Court has stated that removal under </w:t>
      </w:r>
      <w:hyperlink r:id="rId31" w:history="1">
        <w:r>
          <w:rPr>
            <w:rFonts w:ascii="arial" w:eastAsia="arial" w:hAnsi="arial" w:cs="arial"/>
            <w:b w:val="0"/>
            <w:i/>
            <w:strike w:val="0"/>
            <w:noProof w:val="0"/>
            <w:color w:val="0077CC"/>
            <w:position w:val="0"/>
            <w:sz w:val="20"/>
            <w:u w:val="single"/>
            <w:vertAlign w:val="baseline"/>
          </w:rPr>
          <w:t>28 U.S.C. § 1443(2)</w:t>
        </w:r>
      </w:hyperlink>
      <w:r>
        <w:rPr>
          <w:rFonts w:ascii="arial" w:eastAsia="arial" w:hAnsi="arial" w:cs="arial"/>
          <w:b w:val="0"/>
          <w:i w:val="0"/>
          <w:strike w:val="0"/>
          <w:noProof w:val="0"/>
          <w:color w:val="000000"/>
          <w:position w:val="0"/>
          <w:sz w:val="20"/>
          <w:u w:val="none"/>
          <w:vertAlign w:val="baseline"/>
        </w:rPr>
        <w:t xml:space="preserve"> "is available only to state officers;" </w:t>
      </w:r>
      <w:hyperlink r:id="rId36" w:history="1">
        <w:r>
          <w:rPr>
            <w:rFonts w:ascii="arial" w:eastAsia="arial" w:hAnsi="arial" w:cs="arial"/>
            <w:b w:val="0"/>
            <w:i/>
            <w:strike w:val="0"/>
            <w:noProof w:val="0"/>
            <w:color w:val="0077CC"/>
            <w:position w:val="0"/>
            <w:sz w:val="20"/>
            <w:u w:val="single"/>
            <w:vertAlign w:val="baseline"/>
          </w:rPr>
          <w:t>City of Greenwood, Miss. v. Peacock</w:t>
        </w:r>
      </w:hyperlink>
      <w:hyperlink r:id="rId36" w:history="1">
        <w:r>
          <w:rPr>
            <w:rFonts w:ascii="arial" w:eastAsia="arial" w:hAnsi="arial" w:cs="arial"/>
            <w:b w:val="0"/>
            <w:i/>
            <w:strike w:val="0"/>
            <w:noProof w:val="0"/>
            <w:color w:val="0077CC"/>
            <w:position w:val="0"/>
            <w:sz w:val="20"/>
            <w:u w:val="single"/>
            <w:vertAlign w:val="baseline"/>
          </w:rPr>
          <w:t>, 384 U.S. 808, 824 n.22, 86 S. Ct. 1800, 16 L. Ed. 2d 944 (1966)</w:t>
        </w:r>
      </w:hyperlink>
      <w:r>
        <w:rPr>
          <w:rFonts w:ascii="arial" w:eastAsia="arial" w:hAnsi="arial" w:cs="arial"/>
          <w:b w:val="0"/>
          <w:i w:val="0"/>
          <w:strike w:val="0"/>
          <w:noProof w:val="0"/>
          <w:color w:val="000000"/>
          <w:position w:val="0"/>
          <w:sz w:val="20"/>
          <w:u w:val="none"/>
          <w:vertAlign w:val="baseline"/>
        </w:rPr>
        <w:t xml:space="preserve">; and Plaintiff has not alleged that he is a state officer. Additionally, Plaintiff has not alleged any facts to support removal pursuant to </w:t>
      </w:r>
      <w:hyperlink r:id="rId31" w:history="1">
        <w:r>
          <w:rPr>
            <w:rFonts w:ascii="arial" w:eastAsia="arial" w:hAnsi="arial" w:cs="arial"/>
            <w:b w:val="0"/>
            <w:i/>
            <w:strike w:val="0"/>
            <w:noProof w:val="0"/>
            <w:color w:val="0077CC"/>
            <w:position w:val="0"/>
            <w:sz w:val="20"/>
            <w:u w:val="single"/>
            <w:vertAlign w:val="baseline"/>
          </w:rPr>
          <w:t>§ 1443(1)</w:t>
        </w:r>
      </w:hyperlink>
      <w:r>
        <w:rPr>
          <w:rFonts w:ascii="arial" w:eastAsia="arial" w:hAnsi="arial" w:cs="arial"/>
          <w:b w:val="0"/>
          <w:i w:val="0"/>
          <w:strike w:val="0"/>
          <w:noProof w:val="0"/>
          <w:color w:val="000000"/>
          <w:position w:val="0"/>
          <w:sz w:val="20"/>
          <w:u w:val="none"/>
          <w:vertAlign w:val="baseline"/>
        </w:rPr>
        <w:t xml:space="preserve">, under which a removing party must first show that the "'right allegedly denied ... arises under a federal law providing for specific civil rights stated in terms of racial equality;'" </w:t>
      </w:r>
      <w:r>
        <w:rPr>
          <w:rFonts w:ascii="arial" w:eastAsia="arial" w:hAnsi="arial" w:cs="arial"/>
          <w:b w:val="0"/>
          <w:i/>
          <w:strike w:val="0"/>
          <w:noProof w:val="0"/>
          <w:color w:val="000000"/>
          <w:position w:val="0"/>
          <w:sz w:val="20"/>
          <w:u w:val="none"/>
          <w:vertAlign w:val="baseline"/>
        </w:rPr>
        <w:t>Lee—Bautista v. Bautista</w:t>
      </w:r>
      <w:r>
        <w:rPr>
          <w:rFonts w:ascii="arial" w:eastAsia="arial" w:hAnsi="arial" w:cs="arial"/>
          <w:b w:val="0"/>
          <w:i/>
          <w:strike w:val="0"/>
          <w:noProof w:val="0"/>
          <w:color w:val="000000"/>
          <w:position w:val="0"/>
          <w:sz w:val="20"/>
          <w:u w:val="none"/>
          <w:vertAlign w:val="baseline"/>
        </w:rPr>
        <w:t>, 633 F. App'x 148, 149 (4th Cir. 2016)</w:t>
      </w:r>
      <w:r>
        <w:rPr>
          <w:rFonts w:ascii="arial" w:eastAsia="arial" w:hAnsi="arial" w:cs="arial"/>
          <w:b w:val="0"/>
          <w:i w:val="0"/>
          <w:strike w:val="0"/>
          <w:noProof w:val="0"/>
          <w:color w:val="000000"/>
          <w:position w:val="0"/>
          <w:sz w:val="20"/>
          <w:u w:val="none"/>
          <w:vertAlign w:val="baseline"/>
        </w:rPr>
        <w:t xml:space="preserve"> (quoting </w:t>
      </w:r>
      <w:hyperlink r:id="rId37" w:history="1">
        <w:r>
          <w:rPr>
            <w:rFonts w:ascii="arial" w:eastAsia="arial" w:hAnsi="arial" w:cs="arial"/>
            <w:b w:val="0"/>
            <w:i/>
            <w:strike w:val="0"/>
            <w:noProof w:val="0"/>
            <w:color w:val="0077CC"/>
            <w:position w:val="0"/>
            <w:sz w:val="20"/>
            <w:u w:val="single"/>
            <w:vertAlign w:val="baseline"/>
          </w:rPr>
          <w:t>Johnson v. Mississippi</w:t>
        </w:r>
      </w:hyperlink>
      <w:hyperlink r:id="rId37" w:history="1">
        <w:r>
          <w:rPr>
            <w:rFonts w:ascii="arial" w:eastAsia="arial" w:hAnsi="arial" w:cs="arial"/>
            <w:b w:val="0"/>
            <w:i/>
            <w:strike w:val="0"/>
            <w:noProof w:val="0"/>
            <w:color w:val="0077CC"/>
            <w:position w:val="0"/>
            <w:sz w:val="20"/>
            <w:u w:val="single"/>
            <w:vertAlign w:val="baseline"/>
          </w:rPr>
          <w:t>, 421 U.S. 213, 219, 95 S. Ct. 1591, 44 L. Ed. 2d 121 (1975)</w:t>
        </w:r>
      </w:hyperlink>
      <w:r>
        <w:rPr>
          <w:rFonts w:ascii="arial" w:eastAsia="arial" w:hAnsi="arial" w:cs="arial"/>
          <w:b w:val="0"/>
          <w:i w:val="0"/>
          <w:strike w:val="0"/>
          <w:noProof w:val="0"/>
          <w:color w:val="000000"/>
          <w:position w:val="0"/>
          <w:sz w:val="20"/>
          <w:u w:val="none"/>
          <w:vertAlign w:val="baseline"/>
        </w:rPr>
        <w:t>); and "that the removal petitioner is 'denied or cannot enforce' the specified rights" in state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court, </w:t>
      </w:r>
      <w:hyperlink r:id="rId37" w:history="1">
        <w:r>
          <w:rPr>
            <w:rFonts w:ascii="arial" w:eastAsia="arial" w:hAnsi="arial" w:cs="arial"/>
            <w:b w:val="0"/>
            <w:i/>
            <w:strike w:val="0"/>
            <w:noProof w:val="0"/>
            <w:color w:val="0077CC"/>
            <w:position w:val="0"/>
            <w:sz w:val="20"/>
            <w:u w:val="single"/>
            <w:vertAlign w:val="baseline"/>
          </w:rPr>
          <w:t>Johnson v. Mississippi</w:t>
        </w:r>
      </w:hyperlink>
      <w:hyperlink r:id="rId37" w:history="1">
        <w:r>
          <w:rPr>
            <w:rFonts w:ascii="arial" w:eastAsia="arial" w:hAnsi="arial" w:cs="arial"/>
            <w:b w:val="0"/>
            <w:i/>
            <w:strike w:val="0"/>
            <w:noProof w:val="0"/>
            <w:color w:val="0077CC"/>
            <w:position w:val="0"/>
            <w:sz w:val="20"/>
            <w:u w:val="single"/>
            <w:vertAlign w:val="baseline"/>
          </w:rPr>
          <w:t>, 421 U.S. at 219</w:t>
        </w:r>
      </w:hyperlink>
      <w:r>
        <w:rPr>
          <w:rFonts w:ascii="arial" w:eastAsia="arial" w:hAnsi="arial" w:cs="arial"/>
          <w:b w:val="0"/>
          <w:i w:val="0"/>
          <w:strike w:val="0"/>
          <w:noProof w:val="0"/>
          <w:color w:val="000000"/>
          <w:position w:val="0"/>
          <w:sz w:val="20"/>
          <w:u w:val="none"/>
          <w:vertAlign w:val="baseline"/>
        </w:rPr>
        <w:t xml:space="preserve"> (citing </w:t>
      </w:r>
      <w:hyperlink r:id="rId38" w:history="1">
        <w:r>
          <w:rPr>
            <w:rFonts w:ascii="arial" w:eastAsia="arial" w:hAnsi="arial" w:cs="arial"/>
            <w:b w:val="0"/>
            <w:i/>
            <w:strike w:val="0"/>
            <w:noProof w:val="0"/>
            <w:color w:val="0077CC"/>
            <w:position w:val="0"/>
            <w:sz w:val="20"/>
            <w:u w:val="single"/>
            <w:vertAlign w:val="baseline"/>
          </w:rPr>
          <w:t>Georgia v. Rachel</w:t>
        </w:r>
      </w:hyperlink>
      <w:hyperlink r:id="rId38" w:history="1">
        <w:r>
          <w:rPr>
            <w:rFonts w:ascii="arial" w:eastAsia="arial" w:hAnsi="arial" w:cs="arial"/>
            <w:b w:val="0"/>
            <w:i/>
            <w:strike w:val="0"/>
            <w:noProof w:val="0"/>
            <w:color w:val="0077CC"/>
            <w:position w:val="0"/>
            <w:sz w:val="20"/>
            <w:u w:val="single"/>
            <w:vertAlign w:val="baseline"/>
          </w:rPr>
          <w:t>, 384 U.S. 780, 803, 86 S. Ct. 1783, 16 L. Ed. 2d 925 (1966)</w:t>
        </w:r>
      </w:hyperlink>
      <w:r>
        <w:rPr>
          <w:rFonts w:ascii="arial" w:eastAsia="arial" w:hAnsi="arial" w:cs="arial"/>
          <w:b w:val="0"/>
          <w:i w:val="0"/>
          <w:strike w:val="0"/>
          <w:noProof w:val="0"/>
          <w:color w:val="000000"/>
          <w:position w:val="0"/>
          <w:sz w:val="20"/>
          <w:u w:val="none"/>
          <w:vertAlign w:val="baseline"/>
        </w:rPr>
        <w:t xml:space="preserve">. Here, Plaintiff has not alleged that he has been denied his civil rights in terms of racial equality, and </w:t>
      </w:r>
      <w:hyperlink r:id="rId31" w:history="1">
        <w:r>
          <w:rPr>
            <w:rFonts w:ascii="arial" w:eastAsia="arial" w:hAnsi="arial" w:cs="arial"/>
            <w:b w:val="0"/>
            <w:i/>
            <w:strike w:val="0"/>
            <w:noProof w:val="0"/>
            <w:color w:val="0077CC"/>
            <w:position w:val="0"/>
            <w:sz w:val="20"/>
            <w:u w:val="single"/>
            <w:vertAlign w:val="baseline"/>
          </w:rPr>
          <w:t>Section 1443(1)</w:t>
        </w:r>
      </w:hyperlink>
      <w:r>
        <w:rPr>
          <w:rFonts w:ascii="arial" w:eastAsia="arial" w:hAnsi="arial" w:cs="arial"/>
          <w:b w:val="0"/>
          <w:i w:val="0"/>
          <w:strike w:val="0"/>
          <w:noProof w:val="0"/>
          <w:color w:val="000000"/>
          <w:position w:val="0"/>
          <w:sz w:val="20"/>
          <w:u w:val="none"/>
          <w:vertAlign w:val="baseline"/>
        </w:rPr>
        <w:t xml:space="preserve"> does not serve to remedy "the violation of ... constitutional rights phrased in terms of general rights applicable to all citizens." </w:t>
      </w:r>
      <w:hyperlink r:id="rId39" w:history="1">
        <w:r>
          <w:rPr>
            <w:rFonts w:ascii="arial" w:eastAsia="arial" w:hAnsi="arial" w:cs="arial"/>
            <w:b w:val="0"/>
            <w:i/>
            <w:strike w:val="0"/>
            <w:noProof w:val="0"/>
            <w:color w:val="0077CC"/>
            <w:position w:val="0"/>
            <w:sz w:val="20"/>
            <w:u w:val="single"/>
            <w:vertAlign w:val="baseline"/>
          </w:rPr>
          <w:t>Pennsylvania v. Brown—Bey</w:t>
        </w:r>
      </w:hyperlink>
      <w:hyperlink r:id="rId39" w:history="1">
        <w:r>
          <w:rPr>
            <w:rFonts w:ascii="arial" w:eastAsia="arial" w:hAnsi="arial" w:cs="arial"/>
            <w:b w:val="0"/>
            <w:i/>
            <w:strike w:val="0"/>
            <w:noProof w:val="0"/>
            <w:color w:val="0077CC"/>
            <w:position w:val="0"/>
            <w:sz w:val="20"/>
            <w:u w:val="single"/>
            <w:vertAlign w:val="baseline"/>
          </w:rPr>
          <w:t>, 637 F. App'x 686, 688 (3d Cir.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40" w:history="1">
        <w:r>
          <w:rPr>
            <w:rFonts w:ascii="arial" w:eastAsia="arial" w:hAnsi="arial" w:cs="arial"/>
            <w:b w:val="0"/>
            <w:i/>
            <w:strike w:val="0"/>
            <w:noProof w:val="0"/>
            <w:color w:val="0077CC"/>
            <w:position w:val="0"/>
            <w:sz w:val="20"/>
            <w:u w:val="single"/>
            <w:vertAlign w:val="baseline"/>
          </w:rPr>
          <w:t>Dugas v. Hanover Cnty. Circuit Court</w:t>
        </w:r>
      </w:hyperlink>
      <w:hyperlink r:id="rId40" w:history="1">
        <w:r>
          <w:rPr>
            <w:rFonts w:ascii="arial" w:eastAsia="arial" w:hAnsi="arial" w:cs="arial"/>
            <w:b w:val="0"/>
            <w:i/>
            <w:strike w:val="0"/>
            <w:noProof w:val="0"/>
            <w:color w:val="0077CC"/>
            <w:position w:val="0"/>
            <w:sz w:val="20"/>
            <w:u w:val="single"/>
            <w:vertAlign w:val="baseline"/>
          </w:rPr>
          <w:t>, No. 3:08CV72, 2008 U.S. Dist. LEXIS 67644, 2008 WL 4153765, at *3 (E.D. Va. Sept. 5,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19"/>
      <w:bookmarkEnd w:id="45"/>
      <w:bookmarkStart w:id="46" w:name="Bookmark_I6BPDNMK28T4TW0010000400"/>
      <w:bookmarkEnd w:id="46"/>
      <w:r>
        <w:rPr>
          <w:rFonts w:ascii="arial" w:eastAsia="arial" w:hAnsi="arial" w:cs="arial"/>
          <w:b w:val="0"/>
          <w:i w:val="0"/>
          <w:strike w:val="0"/>
          <w:noProof w:val="0"/>
          <w:color w:val="000000"/>
          <w:position w:val="0"/>
          <w:sz w:val="20"/>
          <w:u w:val="none"/>
          <w:vertAlign w:val="baseline"/>
        </w:rPr>
        <w:t xml:space="preserve">Nor may Plaintiff assert a civil counterclaim or defense such as a constitutional claim brought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as part of a removed criminal case. </w:t>
      </w:r>
      <w:r>
        <w:rPr>
          <w:rFonts w:ascii="arial" w:eastAsia="arial" w:hAnsi="arial" w:cs="arial"/>
          <w:b w:val="0"/>
          <w:i/>
          <w:strike w:val="0"/>
          <w:noProof w:val="0"/>
          <w:color w:val="000000"/>
          <w:position w:val="0"/>
          <w:sz w:val="20"/>
          <w:u w:val="none"/>
          <w:vertAlign w:val="baseline"/>
        </w:rPr>
        <w:t xml:space="preserve">See </w:t>
      </w:r>
      <w:bookmarkStart w:id="47" w:name="Bookmark_I6BPDNMJ2HM6980050000400"/>
      <w:bookmarkEnd w:id="47"/>
      <w:hyperlink r:id="rId41" w:history="1">
        <w:r>
          <w:rPr>
            <w:rFonts w:ascii="arial" w:eastAsia="arial" w:hAnsi="arial" w:cs="arial"/>
            <w:b w:val="0"/>
            <w:i/>
            <w:strike w:val="0"/>
            <w:noProof w:val="0"/>
            <w:color w:val="0077CC"/>
            <w:position w:val="0"/>
            <w:sz w:val="20"/>
            <w:u w:val="single"/>
            <w:vertAlign w:val="baseline"/>
          </w:rPr>
          <w:t>Conn. v. Parks</w:t>
        </w:r>
      </w:hyperlink>
      <w:hyperlink r:id="rId41" w:history="1">
        <w:r>
          <w:rPr>
            <w:rFonts w:ascii="arial" w:eastAsia="arial" w:hAnsi="arial" w:cs="arial"/>
            <w:b w:val="0"/>
            <w:i/>
            <w:strike w:val="0"/>
            <w:noProof w:val="0"/>
            <w:color w:val="0077CC"/>
            <w:position w:val="0"/>
            <w:sz w:val="20"/>
            <w:u w:val="single"/>
            <w:vertAlign w:val="baseline"/>
          </w:rPr>
          <w:t>, No. CIV.A 3:09-R-1(JCH), 2009 U.S. Dist. LEXIS 93812, 2009 WL 3248654, at *2 (D. Conn. Oct. 5, 2009)</w:t>
        </w:r>
      </w:hyperlink>
      <w:r>
        <w:rPr>
          <w:rFonts w:ascii="arial" w:eastAsia="arial" w:hAnsi="arial" w:cs="arial"/>
          <w:b w:val="0"/>
          <w:i w:val="0"/>
          <w:strike w:val="0"/>
          <w:noProof w:val="0"/>
          <w:color w:val="000000"/>
          <w:position w:val="0"/>
          <w:sz w:val="20"/>
          <w:u w:val="none"/>
          <w:vertAlign w:val="baseline"/>
        </w:rPr>
        <w:t xml:space="preserve">; </w:t>
      </w:r>
      <w:bookmarkStart w:id="48" w:name="Bookmark_I6BPDNMK28T4TW0020000400"/>
      <w:bookmarkEnd w:id="48"/>
      <w:hyperlink r:id="rId28" w:history="1">
        <w:r>
          <w:rPr>
            <w:rFonts w:ascii="arial" w:eastAsia="arial" w:hAnsi="arial" w:cs="arial"/>
            <w:b w:val="0"/>
            <w:i/>
            <w:strike w:val="0"/>
            <w:noProof w:val="0"/>
            <w:color w:val="0077CC"/>
            <w:position w:val="0"/>
            <w:sz w:val="20"/>
            <w:u w:val="single"/>
            <w:vertAlign w:val="baseline"/>
          </w:rPr>
          <w:t>S. Carolina v. Guidetti</w:t>
        </w:r>
      </w:hyperlink>
      <w:hyperlink r:id="rId28" w:history="1">
        <w:r>
          <w:rPr>
            <w:rFonts w:ascii="arial" w:eastAsia="arial" w:hAnsi="arial" w:cs="arial"/>
            <w:b w:val="0"/>
            <w:i/>
            <w:strike w:val="0"/>
            <w:noProof w:val="0"/>
            <w:color w:val="0077CC"/>
            <w:position w:val="0"/>
            <w:sz w:val="20"/>
            <w:u w:val="single"/>
            <w:vertAlign w:val="baseline"/>
          </w:rPr>
          <w:t>, 2011 U.S. Dist. LEXIS 151115, 2011 WL 6979991 (D.S.C. Dec. 20,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49" w:name="Bookmark_I6BPDNMK28T4TW0040000400"/>
      <w:bookmarkEnd w:id="49"/>
      <w:hyperlink r:id="rId29" w:history="1">
        <w:r>
          <w:rPr>
            <w:rFonts w:ascii="arial" w:eastAsia="arial" w:hAnsi="arial" w:cs="arial"/>
            <w:b w:val="0"/>
            <w:i/>
            <w:strike w:val="0"/>
            <w:noProof w:val="0"/>
            <w:color w:val="0077CC"/>
            <w:position w:val="0"/>
            <w:sz w:val="20"/>
            <w:u w:val="single"/>
            <w:vertAlign w:val="baseline"/>
          </w:rPr>
          <w:t>2012 U.S. Dist. LEXIS 3159, 2012 WL 78793 (D.S.C. Jan. 10, 2012)</w:t>
        </w:r>
      </w:hyperlink>
      <w:r>
        <w:rPr>
          <w:rFonts w:ascii="arial" w:eastAsia="arial" w:hAnsi="arial" w:cs="arial"/>
          <w:b w:val="0"/>
          <w:i w:val="0"/>
          <w:strike w:val="0"/>
          <w:noProof w:val="0"/>
          <w:color w:val="000000"/>
          <w:position w:val="0"/>
          <w:sz w:val="20"/>
          <w:u w:val="none"/>
          <w:vertAlign w:val="baseline"/>
        </w:rPr>
        <w:t xml:space="preserve"> (remanding state criminal case and noting that the criminal defendant could not assert counterclaims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or any other statute as part of his traffic court case); </w:t>
      </w:r>
      <w:r>
        <w:rPr>
          <w:rFonts w:ascii="arial" w:eastAsia="arial" w:hAnsi="arial" w:cs="arial"/>
          <w:b w:val="0"/>
          <w:i/>
          <w:strike w:val="0"/>
          <w:noProof w:val="0"/>
          <w:color w:val="000000"/>
          <w:position w:val="0"/>
          <w:sz w:val="20"/>
          <w:u w:val="none"/>
          <w:vertAlign w:val="baseline"/>
        </w:rPr>
        <w:t xml:space="preserve">see also </w:t>
      </w:r>
      <w:bookmarkStart w:id="50" w:name="Bookmark_I6CVMFJV2D6NG40040000400"/>
      <w:bookmarkEnd w:id="50"/>
      <w:hyperlink r:id="rId42" w:history="1">
        <w:r>
          <w:rPr>
            <w:rFonts w:ascii="arial" w:eastAsia="arial" w:hAnsi="arial" w:cs="arial"/>
            <w:b w:val="0"/>
            <w:i/>
            <w:strike w:val="0"/>
            <w:noProof w:val="0"/>
            <w:color w:val="0077CC"/>
            <w:position w:val="0"/>
            <w:sz w:val="20"/>
            <w:u w:val="single"/>
            <w:vertAlign w:val="baseline"/>
          </w:rPr>
          <w:t>North Carolina v. El-Bey</w:t>
        </w:r>
      </w:hyperlink>
      <w:hyperlink r:id="rId42" w:history="1">
        <w:r>
          <w:rPr>
            <w:rFonts w:ascii="arial" w:eastAsia="arial" w:hAnsi="arial" w:cs="arial"/>
            <w:b w:val="0"/>
            <w:i/>
            <w:strike w:val="0"/>
            <w:noProof w:val="0"/>
            <w:color w:val="0077CC"/>
            <w:position w:val="0"/>
            <w:sz w:val="20"/>
            <w:u w:val="single"/>
            <w:vertAlign w:val="baseline"/>
          </w:rPr>
          <w:t>, No. 5:10-CV-246-FL, 2010 U.S. Dist. LEXIS 103798, 2010 WL 3860392 (E.D.N.C. Sept. 28, 2010)</w:t>
        </w:r>
      </w:hyperlink>
      <w:r>
        <w:rPr>
          <w:rFonts w:ascii="arial" w:eastAsia="arial" w:hAnsi="arial" w:cs="arial"/>
          <w:b w:val="0"/>
          <w:i w:val="0"/>
          <w:strike w:val="0"/>
          <w:noProof w:val="0"/>
          <w:color w:val="000000"/>
          <w:position w:val="0"/>
          <w:sz w:val="20"/>
          <w:u w:val="none"/>
          <w:vertAlign w:val="baseline"/>
        </w:rPr>
        <w:t xml:space="preserve"> (noting that the criminal defendant presumably sought removal of her criminal case because she intended to raise a federal defense that was not a proper basis for federal jurisdiction).</w:t>
      </w:r>
    </w:p>
    <w:p>
      <w:pPr>
        <w:keepNext w:val="0"/>
        <w:spacing w:before="200" w:after="0" w:line="260" w:lineRule="atLeast"/>
        <w:ind w:left="0" w:right="0" w:firstLine="0"/>
        <w:jc w:val="both"/>
      </w:pPr>
      <w:bookmarkStart w:id="51" w:name="Bookmark_para_20"/>
      <w:bookmarkEnd w:id="51"/>
      <w:r>
        <w:rPr>
          <w:rFonts w:ascii="arial" w:eastAsia="arial" w:hAnsi="arial" w:cs="arial"/>
          <w:b w:val="0"/>
          <w:i w:val="0"/>
          <w:strike w:val="0"/>
          <w:noProof w:val="0"/>
          <w:color w:val="000000"/>
          <w:position w:val="0"/>
          <w:sz w:val="20"/>
          <w:u w:val="none"/>
          <w:vertAlign w:val="baseline"/>
        </w:rPr>
        <w:t xml:space="preserve">Additionally, to the extent Plaintiff may instead be attempting to remove his criminal case pursuant to </w:t>
      </w:r>
      <w:hyperlink r:id="rId43" w:history="1">
        <w:r>
          <w:rPr>
            <w:rFonts w:ascii="arial" w:eastAsia="arial" w:hAnsi="arial" w:cs="arial"/>
            <w:b w:val="0"/>
            <w:i/>
            <w:strike w:val="0"/>
            <w:noProof w:val="0"/>
            <w:color w:val="0077CC"/>
            <w:position w:val="0"/>
            <w:sz w:val="20"/>
            <w:u w:val="single"/>
            <w:vertAlign w:val="baseline"/>
          </w:rPr>
          <w:t>28 U.S.C. § 1441</w:t>
        </w:r>
      </w:hyperlink>
      <w:r>
        <w:rPr>
          <w:rFonts w:ascii="arial" w:eastAsia="arial" w:hAnsi="arial" w:cs="arial"/>
          <w:b w:val="0"/>
          <w:i w:val="0"/>
          <w:strike w:val="0"/>
          <w:noProof w:val="0"/>
          <w:color w:val="000000"/>
          <w:position w:val="0"/>
          <w:sz w:val="20"/>
          <w:u w:val="none"/>
          <w:vertAlign w:val="baseline"/>
        </w:rPr>
        <w:t xml:space="preserve"> based on federal question or diversity jurisdiction pursuant to </w:t>
      </w:r>
      <w:hyperlink r:id="rId44"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or </w:t>
      </w:r>
      <w:hyperlink r:id="rId45" w:history="1">
        <w:r>
          <w:rPr>
            <w:rFonts w:ascii="arial" w:eastAsia="arial" w:hAnsi="arial" w:cs="arial"/>
            <w:b w:val="0"/>
            <w:i/>
            <w:strike w:val="0"/>
            <w:noProof w:val="0"/>
            <w:color w:val="0077CC"/>
            <w:position w:val="0"/>
            <w:sz w:val="20"/>
            <w:u w:val="single"/>
            <w:vertAlign w:val="baseline"/>
          </w:rPr>
          <w:t>1332</w:t>
        </w:r>
      </w:hyperlink>
      <w:r>
        <w:rPr>
          <w:rFonts w:ascii="arial" w:eastAsia="arial" w:hAnsi="arial" w:cs="arial"/>
          <w:b w:val="0"/>
          <w:i w:val="0"/>
          <w:strike w:val="0"/>
          <w:noProof w:val="0"/>
          <w:color w:val="000000"/>
          <w:position w:val="0"/>
          <w:sz w:val="20"/>
          <w:u w:val="none"/>
          <w:vertAlign w:val="baseline"/>
        </w:rPr>
        <w:t xml:space="preserve">, he cannot do so, as </w:t>
      </w:r>
      <w:hyperlink r:id="rId43" w:history="1">
        <w:r>
          <w:rPr>
            <w:rFonts w:ascii="arial" w:eastAsia="arial" w:hAnsi="arial" w:cs="arial"/>
            <w:b w:val="0"/>
            <w:i/>
            <w:strike w:val="0"/>
            <w:noProof w:val="0"/>
            <w:color w:val="0077CC"/>
            <w:position w:val="0"/>
            <w:sz w:val="20"/>
            <w:u w:val="single"/>
            <w:vertAlign w:val="baseline"/>
          </w:rPr>
          <w:t>§ 1441</w:t>
        </w:r>
      </w:hyperlink>
      <w:r>
        <w:rPr>
          <w:rFonts w:ascii="arial" w:eastAsia="arial" w:hAnsi="arial" w:cs="arial"/>
          <w:b w:val="0"/>
          <w:i w:val="0"/>
          <w:strike w:val="0"/>
          <w:noProof w:val="0"/>
          <w:color w:val="000000"/>
          <w:position w:val="0"/>
          <w:sz w:val="20"/>
          <w:u w:val="none"/>
          <w:vertAlign w:val="baseline"/>
        </w:rPr>
        <w:t xml:space="preserve"> only applies to the removal of civil cases. </w:t>
      </w:r>
      <w:hyperlink r:id="rId43" w:history="1">
        <w:r>
          <w:rPr>
            <w:rFonts w:ascii="arial" w:eastAsia="arial" w:hAnsi="arial" w:cs="arial"/>
            <w:b w:val="0"/>
            <w:i/>
            <w:strike w:val="0"/>
            <w:noProof w:val="0"/>
            <w:color w:val="0077CC"/>
            <w:position w:val="0"/>
            <w:sz w:val="20"/>
            <w:u w:val="single"/>
            <w:vertAlign w:val="baseline"/>
          </w:rPr>
          <w:t>28 U.S.C. § 1441(a)</w:t>
        </w:r>
      </w:hyperlink>
      <w:r>
        <w:rPr>
          <w:rFonts w:ascii="arial" w:eastAsia="arial" w:hAnsi="arial" w:cs="arial"/>
          <w:b w:val="0"/>
          <w:i w:val="0"/>
          <w:strike w:val="0"/>
          <w:noProof w:val="0"/>
          <w:color w:val="000000"/>
          <w:position w:val="0"/>
          <w:sz w:val="20"/>
          <w:u w:val="none"/>
          <w:vertAlign w:val="baseline"/>
        </w:rPr>
        <w:t xml:space="preserve"> ("Except as otherwise expressly provided by Act of Congress, any </w:t>
      </w:r>
      <w:r>
        <w:rPr>
          <w:rFonts w:ascii="arial" w:eastAsia="arial" w:hAnsi="arial" w:cs="arial"/>
          <w:b/>
          <w:i w:val="0"/>
          <w:strike w:val="0"/>
          <w:noProof w:val="0"/>
          <w:color w:val="000000"/>
          <w:position w:val="0"/>
          <w:sz w:val="20"/>
          <w:u w:val="none"/>
          <w:vertAlign w:val="baseline"/>
        </w:rPr>
        <w:t>civil</w:t>
      </w:r>
      <w:r>
        <w:rPr>
          <w:rFonts w:ascii="arial" w:eastAsia="arial" w:hAnsi="arial" w:cs="arial"/>
          <w:b w:val="0"/>
          <w:i w:val="0"/>
          <w:strike w:val="0"/>
          <w:noProof w:val="0"/>
          <w:color w:val="000000"/>
          <w:position w:val="0"/>
          <w:sz w:val="20"/>
          <w:u w:val="none"/>
          <w:vertAlign w:val="baseline"/>
        </w:rPr>
        <w:t xml:space="preserve"> action brought in a State court of which the district courts of the United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States have original jurisdiction, may be removed by the defendant or the defendants, to the district court of the United States for the district and division embracing the place where such action is pending.") (emphasis added). Additionally, the federal question statute applies to civil cases. </w:t>
      </w:r>
      <w:hyperlink r:id="rId44"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("The district courts shall have original jurisdiction of all </w:t>
      </w:r>
      <w:r>
        <w:rPr>
          <w:rFonts w:ascii="arial" w:eastAsia="arial" w:hAnsi="arial" w:cs="arial"/>
          <w:b/>
          <w:i w:val="0"/>
          <w:strike w:val="0"/>
          <w:noProof w:val="0"/>
          <w:color w:val="000000"/>
          <w:position w:val="0"/>
          <w:sz w:val="20"/>
          <w:u w:val="none"/>
          <w:vertAlign w:val="baseline"/>
        </w:rPr>
        <w:t>civil</w:t>
      </w:r>
      <w:r>
        <w:rPr>
          <w:rFonts w:ascii="arial" w:eastAsia="arial" w:hAnsi="arial" w:cs="arial"/>
          <w:b w:val="0"/>
          <w:i w:val="0"/>
          <w:strike w:val="0"/>
          <w:noProof w:val="0"/>
          <w:color w:val="000000"/>
          <w:position w:val="0"/>
          <w:sz w:val="20"/>
          <w:u w:val="none"/>
          <w:vertAlign w:val="baseline"/>
        </w:rPr>
        <w:t xml:space="preserve"> actions arising under the Constitution, laws, or treaties of the United States.") (emphasis added).</w:t>
      </w:r>
    </w:p>
    <w:p>
      <w:pPr>
        <w:keepNext w:val="0"/>
        <w:spacing w:before="240" w:after="0" w:line="260" w:lineRule="atLeast"/>
        <w:ind w:left="0" w:right="0" w:firstLine="0"/>
        <w:jc w:val="both"/>
      </w:pPr>
      <w:bookmarkStart w:id="52" w:name="Bookmark_para_21"/>
      <w:bookmarkEnd w:id="52"/>
      <w:r>
        <w:rPr>
          <w:rFonts w:ascii="arial" w:eastAsia="arial" w:hAnsi="arial" w:cs="arial"/>
          <w:b w:val="0"/>
          <w:i w:val="0"/>
          <w:strike w:val="0"/>
          <w:noProof w:val="0"/>
          <w:color w:val="000000"/>
          <w:position w:val="0"/>
          <w:sz w:val="20"/>
          <w:u w:val="none"/>
          <w:vertAlign w:val="baseline"/>
        </w:rPr>
        <w:t xml:space="preserve">Plaintiff does not appear to be asserting diversity jurisdiction and even if he does, the diversity statute does not apply to criminal actions.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28 U.S.C. § 1332</w:t>
        </w:r>
      </w:hyperlink>
      <w:r>
        <w:rPr>
          <w:rFonts w:ascii="arial" w:eastAsia="arial" w:hAnsi="arial" w:cs="arial"/>
          <w:b w:val="0"/>
          <w:i w:val="0"/>
          <w:strike w:val="0"/>
          <w:noProof w:val="0"/>
          <w:color w:val="000000"/>
          <w:position w:val="0"/>
          <w:sz w:val="20"/>
          <w:u w:val="none"/>
          <w:vertAlign w:val="baseline"/>
        </w:rPr>
        <w:t xml:space="preserve"> ("The district court shall have original jurisdiction of all </w:t>
      </w:r>
      <w:r>
        <w:rPr>
          <w:rFonts w:ascii="arial" w:eastAsia="arial" w:hAnsi="arial" w:cs="arial"/>
          <w:b/>
          <w:i w:val="0"/>
          <w:strike w:val="0"/>
          <w:noProof w:val="0"/>
          <w:color w:val="000000"/>
          <w:position w:val="0"/>
          <w:sz w:val="20"/>
          <w:u w:val="none"/>
          <w:vertAlign w:val="baseline"/>
        </w:rPr>
        <w:t>civil</w:t>
      </w:r>
      <w:r>
        <w:rPr>
          <w:rFonts w:ascii="arial" w:eastAsia="arial" w:hAnsi="arial" w:cs="arial"/>
          <w:b w:val="0"/>
          <w:i w:val="0"/>
          <w:strike w:val="0"/>
          <w:noProof w:val="0"/>
          <w:color w:val="000000"/>
          <w:position w:val="0"/>
          <w:sz w:val="20"/>
          <w:u w:val="none"/>
          <w:vertAlign w:val="baseline"/>
        </w:rPr>
        <w:t xml:space="preserve"> actions where the matter in controversy exceeds the sum or value of $75,000, exclusive of interest and cost, and is between—(1) citizens of different States; [or] (2) citizens of a State and citizens or subjects of a foreign state....") (emphasis added). Again, the case Plaintiff may be attempting to remove is a criminal, not a civil, action. Moreover, diversity of citizenship is lacking because Plaintiff (the defendant in the criminal action) is a citizen of the state in which the action was brought (South Carolina).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28 U.S.C. § 1441(b)(2)</w:t>
        </w:r>
      </w:hyperlink>
      <w:r>
        <w:rPr>
          <w:rFonts w:ascii="arial" w:eastAsia="arial" w:hAnsi="arial" w:cs="arial"/>
          <w:b w:val="0"/>
          <w:i w:val="0"/>
          <w:strike w:val="0"/>
          <w:noProof w:val="0"/>
          <w:color w:val="000000"/>
          <w:position w:val="0"/>
          <w:sz w:val="20"/>
          <w:u w:val="none"/>
          <w:vertAlign w:val="baseline"/>
        </w:rPr>
        <w:t xml:space="preserve"> ("A civil action otherwise removable solely on the basis of the jurisdiction under </w:t>
      </w:r>
      <w:hyperlink r:id="rId45" w:history="1">
        <w:r>
          <w:rPr>
            <w:rFonts w:ascii="arial" w:eastAsia="arial" w:hAnsi="arial" w:cs="arial"/>
            <w:b w:val="0"/>
            <w:i/>
            <w:strike w:val="0"/>
            <w:noProof w:val="0"/>
            <w:color w:val="0077CC"/>
            <w:position w:val="0"/>
            <w:sz w:val="20"/>
            <w:u w:val="single"/>
            <w:vertAlign w:val="baseline"/>
          </w:rPr>
          <w:t>section 1332(a)</w:t>
        </w:r>
      </w:hyperlink>
      <w:r>
        <w:rPr>
          <w:rFonts w:ascii="arial" w:eastAsia="arial" w:hAnsi="arial" w:cs="arial"/>
          <w:b w:val="0"/>
          <w:i w:val="0"/>
          <w:strike w:val="0"/>
          <w:noProof w:val="0"/>
          <w:color w:val="000000"/>
          <w:position w:val="0"/>
          <w:sz w:val="20"/>
          <w:u w:val="none"/>
          <w:vertAlign w:val="baseline"/>
        </w:rPr>
        <w:t xml:space="preserve"> of this title may not be removed if any of the parties in interest properly joined and served as defendants is a citizen of the State in which such action is brought.").</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single"/>
          <w:vertAlign w:val="baseline"/>
        </w:rPr>
        <w:t xml:space="preserve"> Claims</w:t>
      </w:r>
    </w:p>
    <w:p>
      <w:pPr>
        <w:keepNext w:val="0"/>
        <w:spacing w:before="240" w:after="0" w:line="260" w:lineRule="atLeast"/>
        <w:ind w:left="0" w:right="0" w:firstLine="0"/>
        <w:jc w:val="both"/>
      </w:pPr>
      <w:bookmarkStart w:id="53" w:name="Bookmark_para_22"/>
      <w:bookmarkEnd w:id="53"/>
      <w:r>
        <w:rPr>
          <w:rFonts w:ascii="arial" w:eastAsia="arial" w:hAnsi="arial" w:cs="arial"/>
          <w:b w:val="0"/>
          <w:i w:val="0"/>
          <w:strike w:val="0"/>
          <w:noProof w:val="0"/>
          <w:color w:val="000000"/>
          <w:position w:val="0"/>
          <w:sz w:val="20"/>
          <w:u w:val="none"/>
          <w:vertAlign w:val="baseline"/>
        </w:rPr>
        <w:t xml:space="preserve">To the extent Plaintiff is not attempting to remove his criminal case, but instead is attempting to bring claims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this case should be summarily dismissed for lack of jurisdiction. Even if Plaintiff can establish jurisdiction, he fails to state a claim.</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Lack of Jurisdiction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54" w:name="Bookmark_para_23"/>
      <w:bookmarkEnd w:id="54"/>
      <w:r>
        <w:rPr>
          <w:rFonts w:ascii="arial" w:eastAsia="arial" w:hAnsi="arial" w:cs="arial"/>
          <w:b w:val="0"/>
          <w:i w:val="0"/>
          <w:strike w:val="0"/>
          <w:noProof w:val="0"/>
          <w:color w:val="000000"/>
          <w:position w:val="0"/>
          <w:sz w:val="20"/>
          <w:u w:val="none"/>
          <w:vertAlign w:val="baseline"/>
        </w:rPr>
        <w:t xml:space="preserve">To the extent Plaintiff is attempting to assert a claim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this case should be summarily dismissed because Plaintiff fails to state a claim which this Court may consider under its federal question jurisdiction,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or its diversity jurisdiction,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28 U.S.C. § 1332</w:t>
        </w:r>
      </w:hyperlink>
      <w:r>
        <w:rPr>
          <w:rFonts w:ascii="arial" w:eastAsia="arial" w:hAnsi="arial" w:cs="arial"/>
          <w:b w:val="0"/>
          <w:i w:val="0"/>
          <w:strike w:val="0"/>
          <w:noProof w:val="0"/>
          <w:color w:val="000000"/>
          <w:position w:val="0"/>
          <w:sz w:val="20"/>
          <w:u w:val="none"/>
          <w:vertAlign w:val="baseline"/>
        </w:rPr>
        <w:t xml:space="preserve">. Plaintiff appears to be attempting to assert federal question jurisdiction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which "'is not itself a source of substantive rights,' but merely provides 'a method for vindicating federal rights elsewhere conferred.'" </w:t>
      </w:r>
      <w:hyperlink r:id="rId46" w:history="1">
        <w:r>
          <w:rPr>
            <w:rFonts w:ascii="arial" w:eastAsia="arial" w:hAnsi="arial" w:cs="arial"/>
            <w:b w:val="0"/>
            <w:i/>
            <w:strike w:val="0"/>
            <w:noProof w:val="0"/>
            <w:color w:val="0077CC"/>
            <w:position w:val="0"/>
            <w:sz w:val="20"/>
            <w:u w:val="single"/>
            <w:vertAlign w:val="baseline"/>
          </w:rPr>
          <w:t>Albright v. Oliver</w:t>
        </w:r>
      </w:hyperlink>
      <w:hyperlink r:id="rId46" w:history="1">
        <w:r>
          <w:rPr>
            <w:rFonts w:ascii="arial" w:eastAsia="arial" w:hAnsi="arial" w:cs="arial"/>
            <w:b w:val="0"/>
            <w:i/>
            <w:strike w:val="0"/>
            <w:noProof w:val="0"/>
            <w:color w:val="0077CC"/>
            <w:position w:val="0"/>
            <w:sz w:val="20"/>
            <w:u w:val="single"/>
            <w:vertAlign w:val="baseline"/>
          </w:rPr>
          <w:t>, 510 U.S. 266, 271, 114 S. Ct. 807, 127 L. Ed. 2d 114 (1994)</w:t>
        </w:r>
      </w:hyperlink>
      <w:r>
        <w:rPr>
          <w:rFonts w:ascii="arial" w:eastAsia="arial" w:hAnsi="arial" w:cs="arial"/>
          <w:b w:val="0"/>
          <w:i w:val="0"/>
          <w:strike w:val="0"/>
          <w:noProof w:val="0"/>
          <w:color w:val="000000"/>
          <w:position w:val="0"/>
          <w:sz w:val="20"/>
          <w:u w:val="none"/>
          <w:vertAlign w:val="baseline"/>
        </w:rPr>
        <w:t xml:space="preserve"> (quoting </w:t>
      </w:r>
      <w:hyperlink r:id="rId47" w:history="1">
        <w:r>
          <w:rPr>
            <w:rFonts w:ascii="arial" w:eastAsia="arial" w:hAnsi="arial" w:cs="arial"/>
            <w:b w:val="0"/>
            <w:i/>
            <w:strike w:val="0"/>
            <w:noProof w:val="0"/>
            <w:color w:val="0077CC"/>
            <w:position w:val="0"/>
            <w:sz w:val="20"/>
            <w:u w:val="single"/>
            <w:vertAlign w:val="baseline"/>
          </w:rPr>
          <w:t>Baker v. McCollan</w:t>
        </w:r>
      </w:hyperlink>
      <w:hyperlink r:id="rId47" w:history="1">
        <w:r>
          <w:rPr>
            <w:rFonts w:ascii="arial" w:eastAsia="arial" w:hAnsi="arial" w:cs="arial"/>
            <w:b w:val="0"/>
            <w:i/>
            <w:strike w:val="0"/>
            <w:noProof w:val="0"/>
            <w:color w:val="0077CC"/>
            <w:position w:val="0"/>
            <w:sz w:val="20"/>
            <w:u w:val="single"/>
            <w:vertAlign w:val="baseline"/>
          </w:rPr>
          <w:t>, 443 U.S. 137, 144 n. 3, 99 S. Ct. 2689, 61 L. Ed. 2d 433 (1979)</w:t>
        </w:r>
      </w:hyperlink>
      <w:r>
        <w:rPr>
          <w:rFonts w:ascii="arial" w:eastAsia="arial" w:hAnsi="arial" w:cs="arial"/>
          <w:b w:val="0"/>
          <w:i w:val="0"/>
          <w:strike w:val="0"/>
          <w:noProof w:val="0"/>
          <w:color w:val="000000"/>
          <w:position w:val="0"/>
          <w:sz w:val="20"/>
          <w:u w:val="none"/>
          <w:vertAlign w:val="baseline"/>
        </w:rPr>
        <w:t xml:space="preserve">). A civil action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"creates a private right of action to vindicate violations of 'rights, privileges, or immunities secured by the Constitution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laws' of the United States," </w:t>
      </w:r>
      <w:hyperlink r:id="rId48" w:history="1">
        <w:r>
          <w:rPr>
            <w:rFonts w:ascii="arial" w:eastAsia="arial" w:hAnsi="arial" w:cs="arial"/>
            <w:b w:val="0"/>
            <w:i/>
            <w:strike w:val="0"/>
            <w:noProof w:val="0"/>
            <w:color w:val="0077CC"/>
            <w:position w:val="0"/>
            <w:sz w:val="20"/>
            <w:u w:val="single"/>
            <w:vertAlign w:val="baseline"/>
          </w:rPr>
          <w:t>Rehberg v. Paulk</w:t>
        </w:r>
      </w:hyperlink>
      <w:hyperlink r:id="rId48" w:history="1">
        <w:r>
          <w:rPr>
            <w:rFonts w:ascii="arial" w:eastAsia="arial" w:hAnsi="arial" w:cs="arial"/>
            <w:b w:val="0"/>
            <w:i/>
            <w:strike w:val="0"/>
            <w:noProof w:val="0"/>
            <w:color w:val="0077CC"/>
            <w:position w:val="0"/>
            <w:sz w:val="20"/>
            <w:u w:val="single"/>
            <w:vertAlign w:val="baseline"/>
          </w:rPr>
          <w:t>, 566 U.S. 356, 361, 132 S. Ct. 1497, 182 L. Ed. 2d 593 (2012)</w:t>
        </w:r>
      </w:hyperlink>
      <w:r>
        <w:rPr>
          <w:rFonts w:ascii="arial" w:eastAsia="arial" w:hAnsi="arial" w:cs="arial"/>
          <w:b w:val="0"/>
          <w:i w:val="0"/>
          <w:strike w:val="0"/>
          <w:noProof w:val="0"/>
          <w:color w:val="000000"/>
          <w:position w:val="0"/>
          <w:sz w:val="20"/>
          <w:u w:val="none"/>
          <w:vertAlign w:val="baseline"/>
        </w:rPr>
        <w:t xml:space="preserve">. To state a claim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must allege two essential elements: (1) that a right secured by the Constitution or laws of the United States was violated, and (2) that the alleged violation was committed by a person acting under the color of state law. </w:t>
      </w:r>
      <w:hyperlink r:id="rId49" w:history="1">
        <w:r>
          <w:rPr>
            <w:rFonts w:ascii="arial" w:eastAsia="arial" w:hAnsi="arial" w:cs="arial"/>
            <w:b w:val="0"/>
            <w:i/>
            <w:strike w:val="0"/>
            <w:noProof w:val="0"/>
            <w:color w:val="0077CC"/>
            <w:position w:val="0"/>
            <w:sz w:val="20"/>
            <w:u w:val="single"/>
            <w:vertAlign w:val="baseline"/>
          </w:rPr>
          <w:t>West v. Atkins</w:t>
        </w:r>
      </w:hyperlink>
      <w:hyperlink r:id="rId49"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 Here, Plaintiff fails to allege that any of his constitutional or statutory rights were violated. In response to the question on the Complaint form asking what federal constitutional or statutory rights are being violated, Plaintiff merely listed a case name. ECF No. 1 at 3. Additionally, there is no diversity jurisdiction as all parties appear to be South Carolina citizens.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Failure to State a Claim</w:t>
      </w:r>
    </w:p>
    <w:p>
      <w:pPr>
        <w:keepNext w:val="0"/>
        <w:spacing w:before="240" w:after="0" w:line="260" w:lineRule="atLeast"/>
        <w:ind w:left="0" w:right="0" w:firstLine="0"/>
        <w:jc w:val="both"/>
      </w:pPr>
      <w:bookmarkStart w:id="55" w:name="Bookmark_para_24"/>
      <w:bookmarkEnd w:id="55"/>
      <w:r>
        <w:rPr>
          <w:rFonts w:ascii="arial" w:eastAsia="arial" w:hAnsi="arial" w:cs="arial"/>
          <w:b w:val="0"/>
          <w:i w:val="0"/>
          <w:strike w:val="0"/>
          <w:noProof w:val="0"/>
          <w:color w:val="000000"/>
          <w:position w:val="0"/>
          <w:sz w:val="20"/>
          <w:u w:val="none"/>
          <w:vertAlign w:val="baseline"/>
        </w:rPr>
        <w:t xml:space="preserve">Even if Plaintiff can establish jurisdiction, his case should be summarily dismissed because he fails to state a claim against any of the Defendants. Although Plaintiff lists the names of the Defendants (Cox and Tyner) in the caption of his Complaint, his pleadings fail to provide any specific facts to support a claim that these Defendants violated his federal constitutional or statutory rights. </w:t>
      </w:r>
      <w:r>
        <w:rPr>
          <w:rFonts w:ascii="arial" w:eastAsia="arial" w:hAnsi="arial" w:cs="arial"/>
          <w:b w:val="0"/>
          <w:i/>
          <w:strike w:val="0"/>
          <w:noProof w:val="0"/>
          <w:color w:val="000000"/>
          <w:position w:val="0"/>
          <w:sz w:val="20"/>
          <w:u w:val="none"/>
          <w:vertAlign w:val="baseline"/>
        </w:rPr>
        <w:t xml:space="preserve">See </w:t>
      </w:r>
      <w:hyperlink r:id="rId50" w:history="1">
        <w:r>
          <w:rPr>
            <w:rFonts w:ascii="arial" w:eastAsia="arial" w:hAnsi="arial" w:cs="arial"/>
            <w:b w:val="0"/>
            <w:i/>
            <w:strike w:val="0"/>
            <w:noProof w:val="0"/>
            <w:color w:val="0077CC"/>
            <w:position w:val="0"/>
            <w:sz w:val="20"/>
            <w:u w:val="single"/>
            <w:vertAlign w:val="baseline"/>
          </w:rPr>
          <w:t>Bell Atl. Corp. v. Twombly</w:t>
        </w:r>
      </w:hyperlink>
      <w:hyperlink r:id="rId50"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(requiring, in order to avoid dismissal, "'a short and plain statement of the claim showing that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pleader is entitled to relief,' in order to 'give the defendant fair notice of what the ... claim is and the grounds upon which it rests'" (quoting </w:t>
      </w:r>
      <w:hyperlink r:id="rId21"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Although the "liberal pleading requirements" of </w:t>
      </w:r>
      <w:hyperlink r:id="rId21" w:history="1">
        <w:r>
          <w:rPr>
            <w:rFonts w:ascii="arial" w:eastAsia="arial" w:hAnsi="arial" w:cs="arial"/>
            <w:b w:val="0"/>
            <w:i/>
            <w:strike w:val="0"/>
            <w:noProof w:val="0"/>
            <w:color w:val="0077CC"/>
            <w:position w:val="0"/>
            <w:sz w:val="20"/>
            <w:u w:val="single"/>
            <w:vertAlign w:val="baseline"/>
          </w:rPr>
          <w:t>Rule 8(a)</w:t>
        </w:r>
      </w:hyperlink>
      <w:r>
        <w:rPr>
          <w:rFonts w:ascii="arial" w:eastAsia="arial" w:hAnsi="arial" w:cs="arial"/>
          <w:b w:val="0"/>
          <w:i w:val="0"/>
          <w:strike w:val="0"/>
          <w:noProof w:val="0"/>
          <w:color w:val="000000"/>
          <w:position w:val="0"/>
          <w:sz w:val="20"/>
          <w:u w:val="none"/>
          <w:vertAlign w:val="baseline"/>
        </w:rPr>
        <w:t xml:space="preserve"> only require a "short and plain" statement of the claim, a plaintiff must "offer more detail ... than the bald statement that he has a valid claim of some type against the defendant." </w:t>
      </w:r>
      <w:hyperlink r:id="rId51" w:history="1">
        <w:r>
          <w:rPr>
            <w:rFonts w:ascii="arial" w:eastAsia="arial" w:hAnsi="arial" w:cs="arial"/>
            <w:b w:val="0"/>
            <w:i/>
            <w:strike w:val="0"/>
            <w:noProof w:val="0"/>
            <w:color w:val="0077CC"/>
            <w:position w:val="0"/>
            <w:sz w:val="20"/>
            <w:u w:val="single"/>
            <w:vertAlign w:val="baseline"/>
          </w:rPr>
          <w:t>Trulock v. Freeh</w:t>
        </w:r>
      </w:hyperlink>
      <w:hyperlink r:id="rId51" w:history="1">
        <w:r>
          <w:rPr>
            <w:rFonts w:ascii="arial" w:eastAsia="arial" w:hAnsi="arial" w:cs="arial"/>
            <w:b w:val="0"/>
            <w:i/>
            <w:strike w:val="0"/>
            <w:noProof w:val="0"/>
            <w:color w:val="0077CC"/>
            <w:position w:val="0"/>
            <w:sz w:val="20"/>
            <w:u w:val="single"/>
            <w:vertAlign w:val="baseline"/>
          </w:rPr>
          <w:t>, 275 F.3d 391, 405 (4th Cir. 2001)</w:t>
        </w:r>
      </w:hyperlink>
      <w:r>
        <w:rPr>
          <w:rFonts w:ascii="arial" w:eastAsia="arial" w:hAnsi="arial" w:cs="arial"/>
          <w:b w:val="0"/>
          <w:i w:val="0"/>
          <w:strike w:val="0"/>
          <w:noProof w:val="0"/>
          <w:color w:val="000000"/>
          <w:position w:val="0"/>
          <w:sz w:val="20"/>
          <w:u w:val="none"/>
          <w:vertAlign w:val="baseline"/>
        </w:rPr>
        <w:t xml:space="preserve"> (internal citations omitted); </w:t>
      </w:r>
      <w:r>
        <w:rPr>
          <w:rFonts w:ascii="arial" w:eastAsia="arial" w:hAnsi="arial" w:cs="arial"/>
          <w:b w:val="0"/>
          <w:i/>
          <w:strike w:val="0"/>
          <w:noProof w:val="0"/>
          <w:color w:val="000000"/>
          <w:position w:val="0"/>
          <w:sz w:val="20"/>
          <w:u w:val="none"/>
          <w:vertAlign w:val="baseline"/>
        </w:rPr>
        <w:t xml:space="preserve">see also </w:t>
      </w:r>
      <w:hyperlink r:id="rId52" w:history="1">
        <w:r>
          <w:rPr>
            <w:rFonts w:ascii="arial" w:eastAsia="arial" w:hAnsi="arial" w:cs="arial"/>
            <w:b w:val="0"/>
            <w:i/>
            <w:strike w:val="0"/>
            <w:noProof w:val="0"/>
            <w:color w:val="0077CC"/>
            <w:position w:val="0"/>
            <w:sz w:val="20"/>
            <w:u w:val="single"/>
            <w:vertAlign w:val="baseline"/>
          </w:rPr>
          <w:t>White v. White</w:t>
        </w:r>
      </w:hyperlink>
      <w:hyperlink r:id="rId52" w:history="1">
        <w:r>
          <w:rPr>
            <w:rFonts w:ascii="arial" w:eastAsia="arial" w:hAnsi="arial" w:cs="arial"/>
            <w:b w:val="0"/>
            <w:i/>
            <w:strike w:val="0"/>
            <w:noProof w:val="0"/>
            <w:color w:val="0077CC"/>
            <w:position w:val="0"/>
            <w:sz w:val="20"/>
            <w:u w:val="single"/>
            <w:vertAlign w:val="baseline"/>
          </w:rPr>
          <w:t>, 886 F.2d 721, 723 (4th Cir. 1989)</w:t>
        </w:r>
      </w:hyperlink>
      <w:r>
        <w:rPr>
          <w:rFonts w:ascii="arial" w:eastAsia="arial" w:hAnsi="arial" w:cs="arial"/>
          <w:b w:val="0"/>
          <w:i w:val="0"/>
          <w:strike w:val="0"/>
          <w:noProof w:val="0"/>
          <w:color w:val="000000"/>
          <w:position w:val="0"/>
          <w:sz w:val="20"/>
          <w:u w:val="none"/>
          <w:vertAlign w:val="baseline"/>
        </w:rPr>
        <w:t xml:space="preserve"> (district court did not abuse discretion by dismissing plaintiff's complaint which "failed to contain any factual allegations tending to support his bare assertion").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Defendant Cox/Quasi-Judicial Immunity</w:t>
      </w:r>
    </w:p>
    <w:p>
      <w:pPr>
        <w:keepNext w:val="0"/>
        <w:spacing w:before="200" w:after="0" w:line="260" w:lineRule="atLeast"/>
        <w:ind w:left="0" w:right="0" w:firstLine="0"/>
        <w:jc w:val="both"/>
      </w:pPr>
      <w:bookmarkStart w:id="56" w:name="Bookmark_para_25"/>
      <w:bookmarkEnd w:id="56"/>
      <w:r>
        <w:rPr>
          <w:rFonts w:ascii="arial" w:eastAsia="arial" w:hAnsi="arial" w:cs="arial"/>
          <w:b w:val="0"/>
          <w:i w:val="0"/>
          <w:strike w:val="0"/>
          <w:noProof w:val="0"/>
          <w:color w:val="000000"/>
          <w:position w:val="0"/>
          <w:sz w:val="20"/>
          <w:u w:val="none"/>
          <w:vertAlign w:val="baseline"/>
        </w:rPr>
        <w:t xml:space="preserve">Additionally, to the extent Plaintiff is attempting to bring claims against Defendant Cox based on her role as the clerk of court, she is entitled to quasi-judicial immunity. </w:t>
      </w:r>
      <w:r>
        <w:rPr>
          <w:rFonts w:ascii="arial" w:eastAsia="arial" w:hAnsi="arial" w:cs="arial"/>
          <w:b w:val="0"/>
          <w:i/>
          <w:strike w:val="0"/>
          <w:noProof w:val="0"/>
          <w:color w:val="000000"/>
          <w:position w:val="0"/>
          <w:sz w:val="20"/>
          <w:u w:val="none"/>
          <w:vertAlign w:val="baseline"/>
        </w:rPr>
        <w:t xml:space="preserve">See </w:t>
      </w:r>
      <w:hyperlink r:id="rId53" w:history="1">
        <w:r>
          <w:rPr>
            <w:rFonts w:ascii="arial" w:eastAsia="arial" w:hAnsi="arial" w:cs="arial"/>
            <w:b w:val="0"/>
            <w:i/>
            <w:strike w:val="0"/>
            <w:noProof w:val="0"/>
            <w:color w:val="0077CC"/>
            <w:position w:val="0"/>
            <w:sz w:val="20"/>
            <w:u w:val="single"/>
            <w:vertAlign w:val="baseline"/>
          </w:rPr>
          <w:t>Briscoe v. LaHue</w:t>
        </w:r>
      </w:hyperlink>
      <w:hyperlink r:id="rId53" w:history="1">
        <w:r>
          <w:rPr>
            <w:rFonts w:ascii="arial" w:eastAsia="arial" w:hAnsi="arial" w:cs="arial"/>
            <w:b w:val="0"/>
            <w:i/>
            <w:strike w:val="0"/>
            <w:noProof w:val="0"/>
            <w:color w:val="0077CC"/>
            <w:position w:val="0"/>
            <w:sz w:val="20"/>
            <w:u w:val="single"/>
            <w:vertAlign w:val="baseline"/>
          </w:rPr>
          <w:t>, 460 U.S. 325, 334-35, 103 S. Ct. 1108, 75 L. Ed. 2d 96 (1983)</w:t>
        </w:r>
      </w:hyperlink>
      <w:r>
        <w:rPr>
          <w:rFonts w:ascii="arial" w:eastAsia="arial" w:hAnsi="arial" w:cs="arial"/>
          <w:b w:val="0"/>
          <w:i w:val="0"/>
          <w:strike w:val="0"/>
          <w:noProof w:val="0"/>
          <w:color w:val="000000"/>
          <w:position w:val="0"/>
          <w:sz w:val="20"/>
          <w:u w:val="none"/>
          <w:vertAlign w:val="baseline"/>
        </w:rPr>
        <w:t xml:space="preserve"> (noting that quasi-judicial immunity accorded to individuals who play integral part in judicial process); </w:t>
      </w:r>
      <w:hyperlink r:id="rId54" w:history="1">
        <w:r>
          <w:rPr>
            <w:rFonts w:ascii="arial" w:eastAsia="arial" w:hAnsi="arial" w:cs="arial"/>
            <w:b w:val="0"/>
            <w:i/>
            <w:strike w:val="0"/>
            <w:noProof w:val="0"/>
            <w:color w:val="0077CC"/>
            <w:position w:val="0"/>
            <w:sz w:val="20"/>
            <w:u w:val="single"/>
            <w:vertAlign w:val="baseline"/>
          </w:rPr>
          <w:t>Johnson v. Turner</w:t>
        </w:r>
      </w:hyperlink>
      <w:hyperlink r:id="rId54" w:history="1">
        <w:r>
          <w:rPr>
            <w:rFonts w:ascii="arial" w:eastAsia="arial" w:hAnsi="arial" w:cs="arial"/>
            <w:b w:val="0"/>
            <w:i/>
            <w:strike w:val="0"/>
            <w:noProof w:val="0"/>
            <w:color w:val="0077CC"/>
            <w:position w:val="0"/>
            <w:sz w:val="20"/>
            <w:u w:val="single"/>
            <w:vertAlign w:val="baseline"/>
          </w:rPr>
          <w:t>, 125 F.3d 324, 332 (6th Cir. 1997)</w:t>
        </w:r>
      </w:hyperlink>
      <w:r>
        <w:rPr>
          <w:rFonts w:ascii="arial" w:eastAsia="arial" w:hAnsi="arial" w:cs="arial"/>
          <w:b w:val="0"/>
          <w:i w:val="0"/>
          <w:strike w:val="0"/>
          <w:noProof w:val="0"/>
          <w:color w:val="000000"/>
          <w:position w:val="0"/>
          <w:sz w:val="20"/>
          <w:u w:val="none"/>
          <w:vertAlign w:val="baseline"/>
        </w:rPr>
        <w:t xml:space="preserve"> (finding clerk's office employees, acting as a judge's designee, are entitled to quasi-judicial immunity). [C]ourt clerks enjoy derivative absolute judicial immunity when they act in obedience to a judicial order or under the court's direction. </w:t>
      </w:r>
      <w:hyperlink r:id="rId55" w:history="1">
        <w:r>
          <w:rPr>
            <w:rFonts w:ascii="arial" w:eastAsia="arial" w:hAnsi="arial" w:cs="arial"/>
            <w:b w:val="0"/>
            <w:i/>
            <w:strike w:val="0"/>
            <w:noProof w:val="0"/>
            <w:color w:val="0077CC"/>
            <w:position w:val="0"/>
            <w:sz w:val="20"/>
            <w:u w:val="single"/>
            <w:vertAlign w:val="baseline"/>
          </w:rPr>
          <w:t>McCray v. Maryland</w:t>
        </w:r>
      </w:hyperlink>
      <w:hyperlink r:id="rId55" w:history="1">
        <w:r>
          <w:rPr>
            <w:rFonts w:ascii="arial" w:eastAsia="arial" w:hAnsi="arial" w:cs="arial"/>
            <w:b w:val="0"/>
            <w:i/>
            <w:strike w:val="0"/>
            <w:noProof w:val="0"/>
            <w:color w:val="0077CC"/>
            <w:position w:val="0"/>
            <w:sz w:val="20"/>
            <w:u w:val="single"/>
            <w:vertAlign w:val="baseline"/>
          </w:rPr>
          <w:t>, 456 F.2d 1, 5 (4th Cir. 1972)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6" w:history="1">
        <w:r>
          <w:rPr>
            <w:rFonts w:ascii="arial" w:eastAsia="arial" w:hAnsi="arial" w:cs="arial"/>
            <w:b w:val="0"/>
            <w:i/>
            <w:strike w:val="0"/>
            <w:noProof w:val="0"/>
            <w:color w:val="0077CC"/>
            <w:position w:val="0"/>
            <w:sz w:val="20"/>
            <w:u w:val="single"/>
            <w:vertAlign w:val="baseline"/>
          </w:rPr>
          <w:t>Pink v. Lester</w:t>
        </w:r>
      </w:hyperlink>
      <w:hyperlink r:id="rId56" w:history="1">
        <w:r>
          <w:rPr>
            <w:rFonts w:ascii="arial" w:eastAsia="arial" w:hAnsi="arial" w:cs="arial"/>
            <w:b w:val="0"/>
            <w:i/>
            <w:strike w:val="0"/>
            <w:noProof w:val="0"/>
            <w:color w:val="0077CC"/>
            <w:position w:val="0"/>
            <w:sz w:val="20"/>
            <w:u w:val="single"/>
            <w:vertAlign w:val="baseline"/>
          </w:rPr>
          <w:t>, 52 F.3d 73, 78 (4th Cir. 1995)</w:t>
        </w:r>
      </w:hyperlink>
      <w:r>
        <w:rPr>
          <w:rFonts w:ascii="arial" w:eastAsia="arial" w:hAnsi="arial" w:cs="arial"/>
          <w:b w:val="0"/>
          <w:i w:val="0"/>
          <w:strike w:val="0"/>
          <w:noProof w:val="0"/>
          <w:color w:val="000000"/>
          <w:position w:val="0"/>
          <w:sz w:val="20"/>
          <w:u w:val="none"/>
          <w:vertAlign w:val="baseline"/>
        </w:rPr>
        <w:t xml:space="preserve"> (holding that causes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action against clerks of court for negligent conduct impeding access to the courts cannot survive).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4. No Intervention in Pending Criminal Case/</w:t>
      </w:r>
      <w:r>
        <w:rPr>
          <w:rFonts w:ascii="arial" w:eastAsia="arial" w:hAnsi="arial" w:cs="arial"/>
          <w:b w:val="0"/>
          <w:i/>
          <w:strike w:val="0"/>
          <w:noProof w:val="0"/>
          <w:color w:val="000000"/>
          <w:position w:val="0"/>
          <w:sz w:val="20"/>
          <w:u w:val="none"/>
          <w:vertAlign w:val="baseline"/>
        </w:rPr>
        <w:t>Younger v. Harris</w:t>
      </w:r>
    </w:p>
    <w:p>
      <w:pPr>
        <w:keepNext w:val="0"/>
        <w:spacing w:before="240" w:after="0" w:line="260" w:lineRule="atLeast"/>
        <w:ind w:left="0" w:right="0" w:firstLine="0"/>
        <w:jc w:val="both"/>
      </w:pPr>
      <w:bookmarkStart w:id="57" w:name="Bookmark_para_26"/>
      <w:bookmarkEnd w:id="57"/>
      <w:r>
        <w:rPr>
          <w:rFonts w:ascii="arial" w:eastAsia="arial" w:hAnsi="arial" w:cs="arial"/>
          <w:b w:val="0"/>
          <w:i w:val="0"/>
          <w:strike w:val="0"/>
          <w:noProof w:val="0"/>
          <w:color w:val="000000"/>
          <w:position w:val="0"/>
          <w:sz w:val="20"/>
          <w:u w:val="none"/>
          <w:vertAlign w:val="baseline"/>
        </w:rPr>
        <w:t xml:space="preserve">Additionally, Plaintiff's request that this Court intervene in his pending criminal case is subject to summary dismissal. Federal courts, absent extraordinary circumstances, are not authorized to interfere with a State's pending criminal proceedings. </w:t>
      </w:r>
      <w:r>
        <w:rPr>
          <w:rFonts w:ascii="arial" w:eastAsia="arial" w:hAnsi="arial" w:cs="arial"/>
          <w:b w:val="0"/>
          <w:i/>
          <w:strike w:val="0"/>
          <w:noProof w:val="0"/>
          <w:color w:val="000000"/>
          <w:position w:val="0"/>
          <w:sz w:val="20"/>
          <w:u w:val="none"/>
          <w:vertAlign w:val="baseline"/>
        </w:rPr>
        <w:t xml:space="preserve">See, e.g., </w:t>
      </w:r>
      <w:hyperlink r:id="rId57" w:history="1">
        <w:r>
          <w:rPr>
            <w:rFonts w:ascii="arial" w:eastAsia="arial" w:hAnsi="arial" w:cs="arial"/>
            <w:b w:val="0"/>
            <w:i/>
            <w:strike w:val="0"/>
            <w:noProof w:val="0"/>
            <w:color w:val="0077CC"/>
            <w:position w:val="0"/>
            <w:sz w:val="20"/>
            <w:u w:val="single"/>
            <w:vertAlign w:val="baseline"/>
          </w:rPr>
          <w:t>Younger v. Harris</w:t>
        </w:r>
      </w:hyperlink>
      <w:hyperlink r:id="rId57" w:history="1">
        <w:r>
          <w:rPr>
            <w:rFonts w:ascii="arial" w:eastAsia="arial" w:hAnsi="arial" w:cs="arial"/>
            <w:b w:val="0"/>
            <w:i/>
            <w:strike w:val="0"/>
            <w:noProof w:val="0"/>
            <w:color w:val="0077CC"/>
            <w:position w:val="0"/>
            <w:sz w:val="20"/>
            <w:u w:val="single"/>
            <w:vertAlign w:val="baseline"/>
          </w:rPr>
          <w:t>, 401 U.S. 37, 44, 91 S. Ct. 746, 27 L. Ed. 2d 669 (1971)</w:t>
        </w:r>
      </w:hyperlink>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Cinema Blue of Charlotte, Inc. v. Gilchrist</w:t>
        </w:r>
      </w:hyperlink>
      <w:hyperlink r:id="rId58" w:history="1">
        <w:r>
          <w:rPr>
            <w:rFonts w:ascii="arial" w:eastAsia="arial" w:hAnsi="arial" w:cs="arial"/>
            <w:b w:val="0"/>
            <w:i/>
            <w:strike w:val="0"/>
            <w:noProof w:val="0"/>
            <w:color w:val="0077CC"/>
            <w:position w:val="0"/>
            <w:sz w:val="20"/>
            <w:u w:val="single"/>
            <w:vertAlign w:val="baseline"/>
          </w:rPr>
          <w:t>, 887 F.2d 49, 50-53 (4th Cir. 1989)</w:t>
        </w:r>
      </w:hyperlink>
      <w:r>
        <w:rPr>
          <w:rFonts w:ascii="arial" w:eastAsia="arial" w:hAnsi="arial" w:cs="arial"/>
          <w:b w:val="0"/>
          <w:i w:val="0"/>
          <w:strike w:val="0"/>
          <w:noProof w:val="0"/>
          <w:color w:val="000000"/>
          <w:position w:val="0"/>
          <w:sz w:val="20"/>
          <w:u w:val="none"/>
          <w:vertAlign w:val="baseline"/>
        </w:rPr>
        <w:t xml:space="preserve">. Specifically, the </w:t>
      </w:r>
      <w:hyperlink r:id="rId57" w:history="1">
        <w:r>
          <w:rPr>
            <w:rFonts w:ascii="arial" w:eastAsia="arial" w:hAnsi="arial" w:cs="arial"/>
            <w:b w:val="0"/>
            <w:i/>
            <w:strike w:val="0"/>
            <w:noProof w:val="0"/>
            <w:color w:val="0077CC"/>
            <w:position w:val="0"/>
            <w:sz w:val="20"/>
            <w:u w:val="single"/>
            <w:vertAlign w:val="baseline"/>
          </w:rPr>
          <w:t>Younger</w:t>
        </w:r>
      </w:hyperlink>
      <w:r>
        <w:rPr>
          <w:rFonts w:ascii="arial" w:eastAsia="arial" w:hAnsi="arial" w:cs="arial"/>
          <w:b w:val="0"/>
          <w:i w:val="0"/>
          <w:strike w:val="0"/>
          <w:noProof w:val="0"/>
          <w:color w:val="000000"/>
          <w:position w:val="0"/>
          <w:sz w:val="20"/>
          <w:u w:val="none"/>
          <w:vertAlign w:val="baseline"/>
        </w:rPr>
        <w:t xml:space="preserve"> Court noted that courts of equity should not act unless the moving party has no adequate remedy at law and will suffer irreparable injury if denied equitable relief. </w:t>
      </w:r>
      <w:hyperlink r:id="rId57" w:history="1">
        <w:r>
          <w:rPr>
            <w:rFonts w:ascii="arial" w:eastAsia="arial" w:hAnsi="arial" w:cs="arial"/>
            <w:b w:val="0"/>
            <w:i/>
            <w:strike w:val="0"/>
            <w:noProof w:val="0"/>
            <w:color w:val="0077CC"/>
            <w:position w:val="0"/>
            <w:sz w:val="20"/>
            <w:u w:val="single"/>
            <w:vertAlign w:val="baseline"/>
          </w:rPr>
          <w:t>Younger</w:t>
        </w:r>
      </w:hyperlink>
      <w:hyperlink r:id="rId57" w:history="1">
        <w:r>
          <w:rPr>
            <w:rFonts w:ascii="arial" w:eastAsia="arial" w:hAnsi="arial" w:cs="arial"/>
            <w:b w:val="0"/>
            <w:i/>
            <w:strike w:val="0"/>
            <w:noProof w:val="0"/>
            <w:color w:val="0077CC"/>
            <w:position w:val="0"/>
            <w:sz w:val="20"/>
            <w:u w:val="single"/>
            <w:vertAlign w:val="baseline"/>
          </w:rPr>
          <w:t>, 401 U.S. at 43-44</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Failure to Bring Case into Proper Form</w:t>
      </w:r>
    </w:p>
    <w:p>
      <w:pPr>
        <w:keepNext w:val="0"/>
        <w:spacing w:before="200" w:after="0" w:line="260" w:lineRule="atLeast"/>
        <w:ind w:left="0" w:right="0" w:firstLine="0"/>
        <w:jc w:val="both"/>
      </w:pPr>
      <w:bookmarkStart w:id="58" w:name="Bookmark_para_27"/>
      <w:bookmarkEnd w:id="58"/>
      <w:r>
        <w:rPr>
          <w:rFonts w:ascii="arial" w:eastAsia="arial" w:hAnsi="arial" w:cs="arial"/>
          <w:b w:val="0"/>
          <w:i w:val="0"/>
          <w:strike w:val="0"/>
          <w:noProof w:val="0"/>
          <w:color w:val="000000"/>
          <w:position w:val="0"/>
          <w:sz w:val="20"/>
          <w:u w:val="none"/>
          <w:vertAlign w:val="baseline"/>
        </w:rPr>
        <w:t xml:space="preserve">Additionally, it should be noted that Plaintiff has failed to bring this case into proper form. In the Court's Proper Form Order, Plaintiff was given the opportunity to bring his case into proper form by providing a fully completed and signed Financial Certificate and submitting a summons form listing every Defendant named in this matter. Plaintiff was warned that failure to provide the necessary information within the timetable set forth in the Order would subject the case to dismissal.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w:t>
      </w:r>
    </w:p>
    <w:p>
      <w:pPr>
        <w:keepNext w:val="0"/>
        <w:spacing w:before="240" w:after="0" w:line="260" w:lineRule="atLeast"/>
        <w:ind w:left="0" w:right="0" w:firstLine="0"/>
        <w:jc w:val="both"/>
      </w:pPr>
      <w:bookmarkStart w:id="59" w:name="Bookmark_para_28"/>
      <w:bookmarkEnd w:id="59"/>
      <w:r>
        <w:rPr>
          <w:rFonts w:ascii="arial" w:eastAsia="arial" w:hAnsi="arial" w:cs="arial"/>
          <w:b w:val="0"/>
          <w:i w:val="0"/>
          <w:strike w:val="0"/>
          <w:noProof w:val="0"/>
          <w:color w:val="000000"/>
          <w:position w:val="0"/>
          <w:sz w:val="20"/>
          <w:u w:val="none"/>
          <w:vertAlign w:val="baseline"/>
        </w:rPr>
        <w:t>The time to bring this case into proper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form has now lapsed, and Plaintiff has failed to provide the required items to bring his case into proper form and has failed to contact the court in any way. Thus, in the alternative, it is recommended that this action be dismissed in accordance with </w:t>
      </w:r>
      <w:hyperlink r:id="rId22" w:history="1">
        <w:r>
          <w:rPr>
            <w:rFonts w:ascii="arial" w:eastAsia="arial" w:hAnsi="arial" w:cs="arial"/>
            <w:b w:val="0"/>
            <w:i/>
            <w:strike w:val="0"/>
            <w:noProof w:val="0"/>
            <w:color w:val="0077CC"/>
            <w:position w:val="0"/>
            <w:sz w:val="20"/>
            <w:u w:val="single"/>
            <w:vertAlign w:val="baseline"/>
          </w:rPr>
          <w:t>Fed. R. Civ. P. 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59" w:history="1">
        <w:r>
          <w:rPr>
            <w:rFonts w:ascii="arial" w:eastAsia="arial" w:hAnsi="arial" w:cs="arial"/>
            <w:b w:val="0"/>
            <w:i/>
            <w:strike w:val="0"/>
            <w:noProof w:val="0"/>
            <w:color w:val="0077CC"/>
            <w:position w:val="0"/>
            <w:sz w:val="20"/>
            <w:u w:val="single"/>
            <w:vertAlign w:val="baseline"/>
          </w:rPr>
          <w:t>Link v. Wabash R.R. Co.</w:t>
        </w:r>
      </w:hyperlink>
      <w:hyperlink r:id="rId59" w:history="1">
        <w:r>
          <w:rPr>
            <w:rFonts w:ascii="arial" w:eastAsia="arial" w:hAnsi="arial" w:cs="arial"/>
            <w:b w:val="0"/>
            <w:i/>
            <w:strike w:val="0"/>
            <w:noProof w:val="0"/>
            <w:color w:val="0077CC"/>
            <w:position w:val="0"/>
            <w:sz w:val="20"/>
            <w:u w:val="single"/>
            <w:vertAlign w:val="baseline"/>
          </w:rPr>
          <w:t>, 370 U.S. 626, 82 S. Ct. 1386, 8 L. Ed. 2d 734 (1962)</w:t>
        </w:r>
      </w:hyperlink>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Ballard v. Carlson</w:t>
        </w:r>
      </w:hyperlink>
      <w:hyperlink r:id="rId60" w:history="1">
        <w:r>
          <w:rPr>
            <w:rFonts w:ascii="arial" w:eastAsia="arial" w:hAnsi="arial" w:cs="arial"/>
            <w:b w:val="0"/>
            <w:i/>
            <w:strike w:val="0"/>
            <w:noProof w:val="0"/>
            <w:color w:val="0077CC"/>
            <w:position w:val="0"/>
            <w:sz w:val="20"/>
            <w:u w:val="single"/>
            <w:vertAlign w:val="baseline"/>
          </w:rPr>
          <w:t>, 882 F.2d 93, 95-96 (4th Cir. 1989)</w:t>
        </w:r>
      </w:hyperlink>
      <w:r>
        <w:rPr>
          <w:rFonts w:ascii="arial" w:eastAsia="arial" w:hAnsi="arial" w:cs="arial"/>
          <w:b w:val="0"/>
          <w:i w:val="0"/>
          <w:strike w:val="0"/>
          <w:noProof w:val="0"/>
          <w:color w:val="000000"/>
          <w:position w:val="0"/>
          <w:sz w:val="20"/>
          <w:u w:val="none"/>
          <w:vertAlign w:val="baseline"/>
        </w:rPr>
        <w:t xml:space="preserve"> (holding that district court's dismissal following an explicit and reasonable warning was not an abuse of discretion).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60" w:name="Bookmark_para_29"/>
      <w:bookmarkEnd w:id="60"/>
      <w:r>
        <w:rPr>
          <w:rFonts w:ascii="arial" w:eastAsia="arial" w:hAnsi="arial" w:cs="arial"/>
          <w:b w:val="0"/>
          <w:i w:val="0"/>
          <w:strike w:val="0"/>
          <w:noProof w:val="0"/>
          <w:color w:val="000000"/>
          <w:position w:val="0"/>
          <w:sz w:val="20"/>
          <w:u w:val="none"/>
          <w:vertAlign w:val="baseline"/>
        </w:rPr>
        <w:t>Based on the foregoing, it is recommended that the Court dismiss this action without prejudice, without leave to amend,</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and without issuance and service of process.</w:t>
      </w:r>
    </w:p>
    <w:p>
      <w:pPr>
        <w:keepNext w:val="0"/>
        <w:spacing w:before="200" w:after="0" w:line="260" w:lineRule="atLeast"/>
        <w:ind w:left="0" w:right="0" w:firstLine="0"/>
        <w:jc w:val="both"/>
      </w:pPr>
      <w:bookmarkStart w:id="62" w:name="Bookmark_para_30"/>
      <w:bookmarkEnd w:id="62"/>
      <w:r>
        <w:rPr>
          <w:rFonts w:ascii="arial" w:eastAsia="arial" w:hAnsi="arial" w:cs="arial"/>
          <w:b/>
          <w:i w:val="0"/>
          <w:strike w:val="0"/>
          <w:noProof w:val="0"/>
          <w:color w:val="000000"/>
          <w:position w:val="0"/>
          <w:sz w:val="20"/>
          <w:u w:val="none"/>
          <w:vertAlign w:val="baseline"/>
        </w:rPr>
        <w:t>Plaintiff's attention is directed to the important notice on the following page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 w:name="Bookmark_para_31"/>
      <w:bookmarkEnd w:id="63"/>
      <w:r>
        <w:rPr>
          <w:rFonts w:ascii="arial" w:eastAsia="arial" w:hAnsi="arial" w:cs="arial"/>
          <w:b w:val="0"/>
          <w:i w:val="0"/>
          <w:strike w:val="0"/>
          <w:noProof w:val="0"/>
          <w:color w:val="000000"/>
          <w:position w:val="0"/>
          <w:sz w:val="20"/>
          <w:u w:val="none"/>
          <w:vertAlign w:val="baseline"/>
        </w:rPr>
        <w:t>/s/ Molly H. Cherry</w:t>
      </w:r>
    </w:p>
    <w:p>
      <w:pPr>
        <w:keepNext w:val="0"/>
        <w:spacing w:before="200" w:after="0" w:line="260" w:lineRule="atLeast"/>
        <w:ind w:left="0" w:right="0" w:firstLine="0"/>
        <w:jc w:val="both"/>
      </w:pPr>
      <w:bookmarkStart w:id="64" w:name="Bookmark_para_32"/>
      <w:bookmarkEnd w:id="64"/>
      <w:r>
        <w:rPr>
          <w:rFonts w:ascii="arial" w:eastAsia="arial" w:hAnsi="arial" w:cs="arial"/>
          <w:b w:val="0"/>
          <w:i w:val="0"/>
          <w:strike w:val="0"/>
          <w:noProof w:val="0"/>
          <w:color w:val="000000"/>
          <w:position w:val="0"/>
          <w:sz w:val="20"/>
          <w:u w:val="none"/>
          <w:vertAlign w:val="baseline"/>
        </w:rPr>
        <w:t>Molly H. Cherry</w:t>
      </w:r>
    </w:p>
    <w:p>
      <w:pPr>
        <w:keepNext w:val="0"/>
        <w:spacing w:before="200" w:after="0" w:line="260" w:lineRule="atLeast"/>
        <w:ind w:left="0" w:right="0" w:firstLine="0"/>
        <w:jc w:val="both"/>
      </w:pPr>
      <w:bookmarkStart w:id="65" w:name="Bookmark_para_33"/>
      <w:bookmarkEnd w:id="65"/>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00" w:after="0" w:line="260" w:lineRule="atLeast"/>
        <w:ind w:left="0" w:right="0" w:firstLine="0"/>
        <w:jc w:val="both"/>
      </w:pPr>
      <w:bookmarkStart w:id="66" w:name="Bookmark_para_34"/>
      <w:bookmarkEnd w:id="66"/>
      <w:r>
        <w:rPr>
          <w:rFonts w:ascii="arial" w:eastAsia="arial" w:hAnsi="arial" w:cs="arial"/>
          <w:b w:val="0"/>
          <w:i w:val="0"/>
          <w:strike w:val="0"/>
          <w:noProof w:val="0"/>
          <w:color w:val="000000"/>
          <w:position w:val="0"/>
          <w:sz w:val="20"/>
          <w:u w:val="none"/>
          <w:vertAlign w:val="baseline"/>
        </w:rPr>
        <w:t>October 25, 2023</w:t>
      </w:r>
    </w:p>
    <w:p>
      <w:pPr>
        <w:keepNext w:val="0"/>
        <w:spacing w:before="200" w:after="0" w:line="260" w:lineRule="atLeast"/>
        <w:ind w:left="0" w:right="0" w:firstLine="0"/>
        <w:jc w:val="both"/>
      </w:pPr>
      <w:bookmarkStart w:id="67" w:name="Bookmark_para_35"/>
      <w:bookmarkEnd w:id="67"/>
      <w:r>
        <w:rPr>
          <w:rFonts w:ascii="arial" w:eastAsia="arial" w:hAnsi="arial" w:cs="arial"/>
          <w:b w:val="0"/>
          <w:i w:val="0"/>
          <w:strike w:val="0"/>
          <w:noProof w:val="0"/>
          <w:color w:val="000000"/>
          <w:position w:val="0"/>
          <w:sz w:val="20"/>
          <w:u w:val="none"/>
          <w:vertAlign w:val="baseline"/>
        </w:rPr>
        <w:t>Charleston, South Carolina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This Court may take judicial notice of factual information located in postings on government websites. </w:t>
      </w:r>
      <w:r>
        <w:rPr>
          <w:rFonts w:ascii="arial" w:eastAsia="arial" w:hAnsi="arial" w:cs="arial"/>
          <w:b w:val="0"/>
          <w:i/>
          <w:strike w:val="0"/>
          <w:noProof w:val="0"/>
          <w:color w:val="000000"/>
          <w:position w:val="0"/>
          <w:sz w:val="18"/>
          <w:u w:val="none"/>
          <w:vertAlign w:val="baseline"/>
        </w:rPr>
        <w:t xml:space="preserve">See </w:t>
      </w:r>
      <w:bookmarkStart w:id="12" w:name="Bookmark_I6BPDNM52N1PX50010000400"/>
      <w:bookmarkEnd w:id="12"/>
      <w:hyperlink r:id="rId1" w:history="1">
        <w:r>
          <w:rPr>
            <w:rFonts w:ascii="arial" w:eastAsia="arial" w:hAnsi="arial" w:cs="arial"/>
            <w:b w:val="0"/>
            <w:i/>
            <w:strike w:val="0"/>
            <w:noProof w:val="0"/>
            <w:color w:val="0077CC"/>
            <w:position w:val="0"/>
            <w:sz w:val="18"/>
            <w:u w:val="single"/>
            <w:vertAlign w:val="baseline"/>
          </w:rPr>
          <w:t>Tisdale v. S. Carolina Highway Patrol</w:t>
        </w:r>
      </w:hyperlink>
      <w:hyperlink r:id="rId1" w:history="1">
        <w:r>
          <w:rPr>
            <w:rFonts w:ascii="arial" w:eastAsia="arial" w:hAnsi="arial" w:cs="arial"/>
            <w:b w:val="0"/>
            <w:i/>
            <w:strike w:val="0"/>
            <w:noProof w:val="0"/>
            <w:color w:val="0077CC"/>
            <w:position w:val="0"/>
            <w:sz w:val="18"/>
            <w:u w:val="single"/>
            <w:vertAlign w:val="baseline"/>
          </w:rPr>
          <w:t>, No. 0:09-1009-HFF—PJG, 2009 U.S. Dist. LEXIS 44963, 2009 WL 1491409, at *1 n. 1 (D.S.C. May 27, 2009)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aff'd</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347 F. App'x 965 (4th Cir. 2009)</w:t>
        </w:r>
      </w:hyperlink>
      <w:r>
        <w:rPr>
          <w:rFonts w:ascii="arial" w:eastAsia="arial" w:hAnsi="arial" w:cs="arial"/>
          <w:b w:val="0"/>
          <w:i w:val="0"/>
          <w:strike w:val="0"/>
          <w:noProof w:val="0"/>
          <w:color w:val="000000"/>
          <w:position w:val="0"/>
          <w:sz w:val="18"/>
          <w:u w:val="none"/>
          <w:vertAlign w:val="baseline"/>
        </w:rPr>
        <w:t xml:space="preserve">; </w:t>
      </w:r>
      <w:bookmarkStart w:id="13" w:name="Bookmark_I6CVMFJT2N1RCD0010000400"/>
      <w:bookmarkEnd w:id="13"/>
      <w:hyperlink r:id="rId3" w:history="1">
        <w:r>
          <w:rPr>
            <w:rFonts w:ascii="arial" w:eastAsia="arial" w:hAnsi="arial" w:cs="arial"/>
            <w:b w:val="0"/>
            <w:i/>
            <w:strike w:val="0"/>
            <w:noProof w:val="0"/>
            <w:color w:val="0077CC"/>
            <w:position w:val="0"/>
            <w:sz w:val="18"/>
            <w:u w:val="single"/>
            <w:vertAlign w:val="baseline"/>
          </w:rPr>
          <w:t>In re Katrina Canal Breaches Consol. Litig.</w:t>
        </w:r>
      </w:hyperlink>
      <w:hyperlink r:id="rId3" w:history="1">
        <w:r>
          <w:rPr>
            <w:rFonts w:ascii="arial" w:eastAsia="arial" w:hAnsi="arial" w:cs="arial"/>
            <w:b w:val="0"/>
            <w:i/>
            <w:strike w:val="0"/>
            <w:noProof w:val="0"/>
            <w:color w:val="0077CC"/>
            <w:position w:val="0"/>
            <w:sz w:val="18"/>
            <w:u w:val="single"/>
            <w:vertAlign w:val="baseline"/>
          </w:rPr>
          <w:t>, No. 05-4182, 2008 U.S. Dist. LEXIS 86538, 2008 WL 4185869, at * 2 (E.D. La. Sept. 8, 2008)</w:t>
        </w:r>
      </w:hyperlink>
      <w:r>
        <w:rPr>
          <w:rFonts w:ascii="arial" w:eastAsia="arial" w:hAnsi="arial" w:cs="arial"/>
          <w:b w:val="0"/>
          <w:i w:val="0"/>
          <w:strike w:val="0"/>
          <w:noProof w:val="0"/>
          <w:color w:val="000000"/>
          <w:position w:val="0"/>
          <w:sz w:val="18"/>
          <w:u w:val="none"/>
          <w:vertAlign w:val="baseline"/>
        </w:rPr>
        <w:t xml:space="preserve"> (noting that courts may take judicial notice of governmental websites including other courts' records).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 xml:space="preserve">Plaintiff has also checked a box on the Complaint form stating he is bringing claims under </w:t>
      </w:r>
      <w:hyperlink r:id="rId4" w:history="1">
        <w:r>
          <w:rPr>
            <w:rFonts w:ascii="arial" w:eastAsia="arial" w:hAnsi="arial" w:cs="arial"/>
            <w:b w:val="0"/>
            <w:i/>
            <w:strike w:val="0"/>
            <w:noProof w:val="0"/>
            <w:color w:val="0077CC"/>
            <w:position w:val="0"/>
            <w:sz w:val="18"/>
            <w:u w:val="single"/>
            <w:vertAlign w:val="baseline"/>
          </w:rPr>
          <w:t>Bivens v. Six Unknown Named Agents of Federal Bureau of Narcotics</w:t>
        </w:r>
      </w:hyperlink>
      <w:hyperlink r:id="rId4" w:history="1">
        <w:r>
          <w:rPr>
            <w:rFonts w:ascii="arial" w:eastAsia="arial" w:hAnsi="arial" w:cs="arial"/>
            <w:b w:val="0"/>
            <w:i/>
            <w:strike w:val="0"/>
            <w:noProof w:val="0"/>
            <w:color w:val="0077CC"/>
            <w:position w:val="0"/>
            <w:sz w:val="18"/>
            <w:u w:val="single"/>
            <w:vertAlign w:val="baseline"/>
          </w:rPr>
          <w:t>, 403 U.S. 388, 91 S. Ct. 1999, 29 L. Ed. 2d 619 (1971)</w:t>
        </w:r>
      </w:hyperlink>
      <w:r>
        <w:rPr>
          <w:rFonts w:ascii="arial" w:eastAsia="arial" w:hAnsi="arial" w:cs="arial"/>
          <w:b w:val="0"/>
          <w:i w:val="0"/>
          <w:strike w:val="0"/>
          <w:noProof w:val="0"/>
          <w:color w:val="000000"/>
          <w:position w:val="0"/>
          <w:sz w:val="18"/>
          <w:u w:val="none"/>
          <w:vertAlign w:val="baseline"/>
        </w:rPr>
        <w:t xml:space="preserve"> against federal officials. ECF No. 1 at 3. However, he has not brought any claims against federal officials.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 w:name="Bookmark_fnpara_3"/>
      <w:bookmarkEnd w:id="20"/>
      <w:r>
        <w:rPr>
          <w:rFonts w:ascii="arial" w:eastAsia="arial" w:hAnsi="arial" w:cs="arial"/>
          <w:b w:val="0"/>
          <w:i w:val="0"/>
          <w:strike w:val="0"/>
          <w:noProof w:val="0"/>
          <w:color w:val="000000"/>
          <w:position w:val="0"/>
          <w:sz w:val="18"/>
          <w:u w:val="none"/>
          <w:vertAlign w:val="baseline"/>
        </w:rPr>
        <w:t>This rule provides:</w:t>
      </w:r>
    </w:p>
    <w:p>
      <w:pPr>
        <w:keepNext w:val="0"/>
        <w:spacing w:before="120" w:after="0" w:line="240" w:lineRule="atLeast"/>
        <w:ind w:left="400" w:right="0" w:firstLine="0"/>
        <w:jc w:val="both"/>
      </w:pPr>
      <w:bookmarkStart w:id="21" w:name="Bookmark_para_9"/>
      <w:bookmarkEnd w:id="21"/>
      <w:r>
        <w:rPr>
          <w:rFonts w:ascii="arial" w:eastAsia="arial" w:hAnsi="arial" w:cs="arial"/>
          <w:b w:val="0"/>
          <w:i w:val="0"/>
          <w:strike w:val="0"/>
          <w:noProof w:val="0"/>
          <w:color w:val="000000"/>
          <w:position w:val="0"/>
          <w:sz w:val="18"/>
          <w:u w:val="none"/>
          <w:vertAlign w:val="baseline"/>
        </w:rPr>
        <w:t>(a) Voluntary Dismissal.</w:t>
      </w:r>
    </w:p>
    <w:p>
      <w:pPr>
        <w:keepNext w:val="0"/>
        <w:spacing w:before="120" w:after="0" w:line="240" w:lineRule="atLeast"/>
        <w:ind w:left="400" w:right="0" w:firstLine="0"/>
        <w:jc w:val="both"/>
      </w:pPr>
      <w:bookmarkStart w:id="22" w:name="Bookmark_para_10"/>
      <w:bookmarkEnd w:id="22"/>
      <w:r>
        <w:rPr>
          <w:rFonts w:ascii="arial" w:eastAsia="arial" w:hAnsi="arial" w:cs="arial"/>
          <w:b w:val="0"/>
          <w:i w:val="0"/>
          <w:strike w:val="0"/>
          <w:noProof w:val="0"/>
          <w:color w:val="000000"/>
          <w:position w:val="0"/>
          <w:sz w:val="18"/>
          <w:u w:val="none"/>
          <w:vertAlign w:val="baseline"/>
        </w:rPr>
        <w:t>(1) By the Plaintiff.</w:t>
      </w:r>
    </w:p>
    <w:p>
      <w:pPr>
        <w:keepNext w:val="0"/>
        <w:spacing w:before="120" w:after="0" w:line="240" w:lineRule="atLeast"/>
        <w:ind w:left="400" w:right="0" w:firstLine="0"/>
        <w:jc w:val="both"/>
      </w:pPr>
      <w:bookmarkStart w:id="23" w:name="Bookmark_para_11"/>
      <w:bookmarkEnd w:id="23"/>
      <w:r>
        <w:rPr>
          <w:rFonts w:ascii="arial" w:eastAsia="arial" w:hAnsi="arial" w:cs="arial"/>
          <w:b w:val="0"/>
          <w:i w:val="0"/>
          <w:strike w:val="0"/>
          <w:noProof w:val="0"/>
          <w:color w:val="000000"/>
          <w:position w:val="0"/>
          <w:sz w:val="18"/>
          <w:u w:val="none"/>
          <w:vertAlign w:val="baseline"/>
        </w:rPr>
        <w:t>(A) Without a Court Order. Subject to Rules 23(e), 23.1(c), 23.2, and 66 and any applicable federal statute, the plaintiff may dismiss an action without a court order by filing:</w:t>
      </w:r>
    </w:p>
    <w:p>
      <w:pPr>
        <w:keepNext w:val="0"/>
        <w:spacing w:before="120" w:after="0" w:line="240" w:lineRule="atLeast"/>
        <w:ind w:left="400" w:right="0" w:firstLine="0"/>
        <w:jc w:val="both"/>
      </w:pPr>
      <w:bookmarkStart w:id="24" w:name="Bookmark_para_12"/>
      <w:bookmarkEnd w:id="24"/>
      <w:r>
        <w:rPr>
          <w:rFonts w:ascii="arial" w:eastAsia="arial" w:hAnsi="arial" w:cs="arial"/>
          <w:b w:val="0"/>
          <w:i w:val="0"/>
          <w:strike w:val="0"/>
          <w:noProof w:val="0"/>
          <w:color w:val="000000"/>
          <w:position w:val="0"/>
          <w:sz w:val="18"/>
          <w:u w:val="none"/>
          <w:vertAlign w:val="baseline"/>
        </w:rPr>
        <w:t>(i) a notice of dismissal before the opposing party serves either an answer or a motion for summary judgment; or</w:t>
      </w:r>
    </w:p>
    <w:p>
      <w:pPr>
        <w:keepNext w:val="0"/>
        <w:spacing w:before="120" w:after="0" w:line="240" w:lineRule="atLeast"/>
        <w:ind w:left="400" w:right="0" w:firstLine="0"/>
        <w:jc w:val="both"/>
      </w:pPr>
      <w:bookmarkStart w:id="25" w:name="Bookmark_para_13"/>
      <w:bookmarkEnd w:id="25"/>
      <w:r>
        <w:rPr>
          <w:rFonts w:ascii="arial" w:eastAsia="arial" w:hAnsi="arial" w:cs="arial"/>
          <w:b w:val="0"/>
          <w:i w:val="0"/>
          <w:strike w:val="0"/>
          <w:noProof w:val="0"/>
          <w:color w:val="000000"/>
          <w:position w:val="0"/>
          <w:sz w:val="18"/>
          <w:u w:val="none"/>
          <w:vertAlign w:val="baseline"/>
        </w:rPr>
        <w:t>(ii) a stipulation of dismissal signed by all parties who have appeared.</w:t>
      </w:r>
    </w:p>
    <w:p>
      <w:pPr>
        <w:keepNext w:val="0"/>
        <w:spacing w:before="120" w:after="0" w:line="240" w:lineRule="atLeast"/>
        <w:ind w:left="400" w:right="0" w:firstLine="0"/>
        <w:jc w:val="both"/>
      </w:pPr>
      <w:bookmarkStart w:id="26" w:name="Bookmark_para_14"/>
      <w:bookmarkEnd w:id="26"/>
      <w:r>
        <w:rPr>
          <w:rFonts w:ascii="arial" w:eastAsia="arial" w:hAnsi="arial" w:cs="arial"/>
          <w:b w:val="0"/>
          <w:i w:val="0"/>
          <w:strike w:val="0"/>
          <w:noProof w:val="0"/>
          <w:color w:val="000000"/>
          <w:position w:val="0"/>
          <w:sz w:val="18"/>
          <w:u w:val="none"/>
          <w:vertAlign w:val="baseline"/>
        </w:rPr>
        <w:t>(B) Effect. Unless the notice or stipulation states otherwise, the dismissal is without prejudice. But if the plaintiff previously dismissed any federal-or state-court action based on or including the same claim, a notice of dismissal operates as an adjudication on the merits.</w:t>
      </w:r>
    </w:p>
    <w:p>
      <w:pPr>
        <w:keepNext w:val="0"/>
        <w:spacing w:before="240" w:after="0" w:line="240" w:lineRule="atLeast"/>
        <w:ind w:left="0" w:right="0" w:firstLine="0"/>
        <w:jc w:val="both"/>
      </w:pPr>
      <w:hyperlink r:id="rId5" w:history="1">
        <w:r>
          <w:rPr>
            <w:rFonts w:ascii="arial" w:eastAsia="arial" w:hAnsi="arial" w:cs="arial"/>
            <w:b w:val="0"/>
            <w:i/>
            <w:strike w:val="0"/>
            <w:color w:val="0077CC"/>
            <w:sz w:val="18"/>
            <w:u w:val="single"/>
            <w:vertAlign w:val="baseline"/>
          </w:rPr>
          <w:t>Fed. R. Civ. P. 41(a)</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9" w:name="Bookmark_fnpara_4"/>
      <w:bookmarkEnd w:id="29"/>
      <w:r>
        <w:rPr>
          <w:rFonts w:ascii="arial" w:eastAsia="arial" w:hAnsi="arial" w:cs="arial"/>
          <w:b w:val="0"/>
          <w:i w:val="0"/>
          <w:strike w:val="0"/>
          <w:noProof w:val="0"/>
          <w:color w:val="000000"/>
          <w:position w:val="0"/>
          <w:sz w:val="18"/>
          <w:u w:val="none"/>
          <w:vertAlign w:val="baseline"/>
        </w:rPr>
        <w:t xml:space="preserve">It is unclear if Plaintiff is attempting to remove his criminal case from state court or if he is trying to bring </w:t>
      </w:r>
      <w:hyperlink r:id="rId6"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claims against Defendants. As reflected in the caption, the Court is construing this matter as an attempt to assert </w:t>
      </w:r>
      <w:hyperlink r:id="rId6"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claims. Under either theory, however, this case is subject to summary dismissal for the reasons discussed herein.</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0" w:name="Bookmark_fnpara_5"/>
      <w:bookmarkEnd w:id="30"/>
      <w:r>
        <w:rPr>
          <w:rFonts w:ascii="arial" w:eastAsia="arial" w:hAnsi="arial" w:cs="arial"/>
          <w:b w:val="0"/>
          <w:i w:val="0"/>
          <w:strike w:val="0"/>
          <w:noProof w:val="0"/>
          <w:color w:val="000000"/>
          <w:position w:val="0"/>
          <w:sz w:val="18"/>
          <w:u w:val="none"/>
          <w:vertAlign w:val="baseline"/>
        </w:rPr>
        <w:t xml:space="preserve">When a defendant in a state criminal case files a notice of removal in a United States District Court, that court "shall examine the notice promptly." </w:t>
      </w:r>
      <w:hyperlink r:id="rId7" w:history="1">
        <w:r>
          <w:rPr>
            <w:rFonts w:ascii="arial" w:eastAsia="arial" w:hAnsi="arial" w:cs="arial"/>
            <w:b w:val="0"/>
            <w:i/>
            <w:strike w:val="0"/>
            <w:noProof w:val="0"/>
            <w:color w:val="0077CC"/>
            <w:position w:val="0"/>
            <w:sz w:val="18"/>
            <w:u w:val="single"/>
            <w:vertAlign w:val="baseline"/>
          </w:rPr>
          <w:t>28 U.S.C. § 1455(b)(4)</w:t>
        </w:r>
      </w:hyperlink>
      <w:r>
        <w:rPr>
          <w:rFonts w:ascii="arial" w:eastAsia="arial" w:hAnsi="arial" w:cs="arial"/>
          <w:b w:val="0"/>
          <w:i w:val="0"/>
          <w:strike w:val="0"/>
          <w:noProof w:val="0"/>
          <w:color w:val="000000"/>
          <w:position w:val="0"/>
          <w:sz w:val="18"/>
          <w:u w:val="none"/>
          <w:vertAlign w:val="baseline"/>
        </w:rPr>
        <w:t xml:space="preserve">. "If it clearly appears on the face of the notice and any exhibits annexed thereto that removal should not be permitted, the court shall make an order for summary remand." </w:t>
      </w:r>
      <w:r>
        <w:rPr>
          <w:rFonts w:ascii="arial" w:eastAsia="arial" w:hAnsi="arial" w:cs="arial"/>
          <w:b w:val="0"/>
          <w:i/>
          <w:strike w:val="0"/>
          <w:noProof w:val="0"/>
          <w:color w:val="000000"/>
          <w:position w:val="0"/>
          <w:sz w:val="18"/>
          <w:u w:val="none"/>
          <w:vertAlign w:val="baseline"/>
        </w:rPr>
        <w:t>Id.</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7" w:name="Bookmark_fnpara_6"/>
      <w:bookmarkEnd w:id="37"/>
      <w:r>
        <w:rPr>
          <w:rFonts w:ascii="arial" w:eastAsia="arial" w:hAnsi="arial" w:cs="arial"/>
          <w:b w:val="0"/>
          <w:i w:val="0"/>
          <w:strike w:val="0"/>
          <w:noProof w:val="0"/>
          <w:color w:val="000000"/>
          <w:position w:val="0"/>
          <w:sz w:val="18"/>
          <w:u w:val="none"/>
          <w:vertAlign w:val="baseline"/>
        </w:rPr>
        <w:t xml:space="preserve">Plaintiff also fails to satisfy the procedural requirements of </w:t>
      </w:r>
      <w:hyperlink r:id="rId7" w:history="1">
        <w:r>
          <w:rPr>
            <w:rFonts w:ascii="arial" w:eastAsia="arial" w:hAnsi="arial" w:cs="arial"/>
            <w:b w:val="0"/>
            <w:i/>
            <w:strike w:val="0"/>
            <w:noProof w:val="0"/>
            <w:color w:val="0077CC"/>
            <w:position w:val="0"/>
            <w:sz w:val="18"/>
            <w:u w:val="single"/>
            <w:vertAlign w:val="baseline"/>
          </w:rPr>
          <w:t>28 U.S.C. § 1455</w:t>
        </w:r>
      </w:hyperlink>
      <w:r>
        <w:rPr>
          <w:rFonts w:ascii="arial" w:eastAsia="arial" w:hAnsi="arial" w:cs="arial"/>
          <w:b w:val="0"/>
          <w:i w:val="0"/>
          <w:strike w:val="0"/>
          <w:noProof w:val="0"/>
          <w:color w:val="000000"/>
          <w:position w:val="0"/>
          <w:sz w:val="18"/>
          <w:u w:val="none"/>
          <w:vertAlign w:val="baseline"/>
        </w:rPr>
        <w:t>, as he did not submit and sign a notice of removal, did not provide a short and plain statement of the grounds for removal, and did not file all required state court documents.</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1" w:name="Bookmark_fnpara_7"/>
      <w:bookmarkEnd w:id="61"/>
      <w:r>
        <w:rPr>
          <w:rFonts w:ascii="arial" w:eastAsia="arial" w:hAnsi="arial" w:cs="arial"/>
          <w:b w:val="0"/>
          <w:i/>
          <w:strike w:val="0"/>
          <w:noProof w:val="0"/>
          <w:color w:val="000000"/>
          <w:position w:val="0"/>
          <w:sz w:val="18"/>
          <w:u w:val="none"/>
          <w:vertAlign w:val="baseline"/>
        </w:rPr>
        <w:t xml:space="preserve">See </w:t>
      </w:r>
      <w:hyperlink r:id="rId8" w:history="1">
        <w:r>
          <w:rPr>
            <w:rFonts w:ascii="arial" w:eastAsia="arial" w:hAnsi="arial" w:cs="arial"/>
            <w:b w:val="0"/>
            <w:i/>
            <w:strike w:val="0"/>
            <w:noProof w:val="0"/>
            <w:color w:val="0077CC"/>
            <w:position w:val="0"/>
            <w:sz w:val="18"/>
            <w:u w:val="single"/>
            <w:vertAlign w:val="baseline"/>
          </w:rPr>
          <w:t>Britt v. DeJoy</w:t>
        </w:r>
      </w:hyperlink>
      <w:hyperlink r:id="rId8" w:history="1">
        <w:r>
          <w:rPr>
            <w:rFonts w:ascii="arial" w:eastAsia="arial" w:hAnsi="arial" w:cs="arial"/>
            <w:b w:val="0"/>
            <w:i/>
            <w:strike w:val="0"/>
            <w:noProof w:val="0"/>
            <w:color w:val="0077CC"/>
            <w:position w:val="0"/>
            <w:sz w:val="18"/>
            <w:u w:val="single"/>
            <w:vertAlign w:val="baseline"/>
          </w:rPr>
          <w:t>, 45 F.4th 790 (4th Cir. 2022)</w:t>
        </w:r>
      </w:hyperlink>
      <w:r>
        <w:rPr>
          <w:rFonts w:ascii="arial" w:eastAsia="arial" w:hAnsi="arial" w:cs="arial"/>
          <w:b w:val="0"/>
          <w:i w:val="0"/>
          <w:strike w:val="0"/>
          <w:noProof w:val="0"/>
          <w:color w:val="000000"/>
          <w:position w:val="0"/>
          <w:sz w:val="18"/>
          <w:u w:val="none"/>
          <w:vertAlign w:val="baseline"/>
        </w:rPr>
        <w:t xml:space="preserve"> (noting that "when a district court dismisses a complaint or all claims without providing leave to amend ... the order dismissing the complaint is final and appealable").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McClellan v. Cox, 2023 U.S. Dist. LEXIS 236574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BK-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SG9-5HW2-D6RV-H0RK-00000-00&amp;context=1519360" TargetMode="External" /><Relationship Id="rId13" Type="http://schemas.openxmlformats.org/officeDocument/2006/relationships/hyperlink" Target="https://advance.lexis.com/api/document?collection=cases&amp;id=urn:contentItem:3S4W-XDX0-003B-R3RC-00000-00&amp;context=1519360" TargetMode="External" /><Relationship Id="rId14" Type="http://schemas.openxmlformats.org/officeDocument/2006/relationships/hyperlink" Target="https://advance.lexis.com/api/document?collection=cases&amp;id=urn:contentItem:3S4X-BDG0-003B-42B7-00000-00&amp;context=1519360" TargetMode="External" /><Relationship Id="rId15" Type="http://schemas.openxmlformats.org/officeDocument/2006/relationships/hyperlink" Target="https://advance.lexis.com/api/document?collection=cases&amp;id=urn:contentItem:3S4X-DB70-003B-S53V-00000-00&amp;context=1519360" TargetMode="External" /><Relationship Id="rId16" Type="http://schemas.openxmlformats.org/officeDocument/2006/relationships/hyperlink" Target="https://advance.lexis.com/api/document?collection=cases&amp;id=urn:contentItem:3S4W-YY30-003B-G291-00000-00&amp;context=1519360" TargetMode="External" /><Relationship Id="rId17" Type="http://schemas.openxmlformats.org/officeDocument/2006/relationships/hyperlink" Target="https://advance.lexis.com/api/document?collection=cases&amp;id=urn:contentItem:4NWM-S330-004B-Y00V-00000-00&amp;context=1519360" TargetMode="External" /><Relationship Id="rId18" Type="http://schemas.openxmlformats.org/officeDocument/2006/relationships/hyperlink" Target="https://advance.lexis.com/api/document?collection=cases&amp;id=urn:contentItem:5JYG-36D1-F04K-M0B8-00000-00&amp;context=1519360" TargetMode="External" /><Relationship Id="rId19" Type="http://schemas.openxmlformats.org/officeDocument/2006/relationships/hyperlink" Target="https://advance.lexis.com/api/document?collection=cases&amp;id=urn:contentItem:3S4X-5SG0-003B-51W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W9Y-4KS0-TXFX-1325-00000-00&amp;context=1519360" TargetMode="External" /><Relationship Id="rId21" Type="http://schemas.openxmlformats.org/officeDocument/2006/relationships/hyperlink" Target="https://advance.lexis.com/api/document?collection=statutes-legislation&amp;id=urn:contentItem:5GYC-1WP1-6N19-F0YK-00000-00&amp;context=1519360" TargetMode="External" /><Relationship Id="rId22" Type="http://schemas.openxmlformats.org/officeDocument/2006/relationships/hyperlink" Target="https://advance.lexis.com/api/document?collection=statutes-legislation&amp;id=urn:contentItem:5GYC-22N1-6N19-F026-00000-00&amp;context=1519360" TargetMode="External" /><Relationship Id="rId23" Type="http://schemas.openxmlformats.org/officeDocument/2006/relationships/hyperlink" Target="https://advance.lexis.com/api/document?collection=statutes-legislation&amp;id=urn:contentItem:8SG9-5HW2-D6RV-H0JG-00000-00&amp;context=1519360" TargetMode="External" /><Relationship Id="rId24" Type="http://schemas.openxmlformats.org/officeDocument/2006/relationships/hyperlink" Target="https://advance.lexis.com/api/document?collection=statutes-legislation&amp;id=urn:contentItem:8SG9-5HW2-D6RV-H0JH-00000-00&amp;context=1519360" TargetMode="External" /><Relationship Id="rId25" Type="http://schemas.openxmlformats.org/officeDocument/2006/relationships/hyperlink" Target="https://advance.lexis.com/api/document?collection=cases&amp;id=urn:contentItem:5PCJ-C3R1-F04F-80P4-00000-00&amp;context=1519360" TargetMode="External" /><Relationship Id="rId26" Type="http://schemas.openxmlformats.org/officeDocument/2006/relationships/hyperlink" Target="https://advance.lexis.com/api/document?collection=cases&amp;id=urn:contentItem:5PC7-RRD1-F04F-80MT-00000-00&amp;context=1519360" TargetMode="External" /><Relationship Id="rId27" Type="http://schemas.openxmlformats.org/officeDocument/2006/relationships/hyperlink" Target="https://advance.lexis.com/api/document?collection=cases&amp;id=urn:contentItem:5KJJ-K6Y1-F04F-F3N2-00000-00&amp;context=1519360" TargetMode="External" /><Relationship Id="rId28" Type="http://schemas.openxmlformats.org/officeDocument/2006/relationships/hyperlink" Target="https://advance.lexis.com/api/document?collection=cases&amp;id=urn:contentItem:54P8-YS91-F04F-81SX-00000-00&amp;context=1519360" TargetMode="External" /><Relationship Id="rId29" Type="http://schemas.openxmlformats.org/officeDocument/2006/relationships/hyperlink" Target="https://advance.lexis.com/api/document?collection=cases&amp;id=urn:contentItem:54P5-8WH1-F04F-81RM-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0V-VJY0-00B1-F39J-00000-00&amp;context=1519360" TargetMode="External" /><Relationship Id="rId31" Type="http://schemas.openxmlformats.org/officeDocument/2006/relationships/hyperlink" Target="https://advance.lexis.com/api/document?collection=statutes-legislation&amp;id=urn:contentItem:8SG9-5HW2-D6RV-H0JJ-00000-00&amp;context=1519360" TargetMode="External" /><Relationship Id="rId32" Type="http://schemas.openxmlformats.org/officeDocument/2006/relationships/hyperlink" Target="https://advance.lexis.com/api/document?collection=cases&amp;id=urn:contentItem:7YFD-NRG1-2RHK-W000-00000-00&amp;context=1519360" TargetMode="External" /><Relationship Id="rId33" Type="http://schemas.openxmlformats.org/officeDocument/2006/relationships/hyperlink" Target="https://advance.lexis.com/api/document?collection=cases&amp;id=urn:contentItem:52X1-YM11-652R-2065-00000-00&amp;context=1519360" TargetMode="External" /><Relationship Id="rId34" Type="http://schemas.openxmlformats.org/officeDocument/2006/relationships/hyperlink" Target="https://advance.lexis.com/api/document?collection=cases&amp;id=urn:contentItem:3S4W-WR00-0039-Y2PP-00000-00&amp;context=1519360" TargetMode="External" /><Relationship Id="rId35" Type="http://schemas.openxmlformats.org/officeDocument/2006/relationships/hyperlink" Target="https://advance.lexis.com/api/document?collection=cases&amp;id=urn:contentItem:3S4X-0370-001B-K0KP-00000-00&amp;context=1519360" TargetMode="External" /><Relationship Id="rId36" Type="http://schemas.openxmlformats.org/officeDocument/2006/relationships/hyperlink" Target="https://advance.lexis.com/api/document?collection=cases&amp;id=urn:contentItem:3S4X-G390-003B-S2RW-00000-00&amp;context=1519360" TargetMode="External" /><Relationship Id="rId37" Type="http://schemas.openxmlformats.org/officeDocument/2006/relationships/hyperlink" Target="https://advance.lexis.com/api/document?collection=cases&amp;id=urn:contentItem:3S4X-BSB0-003B-S2KW-00000-00&amp;context=1519360" TargetMode="External" /><Relationship Id="rId38" Type="http://schemas.openxmlformats.org/officeDocument/2006/relationships/hyperlink" Target="https://advance.lexis.com/api/document?collection=cases&amp;id=urn:contentItem:3S4X-G390-003B-S2RV-00000-00&amp;context=1519360" TargetMode="External" /><Relationship Id="rId39" Type="http://schemas.openxmlformats.org/officeDocument/2006/relationships/hyperlink" Target="https://advance.lexis.com/api/document?collection=cases&amp;id=urn:contentItem:5HWM-J5C1-F04K-K0D5-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TD6-WC20-TXFS-11XR-00000-00&amp;context=1519360" TargetMode="External" /><Relationship Id="rId41" Type="http://schemas.openxmlformats.org/officeDocument/2006/relationships/hyperlink" Target="https://advance.lexis.com/api/document?collection=cases&amp;id=urn:contentItem:4XDF-4B50-TXFP-F22D-00000-00&amp;context=1519360" TargetMode="External" /><Relationship Id="rId42" Type="http://schemas.openxmlformats.org/officeDocument/2006/relationships/hyperlink" Target="https://advance.lexis.com/api/document?collection=cases&amp;id=urn:contentItem:5149-N6D1-652J-500N-00000-00&amp;context=1519360" TargetMode="External" /><Relationship Id="rId43" Type="http://schemas.openxmlformats.org/officeDocument/2006/relationships/hyperlink" Target="https://advance.lexis.com/api/document?collection=statutes-legislation&amp;id=urn:contentItem:8SG9-5HW2-D6RV-H0JF-00000-00&amp;context=1519360" TargetMode="External" /><Relationship Id="rId44" Type="http://schemas.openxmlformats.org/officeDocument/2006/relationships/hyperlink" Target="https://advance.lexis.com/api/document?collection=statutes-legislation&amp;id=urn:contentItem:8SG9-5HW2-D6RV-H0G3-00000-00&amp;context=1519360" TargetMode="External" /><Relationship Id="rId45" Type="http://schemas.openxmlformats.org/officeDocument/2006/relationships/hyperlink" Target="https://advance.lexis.com/api/document?collection=statutes-legislation&amp;id=urn:contentItem:8SG9-5HW2-D6RV-H0G4-00000-00&amp;context=1519360" TargetMode="External" /><Relationship Id="rId46" Type="http://schemas.openxmlformats.org/officeDocument/2006/relationships/hyperlink" Target="https://advance.lexis.com/api/document?collection=cases&amp;id=urn:contentItem:3S41-BSG0-003B-R3MS-00000-00&amp;context=1519360" TargetMode="External" /><Relationship Id="rId47" Type="http://schemas.openxmlformats.org/officeDocument/2006/relationships/hyperlink" Target="https://advance.lexis.com/api/document?collection=cases&amp;id=urn:contentItem:3S4X-8110-003B-S11X-00000-00&amp;context=1519360" TargetMode="External" /><Relationship Id="rId48" Type="http://schemas.openxmlformats.org/officeDocument/2006/relationships/hyperlink" Target="https://advance.lexis.com/api/document?collection=cases&amp;id=urn:contentItem:559V-40F1-F04K-F2T8-00000-00&amp;context=1519360" TargetMode="External" /><Relationship Id="rId49" Type="http://schemas.openxmlformats.org/officeDocument/2006/relationships/hyperlink" Target="https://advance.lexis.com/api/document?collection=cases&amp;id=urn:contentItem:3S4X-F000-003B-4384-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NSN-8840-004C-002M-00000-00&amp;context=1519360" TargetMode="External" /><Relationship Id="rId51" Type="http://schemas.openxmlformats.org/officeDocument/2006/relationships/hyperlink" Target="https://advance.lexis.com/api/document?collection=cases&amp;id=urn:contentItem:44T7-JTB0-0038-X50V-00000-00&amp;context=1519360" TargetMode="External" /><Relationship Id="rId52" Type="http://schemas.openxmlformats.org/officeDocument/2006/relationships/hyperlink" Target="https://advance.lexis.com/api/document?collection=cases&amp;id=urn:contentItem:3S4X-90B0-003B-54TT-00000-00&amp;context=1519360" TargetMode="External" /><Relationship Id="rId53" Type="http://schemas.openxmlformats.org/officeDocument/2006/relationships/hyperlink" Target="https://advance.lexis.com/api/document?collection=cases&amp;id=urn:contentItem:3S4X-53C0-003B-S0H9-00000-00&amp;context=1519360" TargetMode="External" /><Relationship Id="rId54" Type="http://schemas.openxmlformats.org/officeDocument/2006/relationships/hyperlink" Target="https://advance.lexis.com/api/document?collection=cases&amp;id=urn:contentItem:3RYC-0940-00B1-D55V-00000-00&amp;context=1519360" TargetMode="External" /><Relationship Id="rId55" Type="http://schemas.openxmlformats.org/officeDocument/2006/relationships/hyperlink" Target="https://advance.lexis.com/api/document?collection=cases&amp;id=urn:contentItem:3S4X-6PV0-0039-X0MW-00000-00&amp;context=1519360" TargetMode="External" /><Relationship Id="rId56" Type="http://schemas.openxmlformats.org/officeDocument/2006/relationships/hyperlink" Target="https://advance.lexis.com/api/document?collection=cases&amp;id=urn:contentItem:3S4X-FM20-001T-D236-00000-00&amp;context=1519360" TargetMode="External" /><Relationship Id="rId57" Type="http://schemas.openxmlformats.org/officeDocument/2006/relationships/hyperlink" Target="https://advance.lexis.com/api/document?collection=cases&amp;id=urn:contentItem:3S4X-DRF0-003B-S48T-00000-00&amp;context=1519360" TargetMode="External" /><Relationship Id="rId58" Type="http://schemas.openxmlformats.org/officeDocument/2006/relationships/hyperlink" Target="https://advance.lexis.com/api/document?collection=cases&amp;id=urn:contentItem:3S4X-8Y80-003B-54MW-00000-00&amp;context=1519360" TargetMode="External" /><Relationship Id="rId59" Type="http://schemas.openxmlformats.org/officeDocument/2006/relationships/hyperlink" Target="https://advance.lexis.com/api/document?collection=cases&amp;id=urn:contentItem:3S4X-H7H0-003B-S4YS-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9TV0-003B-53H3-00000-00&amp;context=1519360" TargetMode="Externa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BN4-VN63-RV32-62H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WDX-49S0-TXFR-V3DD-00000-00&amp;context=1519360" TargetMode="External" /><Relationship Id="rId2" Type="http://schemas.openxmlformats.org/officeDocument/2006/relationships/hyperlink" Target="https://advance.lexis.com/api/document?collection=cases&amp;id=urn:contentItem:4X3G-TB50-TXFX-62CH-00000-00&amp;context=1519360" TargetMode="External" /><Relationship Id="rId3" Type="http://schemas.openxmlformats.org/officeDocument/2006/relationships/hyperlink" Target="https://advance.lexis.com/api/document?collection=cases&amp;id=urn:contentItem:4TSN-K800-TXFP-Y3BB-00000-00&amp;context=1519360" TargetMode="External" /><Relationship Id="rId4" Type="http://schemas.openxmlformats.org/officeDocument/2006/relationships/hyperlink" Target="https://advance.lexis.com/api/document?collection=cases&amp;id=urn:contentItem:3S4X-DF70-003B-S21D-00000-00&amp;context=1519360" TargetMode="External" /><Relationship Id="rId5" Type="http://schemas.openxmlformats.org/officeDocument/2006/relationships/hyperlink" Target="https://advance.lexis.com/api/document?collection=statutes-legislation&amp;id=urn:contentItem:5GYC-22N1-6N19-F026-00000-00&amp;context=1519360" TargetMode="External" /><Relationship Id="rId6" Type="http://schemas.openxmlformats.org/officeDocument/2006/relationships/hyperlink" Target="https://advance.lexis.com/api/document?collection=statutes-legislation&amp;id=urn:contentItem:8SHT-0712-D6RV-H526-00000-00&amp;context=1519360" TargetMode="External" /><Relationship Id="rId7" Type="http://schemas.openxmlformats.org/officeDocument/2006/relationships/hyperlink" Target="https://advance.lexis.com/api/document?collection=statutes-legislation&amp;id=urn:contentItem:8SG9-5HW2-D6RV-H0K0-00000-00&amp;context=1519360" TargetMode="External" /><Relationship Id="rId8" Type="http://schemas.openxmlformats.org/officeDocument/2006/relationships/hyperlink" Target="https://advance.lexis.com/api/document?collection=cases&amp;id=urn:contentItem:665V-J8K1-F7ND-G31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McClellan v. Cox, 2023 U.S. Dist. LEXIS 236574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Doc::urn:hlct:5|contextualFeaturePermID::1519360</vt:lpwstr>
  </property>
  <property fmtid="{D5CDD505-2E9C-101B-9397-08002B2CF9AE}" pid="5" name="UserPermID">
    <vt:lpwstr>urn:user:PA186186283</vt:lpwstr>
  </property>
</Properties>
</file>